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Swati Aggrawal</w:t>
      </w:r>
    </w:p>
    <w:p>
      <w:pPr>
        <w:spacing w:after="160"/>
        <w:jc w:val="center"/>
      </w:pPr>
      <w:r>
        <w:rPr>
          <w:sz w:val="19"/>
          <w:szCs w:val="19"/>
        </w:rPr>
        <w:t xml:space="preserve">swatiagg357@gmail.com  |  +91-7011930926  |  </w:t>
      </w:r>
      <w:hyperlink w:history="1" r:id="rId4v1jfuguve1mels6fjdzx">
        <w:r>
          <w:rPr>
            <w:rStyle w:val="Hyperlink"/>
            <w:sz w:val="19"/>
            <w:szCs w:val="19"/>
          </w:rPr>
          <w:t xml:space="preserve">github.com/swatiaggrawal</w:t>
        </w:r>
      </w:hyperlink>
      <w:r>
        <w:rPr>
          <w:sz w:val="19"/>
          <w:szCs w:val="19"/>
        </w:rPr>
        <w:t xml:space="preserve">  |  </w:t>
      </w:r>
      <w:hyperlink w:history="1" r:id="rIdnbjfbaffesau6jo4hzygt">
        <w:r>
          <w:rPr>
            <w:rStyle w:val="Hyperlink"/>
            <w:sz w:val="19"/>
            <w:szCs w:val="19"/>
          </w:rPr>
          <w:t xml:space="preserve">linkedin.com/in/swatiaggrawal</w:t>
        </w:r>
      </w:hyperlink>
    </w:p>
    <w:p>
      <w:pPr>
        <w:pBdr>
          <w:bottom w:val="single" w:color="444444" w:sz="6" w:space="1"/>
        </w:pBdr>
        <w:spacing w:after="80" w:before="200"/>
      </w:pPr>
      <w:r>
        <w:rPr>
          <w:b/>
          <w:bCs/>
          <w:color w:val="1F1F1F"/>
          <w:sz w:val="20"/>
          <w:szCs w:val="20"/>
        </w:rPr>
        <w:t xml:space="preserve">PROFESSIONAL SUMMARY</w:t>
      </w:r>
    </w:p>
    <w:p>
      <w:pPr>
        <w:spacing w:after="120"/>
      </w:pPr>
      <w:r>
        <w:rPr>
          <w:sz w:val="19"/>
          <w:szCs w:val="19"/>
        </w:rPr>
        <w:t xml:space="preserve">M.Sc. Computer Science graduate from Sapienza Università di Roma with a quantitative research background in deep learning and applied AI, and hands on experience building and deploying GenAI, RAG, and AI agent systems using Python, PyTorch, TensorFlow, FastAPI, and AWS. Skilled in designing, benchmarking, and validating predictive models, with published research quantifying model performance under IEEE peer review. Interested in applying AI and quantitative modeling techniques to risk analytics, model validation, and enterprise decision making.</w:t>
      </w:r>
    </w:p>
    <w:p>
      <w:pPr>
        <w:pBdr>
          <w:bottom w:val="single" w:color="444444" w:sz="6" w:space="1"/>
        </w:pBdr>
        <w:spacing w:after="80" w:before="200"/>
      </w:pPr>
      <w:r>
        <w:rPr>
          <w:b/>
          <w:bCs/>
          <w:color w:val="1F1F1F"/>
          <w:sz w:val="20"/>
          <w:szCs w:val="20"/>
        </w:rPr>
        <w:t xml:space="preserve">SKILLS</w:t>
      </w:r>
    </w:p>
    <w:p>
      <w:pPr>
        <w:pStyle w:val="ListParagraph"/>
        <w:numPr>
          <w:ilvl w:val="0"/>
          <w:numId w:val="2"/>
        </w:numPr>
        <w:spacing w:after="40"/>
      </w:pPr>
      <w:r>
        <w:rPr>
          <w:b/>
          <w:bCs/>
          <w:sz w:val="19"/>
          <w:szCs w:val="19"/>
        </w:rPr>
        <w:t xml:space="preserve">Quantitative &amp; ML Modeling:</w:t>
      </w:r>
      <w:r>
        <w:rPr>
          <w:sz w:val="19"/>
          <w:szCs w:val="19"/>
        </w:rPr>
        <w:t xml:space="preserve"> Python, SQL, PyTorch, TensorFlow, Scikit-learn, Predictive Modeling, Deep Learning, Statistical Evaluation, Cross-Validation, Benchmarking</w:t>
      </w:r>
    </w:p>
    <w:p>
      <w:pPr>
        <w:pStyle w:val="ListParagraph"/>
        <w:numPr>
          <w:ilvl w:val="0"/>
          <w:numId w:val="2"/>
        </w:numPr>
        <w:spacing w:after="40"/>
      </w:pPr>
      <w:r>
        <w:rPr>
          <w:b/>
          <w:bCs/>
          <w:sz w:val="19"/>
          <w:szCs w:val="19"/>
        </w:rPr>
        <w:t xml:space="preserve">AI, GenAI &amp; Agents:</w:t>
      </w:r>
      <w:r>
        <w:rPr>
          <w:sz w:val="19"/>
          <w:szCs w:val="19"/>
        </w:rPr>
        <w:t xml:space="preserve"> LLMs, Retrieval-Augmented Generation (RAG), AI Agents, LangGraph, Prompt Engineering, Vector Databases (Pinecone), Gemini API, Anomaly Detection</w:t>
      </w:r>
    </w:p>
    <w:p>
      <w:pPr>
        <w:pStyle w:val="ListParagraph"/>
        <w:numPr>
          <w:ilvl w:val="0"/>
          <w:numId w:val="2"/>
        </w:numPr>
        <w:spacing w:after="40"/>
      </w:pPr>
      <w:r>
        <w:rPr>
          <w:b/>
          <w:bCs/>
          <w:sz w:val="19"/>
          <w:szCs w:val="19"/>
        </w:rPr>
        <w:t xml:space="preserve">Software &amp; Cloud:</w:t>
      </w:r>
      <w:r>
        <w:rPr>
          <w:sz w:val="19"/>
          <w:szCs w:val="19"/>
        </w:rPr>
        <w:t xml:space="preserve"> FastAPI, REST APIs, React, Docker, AWS (ECS, Fargate, CloudWatch), Git, Linux</w:t>
      </w:r>
    </w:p>
    <w:p>
      <w:pPr>
        <w:pBdr>
          <w:bottom w:val="single" w:color="444444" w:sz="6" w:space="1"/>
        </w:pBdr>
        <w:spacing w:after="80" w:before="200"/>
      </w:pPr>
      <w:r>
        <w:rPr>
          <w:b/>
          <w:bCs/>
          <w:color w:val="1F1F1F"/>
          <w:sz w:val="20"/>
          <w:szCs w:val="20"/>
        </w:rPr>
        <w:t xml:space="preserve">EDUCATION</w:t>
      </w:r>
    </w:p>
    <w:p>
      <w:pPr>
        <w:tabs>
          <w:tab w:val="right" w:pos="9360"/>
        </w:tabs>
        <w:spacing w:after="20"/>
      </w:pPr>
      <w:r>
        <w:rPr>
          <w:b/>
          <w:bCs/>
          <w:sz w:val="19"/>
          <w:szCs w:val="19"/>
        </w:rPr>
        <w:t xml:space="preserve">Sapienza Università di Roma — M.Sc. Computer Science</w:t>
      </w:r>
      <w:r>
        <w:rPr>
          <w:i/>
          <w:iCs/>
          <w:sz w:val="19"/>
          <w:szCs w:val="19"/>
        </w:rPr>
        <w:t xml:space="preserve">	2026</w:t>
      </w:r>
    </w:p>
    <w:p>
      <w:pPr>
        <w:spacing w:after="100"/>
      </w:pPr>
      <w:r>
        <w:rPr>
          <w:sz w:val="19"/>
          <w:szCs w:val="19"/>
        </w:rPr>
        <w:t xml:space="preserve">Coursework: Natural Language Processing, Deep Learning and Applied AI, Machine Learning, Computer Vision, Distributed Systems</w:t>
      </w:r>
    </w:p>
    <w:p>
      <w:pPr>
        <w:tabs>
          <w:tab w:val="right" w:pos="9360"/>
        </w:tabs>
        <w:spacing w:after="20"/>
      </w:pPr>
      <w:r>
        <w:rPr>
          <w:b/>
          <w:bCs/>
          <w:sz w:val="19"/>
          <w:szCs w:val="19"/>
        </w:rPr>
        <w:t xml:space="preserve">Sharda University — B.Tech, CSE with AI and ML</w:t>
      </w:r>
      <w:r>
        <w:rPr>
          <w:i/>
          <w:iCs/>
          <w:sz w:val="19"/>
          <w:szCs w:val="19"/>
        </w:rPr>
        <w:t xml:space="preserve">	2023</w:t>
      </w:r>
    </w:p>
    <w:p>
      <w:pPr>
        <w:spacing w:after="100"/>
      </w:pPr>
      <w:r>
        <w:rPr>
          <w:sz w:val="19"/>
          <w:szCs w:val="19"/>
        </w:rPr>
        <w:t xml:space="preserve">Merit-based scholarship, top 5–10% of cohort</w:t>
      </w:r>
    </w:p>
    <w:p>
      <w:pPr>
        <w:pBdr>
          <w:bottom w:val="single" w:color="444444" w:sz="6" w:space="1"/>
        </w:pBdr>
        <w:spacing w:after="80" w:before="200"/>
      </w:pPr>
      <w:r>
        <w:rPr>
          <w:b/>
          <w:bCs/>
          <w:color w:val="1F1F1F"/>
          <w:sz w:val="20"/>
          <w:szCs w:val="20"/>
        </w:rPr>
        <w:t xml:space="preserve">RESEARCH EXPERIENCE</w:t>
      </w:r>
    </w:p>
    <w:p>
      <w:pPr>
        <w:tabs>
          <w:tab w:val="right" w:pos="9360"/>
        </w:tabs>
        <w:spacing w:after="20"/>
      </w:pPr>
      <w:r>
        <w:rPr>
          <w:b/>
          <w:bCs/>
          <w:sz w:val="19"/>
          <w:szCs w:val="19"/>
        </w:rPr>
        <w:t xml:space="preserve">Researcher, Vision Lab — Sapienza Università di Roma (Master's Thesis)</w:t>
      </w:r>
      <w:r>
        <w:rPr>
          <w:i/>
          <w:iCs/>
          <w:sz w:val="19"/>
          <w:szCs w:val="19"/>
        </w:rPr>
        <w:t xml:space="preserve">	Nov 2025 – May 2026</w:t>
      </w:r>
    </w:p>
    <w:p>
      <w:pPr>
        <w:pStyle w:val="ListParagraph"/>
        <w:numPr>
          <w:ilvl w:val="0"/>
          <w:numId w:val="2"/>
        </w:numPr>
        <w:spacing w:after="40"/>
      </w:pPr>
      <w:r>
        <w:rPr>
          <w:sz w:val="19"/>
          <w:szCs w:val="19"/>
        </w:rPr>
        <w:t xml:space="preserve">Designed and validated adapter-based continual learning models for Vision Transformers under Prof. Marco Raoul Marini, achieving 90.59% average accuracy with only 2.01% average forgetting on Split CIFAR-100, a ~97% relative reduction versus a CNN baseline.</w:t>
      </w:r>
    </w:p>
    <w:p>
      <w:pPr>
        <w:pStyle w:val="ListParagraph"/>
        <w:numPr>
          <w:ilvl w:val="0"/>
          <w:numId w:val="2"/>
        </w:numPr>
        <w:spacing w:after="40"/>
      </w:pPr>
      <w:r>
        <w:rPr>
          <w:sz w:val="19"/>
          <w:szCs w:val="19"/>
        </w:rPr>
        <w:t xml:space="preserve">Built PyTorch training and evaluation pipelines to benchmark accuracy, forgetting, and computational efficiency across sequential tasks, validating results through cross-seed evaluation to ensure statistical robustness, similar in spirit to stress-testing a model across scenarios.</w:t>
      </w:r>
    </w:p>
    <w:p>
      <w:pPr>
        <w:pStyle w:val="ListParagraph"/>
        <w:numPr>
          <w:ilvl w:val="0"/>
          <w:numId w:val="2"/>
        </w:numPr>
        <w:spacing w:after="40"/>
      </w:pPr>
      <w:r>
        <w:rPr>
          <w:sz w:val="19"/>
          <w:szCs w:val="19"/>
        </w:rPr>
        <w:t xml:space="preserve">Benchmarked against ResNet-18 and naive ViT fine-tuning baselines, documenting comparative findings against state-of-the-art approaches for research collaborators.</w:t>
      </w:r>
    </w:p>
    <w:p>
      <w:pPr>
        <w:pBdr>
          <w:bottom w:val="single" w:color="444444" w:sz="6" w:space="1"/>
        </w:pBdr>
        <w:spacing w:after="80" w:before="200"/>
      </w:pPr>
      <w:r>
        <w:rPr>
          <w:b/>
          <w:bCs/>
          <w:color w:val="1F1F1F"/>
          <w:sz w:val="20"/>
          <w:szCs w:val="20"/>
        </w:rPr>
        <w:t xml:space="preserve">PUBLICATION</w:t>
      </w:r>
    </w:p>
    <w:p>
      <w:pPr>
        <w:tabs>
          <w:tab w:val="right" w:pos="9360"/>
        </w:tabs>
        <w:spacing w:after="20"/>
      </w:pPr>
      <w:r>
        <w:rPr>
          <w:b/>
          <w:bCs/>
          <w:sz w:val="19"/>
          <w:szCs w:val="19"/>
        </w:rPr>
        <w:t xml:space="preserve">Machine Learning for Air Pollution — IEEE Conference Publication</w:t>
      </w:r>
      <w:r>
        <w:rPr>
          <w:i/>
          <w:iCs/>
          <w:sz w:val="19"/>
          <w:szCs w:val="19"/>
        </w:rPr>
        <w:t xml:space="preserve">	2023</w:t>
      </w:r>
    </w:p>
    <w:p>
      <w:pPr>
        <w:pStyle w:val="ListParagraph"/>
        <w:numPr>
          <w:ilvl w:val="0"/>
          <w:numId w:val="2"/>
        </w:numPr>
        <w:spacing w:after="40"/>
      </w:pPr>
      <w:r>
        <w:rPr>
          <w:sz w:val="19"/>
          <w:szCs w:val="19"/>
        </w:rPr>
        <w:t xml:space="preserve">Evaluated Random Forest, SVM, Decision Tree, and Neural Network models on environmental datasets, comparing performance using accuracy, robustness, and generalization metrics.</w:t>
      </w:r>
    </w:p>
    <w:p>
      <w:pPr>
        <w:pBdr>
          <w:bottom w:val="single" w:color="444444" w:sz="6" w:space="1"/>
        </w:pBdr>
        <w:spacing w:after="80" w:before="200"/>
      </w:pPr>
      <w:r>
        <w:rPr>
          <w:b/>
          <w:bCs/>
          <w:color w:val="1F1F1F"/>
          <w:sz w:val="20"/>
          <w:szCs w:val="20"/>
        </w:rPr>
        <w:t xml:space="preserve">PROJECTS</w:t>
      </w:r>
    </w:p>
    <w:p>
      <w:pPr>
        <w:tabs>
          <w:tab w:val="right" w:pos="9360"/>
        </w:tabs>
        <w:spacing w:after="20"/>
      </w:pPr>
      <w:r>
        <w:rPr>
          <w:b/>
          <w:bCs/>
          <w:sz w:val="19"/>
          <w:szCs w:val="19"/>
        </w:rPr>
        <w:t xml:space="preserve">Knowledge Copilot — Grounded RAG Chatbot with AI Agent Workflow</w:t>
      </w:r>
      <w:r>
        <w:rPr>
          <w:i/>
          <w:iCs/>
          <w:sz w:val="19"/>
          <w:szCs w:val="19"/>
        </w:rPr>
        <w:t xml:space="preserve">	</w:t>
      </w:r>
    </w:p>
    <w:p>
      <w:pPr>
        <w:pStyle w:val="ListParagraph"/>
        <w:numPr>
          <w:ilvl w:val="0"/>
          <w:numId w:val="2"/>
        </w:numPr>
        <w:spacing w:after="40"/>
      </w:pPr>
      <w:r>
        <w:rPr>
          <w:sz w:val="19"/>
          <w:szCs w:val="19"/>
        </w:rPr>
        <w:t xml:space="preserve">Built an end-to-end retrieval-augmented generation chatbot with a modular four-stage pipeline (ingestion, embedding, retrieval, generation), grounding every answer in cited source text to prevent hallucination.</w:t>
      </w:r>
    </w:p>
    <w:p>
      <w:pPr>
        <w:pStyle w:val="ListParagraph"/>
        <w:numPr>
          <w:ilvl w:val="0"/>
          <w:numId w:val="2"/>
        </w:numPr>
        <w:spacing w:after="40"/>
      </w:pPr>
      <w:r>
        <w:rPr>
          <w:sz w:val="19"/>
          <w:szCs w:val="19"/>
        </w:rPr>
        <w:t xml:space="preserve">Integrated Gemini API embeddings with Pinecone as a managed vector store, and exposed the system through a FastAPI backend, deployed on Render.</w:t>
      </w:r>
    </w:p>
    <w:p>
      <w:pPr>
        <w:tabs>
          <w:tab w:val="right" w:pos="9360"/>
        </w:tabs>
        <w:spacing w:after="20"/>
      </w:pPr>
      <w:r>
        <w:rPr>
          <w:b/>
          <w:bCs/>
          <w:sz w:val="19"/>
          <w:szCs w:val="19"/>
        </w:rPr>
        <w:t xml:space="preserve">Metal Defect Detection — Computer Vision Classification &amp; Anomaly Detection</w:t>
      </w:r>
      <w:r>
        <w:rPr>
          <w:i/>
          <w:iCs/>
          <w:sz w:val="19"/>
          <w:szCs w:val="19"/>
        </w:rPr>
        <w:t xml:space="preserve">	</w:t>
      </w:r>
    </w:p>
    <w:p>
      <w:pPr>
        <w:pStyle w:val="ListParagraph"/>
        <w:numPr>
          <w:ilvl w:val="0"/>
          <w:numId w:val="2"/>
        </w:numPr>
        <w:spacing w:after="40"/>
      </w:pPr>
      <w:r>
        <w:rPr>
          <w:sz w:val="19"/>
          <w:szCs w:val="19"/>
        </w:rPr>
        <w:t xml:space="preserve">Built CNN, SVM, and Random Forest classifiers to automatically detect and classify 6 defect types on industrial metal surfaces, achieving 97.22% test accuracy with the CNN versus 86.11% for classical models.</w:t>
      </w:r>
    </w:p>
    <w:p>
      <w:pPr>
        <w:pStyle w:val="ListParagraph"/>
        <w:numPr>
          <w:ilvl w:val="0"/>
          <w:numId w:val="2"/>
        </w:numPr>
        <w:spacing w:after="40"/>
      </w:pPr>
      <w:r>
        <w:rPr>
          <w:sz w:val="19"/>
          <w:szCs w:val="19"/>
        </w:rPr>
        <w:t xml:space="preserve">Evaluated all models using accuracy, confusion matrices, precision, recall, and F1-score, tuning classical models via GridSearchCV.</w:t>
      </w:r>
    </w:p>
    <w:sectPr>
      <w:pgSz w:w="12240" w:h="15840" w:orient="portrait"/>
      <w:pgMar w:top="560" w:right="700" w:bottom="56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v1jfuguve1mels6fjdzx" Type="http://schemas.openxmlformats.org/officeDocument/2006/relationships/hyperlink" Target="https://github.com/swatiaggrawal" TargetMode="External"/><Relationship Id="rIdnbjfbaffesau6jo4hzygt" Type="http://schemas.openxmlformats.org/officeDocument/2006/relationships/hyperlink" Target="https://linkedin.com/in/swatiaggrawa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2026-08-25T09:20:52.842Z</dcterms:created>
  <dcterms:modified xsi:type="dcterms:W3CDTF">2026-08-25T09:20:52.857Z</dcterms:modified>
</cp:coreProperties>
</file>

<file path=docProps/custom.xml><?xml version="1.0" encoding="utf-8"?>
<Properties xmlns="http://schemas.openxmlformats.org/officeDocument/2006/custom-properties" xmlns:vt="http://schemas.openxmlformats.org/officeDocument/2006/docPropsVTypes"/>
</file>