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r>
        <w:t xml:space="preserve"/>
      </w:r>
    </w:p>
    <w:p>
      <w:pPr>
        <w:spacing w:after="40" w:before="0"/>
        <w:jc w:val="left"/>
      </w:pPr>
      <w:r>
        <w:rPr>
          <w:rFonts w:ascii="Calibri" w:cs="Calibri" w:eastAsia="Calibri" w:hAnsi="Calibri"/>
          <w:caps/>
          <w:color w:val="6B7280"/>
          <w:sz w:val="22"/>
          <w:szCs w:val="22"/>
        </w:rPr>
        <w:t xml:space="preserve">SOFTWARE REQUIREMENTS SPECIFICATION</w:t>
      </w:r>
    </w:p>
    <w:p>
      <w:pPr>
        <w:pBdr>
          <w:bottom w:val="single" w:color="0E6E6E" w:sz="20" w:space="12"/>
        </w:pBdr>
        <w:spacing w:after="80" w:before="0"/>
        <w:jc w:val="left"/>
      </w:pPr>
      <w:r>
        <w:rPr>
          <w:rFonts w:ascii="Georgia" w:cs="Georgia" w:eastAsia="Georgia" w:hAnsi="Georgia"/>
          <w:b/>
          <w:bCs/>
          <w:color w:val="1C1C2E"/>
          <w:sz w:val="72"/>
          <w:szCs w:val="72"/>
        </w:rPr>
        <w:t xml:space="preserve">CareSync</w:t>
      </w:r>
    </w:p>
    <w:p>
      <w:pPr>
        <w:spacing w:after="40" w:before="0"/>
      </w:pPr>
      <w:r>
        <w:t xml:space="preserve"/>
      </w:r>
    </w:p>
    <w:p>
      <w:pPr>
        <w:spacing w:after="200" w:before="0"/>
        <w:jc w:val="left"/>
      </w:pPr>
      <w:r>
        <w:rPr>
          <w:rFonts w:ascii="Georgia" w:cs="Georgia" w:eastAsia="Georgia" w:hAnsi="Georgia"/>
          <w:i/>
          <w:iCs/>
          <w:color w:val="0E6E6E"/>
          <w:sz w:val="32"/>
          <w:szCs w:val="32"/>
        </w:rPr>
        <w:t xml:space="preserve">Healthcare Management System</w:t>
      </w:r>
    </w:p>
    <w:p>
      <w:pPr>
        <w:spacing w:after="60" w:before="0"/>
      </w:pPr>
      <w:r>
        <w:t xml:space="preserve"/>
      </w:r>
    </w:p>
    <w:tbl>
      <w:tblPr>
        <w:tblW w:type="dxa" w:w="5400"/>
        <w:tblBorders>
          <w:top w:val="none" w:color="FFFFFF" w:sz="0"/>
          <w:left w:val="none" w:color="FFFFFF" w:sz="0"/>
          <w:bottom w:val="none" w:color="FFFFFF" w:sz="0"/>
          <w:right w:val="none" w:color="FFFFFF" w:sz="0"/>
          <w:insideH w:val="single" w:color="auto" w:sz="4"/>
          <w:insideV w:val="single" w:color="auto" w:sz="4"/>
        </w:tblBorders>
      </w:tblPr>
      <w:tblGrid>
        <w:gridCol w:w="2000"/>
        <w:gridCol w:w="3400"/>
      </w:tblGrid>
      <w:tr>
        <w:tc>
          <w:tcPr>
            <w:tcW w:type="dxa" w:w="2000"/>
            <w:tcBorders>
              <w:top w:val="none" w:color="FFFFFF" w:sz="0"/>
              <w:left w:val="none" w:color="FFFFFF" w:sz="0"/>
              <w:bottom w:val="none" w:color="FFFFFF" w:sz="0"/>
              <w:right w:val="none" w:color="FFFFFF" w:sz="0"/>
            </w:tcBorders>
            <w:tcMar>
              <w:top w:type="dxa" w:w="60"/>
              <w:left w:type="dxa" w:w="0"/>
              <w:bottom w:type="dxa" w:w="60"/>
              <w:right w:type="dxa" w:w="60"/>
            </w:tcMar>
          </w:tcPr>
          <w:p>
            <w:r>
              <w:rPr>
                <w:rFonts w:ascii="Calibri" w:cs="Calibri" w:eastAsia="Calibri" w:hAnsi="Calibri"/>
                <w:color w:val="6B7280"/>
                <w:sz w:val="20"/>
                <w:szCs w:val="20"/>
              </w:rPr>
              <w:t xml:space="preserve">Document</w:t>
            </w:r>
          </w:p>
        </w:tc>
        <w:tc>
          <w:tcPr>
            <w:tcW w:type="dxa" w:w="340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b w:val="false"/>
                <w:bCs w:val="false"/>
                <w:color w:val="3D4A5C"/>
                <w:sz w:val="20"/>
                <w:szCs w:val="20"/>
              </w:rPr>
              <w:t xml:space="preserve">Software Requirements Specification</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60"/>
            </w:tcMar>
          </w:tcPr>
          <w:p>
            <w:r>
              <w:rPr>
                <w:rFonts w:ascii="Calibri" w:cs="Calibri" w:eastAsia="Calibri" w:hAnsi="Calibri"/>
                <w:color w:val="6B7280"/>
                <w:sz w:val="20"/>
                <w:szCs w:val="20"/>
              </w:rPr>
              <w:t xml:space="preserve">Version</w:t>
            </w:r>
          </w:p>
        </w:tc>
        <w:tc>
          <w:tcPr>
            <w:tcW w:type="dxa" w:w="340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b w:val="false"/>
                <w:bCs w:val="false"/>
                <w:color w:val="3D4A5C"/>
                <w:sz w:val="20"/>
                <w:szCs w:val="20"/>
              </w:rPr>
              <w:t xml:space="preserve">1.0 — Final</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60"/>
            </w:tcMar>
          </w:tcPr>
          <w:p>
            <w:r>
              <w:rPr>
                <w:rFonts w:ascii="Calibri" w:cs="Calibri" w:eastAsia="Calibri" w:hAnsi="Calibri"/>
                <w:color w:val="6B7280"/>
                <w:sz w:val="20"/>
                <w:szCs w:val="20"/>
              </w:rPr>
              <w:t xml:space="preserve">Date</w:t>
            </w:r>
          </w:p>
        </w:tc>
        <w:tc>
          <w:tcPr>
            <w:tcW w:type="dxa" w:w="340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b w:val="false"/>
                <w:bCs w:val="false"/>
                <w:color w:val="3D4A5C"/>
                <w:sz w:val="20"/>
                <w:szCs w:val="20"/>
              </w:rPr>
              <w:t xml:space="preserve">April 2026</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60"/>
            </w:tcMar>
          </w:tcPr>
          <w:p>
            <w:r>
              <w:rPr>
                <w:rFonts w:ascii="Calibri" w:cs="Calibri" w:eastAsia="Calibri" w:hAnsi="Calibri"/>
                <w:color w:val="6B7280"/>
                <w:sz w:val="20"/>
                <w:szCs w:val="20"/>
              </w:rPr>
              <w:t xml:space="preserve">Prepared by</w:t>
            </w:r>
          </w:p>
        </w:tc>
        <w:tc>
          <w:tcPr>
            <w:tcW w:type="dxa" w:w="340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b w:val="false"/>
                <w:bCs w:val="false"/>
                <w:color w:val="3D4A5C"/>
                <w:sz w:val="20"/>
                <w:szCs w:val="20"/>
              </w:rPr>
              <w:t xml:space="preserve">[Your Name]</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60"/>
            </w:tcMar>
          </w:tcPr>
          <w:p>
            <w:r>
              <w:rPr>
                <w:rFonts w:ascii="Calibri" w:cs="Calibri" w:eastAsia="Calibri" w:hAnsi="Calibri"/>
                <w:color w:val="6B7280"/>
                <w:sz w:val="20"/>
                <w:szCs w:val="20"/>
              </w:rPr>
              <w:t xml:space="preserve">Supervisor</w:t>
            </w:r>
          </w:p>
        </w:tc>
        <w:tc>
          <w:tcPr>
            <w:tcW w:type="dxa" w:w="340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b w:val="false"/>
                <w:bCs w:val="false"/>
                <w:color w:val="3D4A5C"/>
                <w:sz w:val="20"/>
                <w:szCs w:val="20"/>
              </w:rPr>
              <w:t xml:space="preserve">[Professor Name]</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60"/>
            </w:tcMar>
          </w:tcPr>
          <w:p>
            <w:r>
              <w:rPr>
                <w:rFonts w:ascii="Calibri" w:cs="Calibri" w:eastAsia="Calibri" w:hAnsi="Calibri"/>
                <w:color w:val="6B7280"/>
                <w:sz w:val="20"/>
                <w:szCs w:val="20"/>
              </w:rPr>
              <w:t xml:space="preserve">Institution</w:t>
            </w:r>
          </w:p>
        </w:tc>
        <w:tc>
          <w:tcPr>
            <w:tcW w:type="dxa" w:w="340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b w:val="false"/>
                <w:bCs w:val="false"/>
                <w:color w:val="3D4A5C"/>
                <w:sz w:val="20"/>
                <w:szCs w:val="20"/>
              </w:rPr>
              <w:t xml:space="preserve">[Your Institution / Department]</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60"/>
            </w:tcMar>
          </w:tcPr>
          <w:p>
            <w:r>
              <w:rPr>
                <w:rFonts w:ascii="Calibri" w:cs="Calibri" w:eastAsia="Calibri" w:hAnsi="Calibri"/>
                <w:color w:val="6B7280"/>
                <w:sz w:val="20"/>
                <w:szCs w:val="20"/>
              </w:rPr>
              <w:t xml:space="preserve">Course</w:t>
            </w:r>
          </w:p>
        </w:tc>
        <w:tc>
          <w:tcPr>
            <w:tcW w:type="dxa" w:w="340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b w:val="false"/>
                <w:bCs w:val="false"/>
                <w:color w:val="3D4A5C"/>
                <w:sz w:val="20"/>
                <w:szCs w:val="20"/>
              </w:rPr>
              <w:t xml:space="preserve">[Course Name &amp; Code]</w:t>
            </w:r>
          </w:p>
        </w:tc>
      </w:tr>
    </w:tbl>
    <w:p>
      <w:pPr>
        <w:spacing w:after="200" w:before="0"/>
      </w:pPr>
      <w:r>
        <w:t xml:space="preserve"/>
      </w:r>
    </w:p>
    <w:p>
      <w:r>
        <w:rPr>
          <w:rFonts w:ascii="Calibri" w:cs="Calibri" w:eastAsia="Calibri" w:hAnsi="Calibri"/>
          <w:i/>
          <w:iCs/>
          <w:color w:val="6B7280"/>
          <w:sz w:val="19"/>
          <w:szCs w:val="19"/>
        </w:rPr>
        <w:t xml:space="preserve">For academic evaluation only.</w:t>
      </w:r>
    </w:p>
    <w:p>
      <w:r>
        <w:br w:type="page"/>
      </w:r>
    </w:p>
    <w:p>
      <w:pPr>
        <w:pStyle w:val="Heading1"/>
        <w:pBdr>
          <w:bottom w:val="single" w:color="0E6E6E" w:sz="10" w:space="5"/>
        </w:pBdr>
        <w:spacing w:after="140" w:before="400"/>
      </w:pPr>
      <w:r>
        <w:rPr>
          <w:rFonts w:ascii="Georgia" w:cs="Georgia" w:eastAsia="Georgia" w:hAnsi="Georgia"/>
          <w:b/>
          <w:bCs/>
          <w:color w:val="1C1C2E"/>
          <w:sz w:val="34"/>
          <w:szCs w:val="3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0E6E6E" w:sz="10" w:space="5"/>
        </w:pBdr>
        <w:spacing w:after="140" w:before="400"/>
      </w:pPr>
      <w:r>
        <w:rPr>
          <w:rFonts w:ascii="Georgia" w:cs="Georgia" w:eastAsia="Georgia" w:hAnsi="Georgia"/>
          <w:b/>
          <w:bCs/>
          <w:color w:val="1C1C2E"/>
          <w:sz w:val="34"/>
          <w:szCs w:val="34"/>
        </w:rPr>
        <w:t xml:space="preserve">1. Introduction</w:t>
      </w:r>
    </w:p>
    <w:p>
      <w:pPr>
        <w:pStyle w:val="Heading2"/>
        <w:spacing w:after="100" w:before="300"/>
      </w:pPr>
      <w:r>
        <w:rPr>
          <w:rFonts w:ascii="Georgia" w:cs="Georgia" w:eastAsia="Georgia" w:hAnsi="Georgia"/>
          <w:b/>
          <w:bCs/>
          <w:color w:val="0E6E6E"/>
          <w:sz w:val="27"/>
          <w:szCs w:val="27"/>
        </w:rPr>
        <w:t xml:space="preserve">1.1  What this document is for</w:t>
      </w:r>
    </w:p>
    <w:p>
      <w:pPr>
        <w:spacing w:after="100" w:before="60"/>
      </w:pPr>
      <w:r>
        <w:rPr>
          <w:rFonts w:ascii="Calibri" w:cs="Calibri" w:eastAsia="Calibri" w:hAnsi="Calibri"/>
          <w:color w:val="3D4A5C"/>
          <w:sz w:val="22"/>
          <w:szCs w:val="22"/>
        </w:rPr>
        <w:t xml:space="preserve">This SRS describes everything a developer, tester, or evaluator needs to understand CareSync — what it does, what it's built on, who uses it, and what constraints it works within. It covers functional requirements (what the system must do), non-functional requirements (how well it must do it), use cases, external interfaces, and data structures.</w:t>
      </w:r>
    </w:p>
    <w:p>
      <w:pPr>
        <w:spacing w:after="100" w:before="60"/>
      </w:pPr>
      <w:r>
        <w:rPr>
          <w:rFonts w:ascii="Calibri" w:cs="Calibri" w:eastAsia="Calibri" w:hAnsi="Calibri"/>
          <w:color w:val="3D4A5C"/>
          <w:sz w:val="22"/>
          <w:szCs w:val="22"/>
        </w:rPr>
        <w:t xml:space="preserve">The intended readers are:</w:t>
      </w:r>
    </w:p>
    <w:p>
      <w:pPr>
        <w:pStyle w:val="ListParagraph"/>
        <w:numPr>
          <w:ilvl w:val="0"/>
          <w:numId w:val="2"/>
        </w:numPr>
        <w:spacing w:after="50" w:before="40"/>
      </w:pPr>
      <w:r>
        <w:rPr>
          <w:rFonts w:ascii="Calibri" w:cs="Calibri" w:eastAsia="Calibri" w:hAnsi="Calibri"/>
          <w:color w:val="3D4A5C"/>
          <w:sz w:val="22"/>
          <w:szCs w:val="22"/>
        </w:rPr>
        <w:t xml:space="preserve">Academic evaluators who want to understand the project's scope and design rationale.</w:t>
      </w:r>
    </w:p>
    <w:p>
      <w:pPr>
        <w:pStyle w:val="ListParagraph"/>
        <w:numPr>
          <w:ilvl w:val="0"/>
          <w:numId w:val="2"/>
        </w:numPr>
        <w:spacing w:after="50" w:before="40"/>
      </w:pPr>
      <w:r>
        <w:rPr>
          <w:rFonts w:ascii="Calibri" w:cs="Calibri" w:eastAsia="Calibri" w:hAnsi="Calibri"/>
          <w:color w:val="3D4A5C"/>
          <w:sz w:val="22"/>
          <w:szCs w:val="22"/>
        </w:rPr>
        <w:t xml:space="preserve">Developers responsible for implementing or extending the system.</w:t>
      </w:r>
    </w:p>
    <w:p>
      <w:pPr>
        <w:pStyle w:val="ListParagraph"/>
        <w:numPr>
          <w:ilvl w:val="0"/>
          <w:numId w:val="2"/>
        </w:numPr>
        <w:spacing w:after="50" w:before="40"/>
      </w:pPr>
      <w:r>
        <w:rPr>
          <w:rFonts w:ascii="Calibri" w:cs="Calibri" w:eastAsia="Calibri" w:hAnsi="Calibri"/>
          <w:color w:val="3D4A5C"/>
          <w:sz w:val="22"/>
          <w:szCs w:val="22"/>
        </w:rPr>
        <w:t xml:space="preserve">QA engineers designing test cases from the stated requirements.</w:t>
      </w:r>
    </w:p>
    <w:p>
      <w:pPr>
        <w:pStyle w:val="ListParagraph"/>
        <w:numPr>
          <w:ilvl w:val="0"/>
          <w:numId w:val="2"/>
        </w:numPr>
        <w:spacing w:after="50" w:before="40"/>
      </w:pPr>
      <w:r>
        <w:rPr>
          <w:rFonts w:ascii="Calibri" w:cs="Calibri" w:eastAsia="Calibri" w:hAnsi="Calibri"/>
          <w:color w:val="3D4A5C"/>
          <w:sz w:val="22"/>
          <w:szCs w:val="22"/>
        </w:rPr>
        <w:t xml:space="preserve">System administrators planning deployment and maintenance.</w:t>
      </w:r>
    </w:p>
    <w:p>
      <w:pPr>
        <w:pStyle w:val="Heading2"/>
        <w:spacing w:after="100" w:before="300"/>
      </w:pPr>
      <w:r>
        <w:rPr>
          <w:rFonts w:ascii="Georgia" w:cs="Georgia" w:eastAsia="Georgia" w:hAnsi="Georgia"/>
          <w:b/>
          <w:bCs/>
          <w:color w:val="0E6E6E"/>
          <w:sz w:val="27"/>
          <w:szCs w:val="27"/>
        </w:rPr>
        <w:t xml:space="preserve">1.2  Conventions used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Convention</w:t>
            </w:r>
          </w:p>
        </w:tc>
        <w:tc>
          <w:tcPr>
            <w:tcW w:type="dxa" w:w="76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What it means</w:t>
            </w:r>
          </w:p>
        </w:tc>
      </w:tr>
      <w:tr>
        <w:tc>
          <w:tcPr>
            <w:tcW w:type="dxa" w:w="17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SHALL</w:t>
            </w:r>
          </w:p>
        </w:tc>
        <w:tc>
          <w:tcPr>
            <w:tcW w:type="dxa" w:w="76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 mandatory requirement — the system must do this.</w:t>
            </w:r>
          </w:p>
        </w:tc>
      </w:tr>
      <w:tr>
        <w:tc>
          <w:tcPr>
            <w:tcW w:type="dxa" w:w="17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SHOULD</w:t>
            </w:r>
          </w:p>
        </w:tc>
        <w:tc>
          <w:tcPr>
            <w:tcW w:type="dxa" w:w="76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Strongly recommended, but not a hard blocker if omitted.</w:t>
            </w:r>
          </w:p>
        </w:tc>
      </w:tr>
      <w:tr>
        <w:tc>
          <w:tcPr>
            <w:tcW w:type="dxa" w:w="17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MAY</w:t>
            </w:r>
          </w:p>
        </w:tc>
        <w:tc>
          <w:tcPr>
            <w:tcW w:type="dxa" w:w="76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Optional — a nice-to-have.</w:t>
            </w:r>
          </w:p>
        </w:tc>
      </w:tr>
      <w:tr>
        <w:tc>
          <w:tcPr>
            <w:tcW w:type="dxa" w:w="17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FR-XX</w:t>
            </w:r>
          </w:p>
        </w:tc>
        <w:tc>
          <w:tcPr>
            <w:tcW w:type="dxa" w:w="76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Functional Requirement ID (e.g., FR-PT-01 = Patient requirement #1).</w:t>
            </w:r>
          </w:p>
        </w:tc>
      </w:tr>
      <w:tr>
        <w:tc>
          <w:tcPr>
            <w:tcW w:type="dxa" w:w="17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NFR-XX</w:t>
            </w:r>
          </w:p>
        </w:tc>
        <w:tc>
          <w:tcPr>
            <w:tcW w:type="dxa" w:w="76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Non-Functional Requirement ID.</w:t>
            </w:r>
          </w:p>
        </w:tc>
      </w:tr>
      <w:tr>
        <w:tc>
          <w:tcPr>
            <w:tcW w:type="dxa" w:w="17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UC-XX</w:t>
            </w:r>
          </w:p>
        </w:tc>
        <w:tc>
          <w:tcPr>
            <w:tcW w:type="dxa" w:w="76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Use Case ID.</w:t>
            </w:r>
          </w:p>
        </w:tc>
      </w:tr>
      <w:tr>
        <w:tc>
          <w:tcPr>
            <w:tcW w:type="dxa" w:w="17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RBAC</w:t>
            </w:r>
          </w:p>
        </w:tc>
        <w:tc>
          <w:tcPr>
            <w:tcW w:type="dxa" w:w="76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Role-Based Access Control.</w:t>
            </w:r>
          </w:p>
        </w:tc>
      </w:tr>
      <w:tr>
        <w:tc>
          <w:tcPr>
            <w:tcW w:type="dxa" w:w="17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JWT</w:t>
            </w:r>
          </w:p>
        </w:tc>
        <w:tc>
          <w:tcPr>
            <w:tcW w:type="dxa" w:w="76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JSON Web Token — the mechanism used for stateless authentication.</w:t>
            </w:r>
          </w:p>
        </w:tc>
      </w:tr>
    </w:tbl>
    <w:p>
      <w:pPr>
        <w:pStyle w:val="Heading2"/>
        <w:spacing w:after="100" w:before="300"/>
      </w:pPr>
      <w:r>
        <w:rPr>
          <w:rFonts w:ascii="Georgia" w:cs="Georgia" w:eastAsia="Georgia" w:hAnsi="Georgia"/>
          <w:b/>
          <w:bCs/>
          <w:color w:val="0E6E6E"/>
          <w:sz w:val="27"/>
          <w:szCs w:val="27"/>
        </w:rPr>
        <w:t xml:space="preserve">1.3  A quick note on scope</w:t>
      </w:r>
    </w:p>
    <w:p>
      <w:pPr>
        <w:spacing w:after="100" w:before="60"/>
      </w:pPr>
      <w:r>
        <w:rPr>
          <w:rFonts w:ascii="Calibri" w:cs="Calibri" w:eastAsia="Calibri" w:hAnsi="Calibri"/>
          <w:color w:val="3D4A5C"/>
          <w:sz w:val="22"/>
          <w:szCs w:val="22"/>
        </w:rPr>
        <w:t xml:space="preserve">CareSync is an academic project, not a commercial deployment. Some features — particularly Aadhaar verification and payment processing — use simulation and mock APIs to demonstrate the real workflow without touching live government or financial infrastructure.</w:t>
      </w:r>
    </w:p>
    <w:p>
      <w:pPr>
        <w:pStyle w:val="Heading2"/>
        <w:spacing w:after="100" w:before="300"/>
      </w:pPr>
      <w:r>
        <w:rPr>
          <w:rFonts w:ascii="Georgia" w:cs="Georgia" w:eastAsia="Georgia" w:hAnsi="Georgia"/>
          <w:b/>
          <w:bCs/>
          <w:color w:val="0E6E6E"/>
          <w:sz w:val="27"/>
          <w:szCs w:val="27"/>
        </w:rPr>
        <w:t xml:space="preserve">1.4  References</w:t>
      </w:r>
    </w:p>
    <w:p>
      <w:pPr>
        <w:pStyle w:val="ListParagraph"/>
        <w:numPr>
          <w:ilvl w:val="0"/>
          <w:numId w:val="2"/>
        </w:numPr>
        <w:spacing w:after="50" w:before="40"/>
      </w:pPr>
      <w:r>
        <w:rPr>
          <w:rFonts w:ascii="Calibri" w:cs="Calibri" w:eastAsia="Calibri" w:hAnsi="Calibri"/>
          <w:color w:val="3D4A5C"/>
          <w:sz w:val="22"/>
          <w:szCs w:val="22"/>
        </w:rPr>
        <w:t xml:space="preserve">IEEE Std 830-1998 — Recommended Practice for Software Requirements Specifications.</w:t>
      </w:r>
    </w:p>
    <w:p>
      <w:pPr>
        <w:pStyle w:val="ListParagraph"/>
        <w:numPr>
          <w:ilvl w:val="0"/>
          <w:numId w:val="2"/>
        </w:numPr>
        <w:spacing w:after="50" w:before="40"/>
      </w:pPr>
      <w:r>
        <w:rPr>
          <w:rFonts w:ascii="Calibri" w:cs="Calibri" w:eastAsia="Calibri" w:hAnsi="Calibri"/>
          <w:color w:val="3D4A5C"/>
          <w:sz w:val="22"/>
          <w:szCs w:val="22"/>
        </w:rPr>
        <w:t xml:space="preserve">React Documentation — https://reactjs.org/docs</w:t>
      </w:r>
    </w:p>
    <w:p>
      <w:pPr>
        <w:pStyle w:val="ListParagraph"/>
        <w:numPr>
          <w:ilvl w:val="0"/>
          <w:numId w:val="2"/>
        </w:numPr>
        <w:spacing w:after="50" w:before="40"/>
      </w:pPr>
      <w:r>
        <w:rPr>
          <w:rFonts w:ascii="Calibri" w:cs="Calibri" w:eastAsia="Calibri" w:hAnsi="Calibri"/>
          <w:color w:val="3D4A5C"/>
          <w:sz w:val="22"/>
          <w:szCs w:val="22"/>
        </w:rPr>
        <w:t xml:space="preserve">Express.js Documentation — https://expressjs.com</w:t>
      </w:r>
    </w:p>
    <w:p>
      <w:pPr>
        <w:pStyle w:val="ListParagraph"/>
        <w:numPr>
          <w:ilvl w:val="0"/>
          <w:numId w:val="2"/>
        </w:numPr>
        <w:spacing w:after="50" w:before="40"/>
      </w:pPr>
      <w:r>
        <w:rPr>
          <w:rFonts w:ascii="Calibri" w:cs="Calibri" w:eastAsia="Calibri" w:hAnsi="Calibri"/>
          <w:color w:val="3D4A5C"/>
          <w:sz w:val="22"/>
          <w:szCs w:val="22"/>
        </w:rPr>
        <w:t xml:space="preserve">MongoDB Atlas Documentation — https://www.mongodb.com/docs/atlas</w:t>
      </w:r>
    </w:p>
    <w:p>
      <w:pPr>
        <w:pStyle w:val="ListParagraph"/>
        <w:numPr>
          <w:ilvl w:val="0"/>
          <w:numId w:val="2"/>
        </w:numPr>
        <w:spacing w:after="50" w:before="40"/>
      </w:pPr>
      <w:r>
        <w:rPr>
          <w:rFonts w:ascii="Calibri" w:cs="Calibri" w:eastAsia="Calibri" w:hAnsi="Calibri"/>
          <w:color w:val="3D4A5C"/>
          <w:sz w:val="22"/>
          <w:szCs w:val="22"/>
        </w:rPr>
        <w:t xml:space="preserve">OpenAI API Reference — https://platform.openai.com/docs</w:t>
      </w:r>
    </w:p>
    <w:p>
      <w:pPr>
        <w:pStyle w:val="ListParagraph"/>
        <w:numPr>
          <w:ilvl w:val="0"/>
          <w:numId w:val="2"/>
        </w:numPr>
        <w:spacing w:after="50" w:before="40"/>
      </w:pPr>
      <w:r>
        <w:rPr>
          <w:rFonts w:ascii="Calibri" w:cs="Calibri" w:eastAsia="Calibri" w:hAnsi="Calibri"/>
          <w:color w:val="3D4A5C"/>
          <w:sz w:val="22"/>
          <w:szCs w:val="22"/>
        </w:rPr>
        <w:t xml:space="preserve">JSON Web Token specification (RFC 7519) — https://tools.ietf.org/html/rfc7519</w:t>
      </w:r>
    </w:p>
    <w:p>
      <w:pPr>
        <w:pStyle w:val="ListParagraph"/>
        <w:numPr>
          <w:ilvl w:val="0"/>
          <w:numId w:val="2"/>
        </w:numPr>
        <w:spacing w:after="50" w:before="40"/>
      </w:pPr>
      <w:r>
        <w:rPr>
          <w:rFonts w:ascii="Calibri" w:cs="Calibri" w:eastAsia="Calibri" w:hAnsi="Calibri"/>
          <w:color w:val="3D4A5C"/>
          <w:sz w:val="22"/>
          <w:szCs w:val="22"/>
        </w:rPr>
        <w:t xml:space="preserve">UIDAI Aadhaar API Guidelines — https://uidai.gov.in</w:t>
      </w:r>
    </w:p>
    <w:p>
      <w:r>
        <w:br w:type="page"/>
      </w:r>
    </w:p>
    <w:p>
      <w:pPr>
        <w:pStyle w:val="Heading1"/>
        <w:pBdr>
          <w:bottom w:val="single" w:color="0E6E6E" w:sz="10" w:space="5"/>
        </w:pBdr>
        <w:spacing w:after="140" w:before="400"/>
      </w:pPr>
      <w:r>
        <w:rPr>
          <w:rFonts w:ascii="Georgia" w:cs="Georgia" w:eastAsia="Georgia" w:hAnsi="Georgia"/>
          <w:b/>
          <w:bCs/>
          <w:color w:val="1C1C2E"/>
          <w:sz w:val="34"/>
          <w:szCs w:val="34"/>
        </w:rPr>
        <w:t xml:space="preserve">2. Project Scope</w:t>
      </w:r>
    </w:p>
    <w:p>
      <w:pPr>
        <w:pStyle w:val="Heading2"/>
        <w:spacing w:after="100" w:before="300"/>
      </w:pPr>
      <w:r>
        <w:rPr>
          <w:rFonts w:ascii="Georgia" w:cs="Georgia" w:eastAsia="Georgia" w:hAnsi="Georgia"/>
          <w:b/>
          <w:bCs/>
          <w:color w:val="0E6E6E"/>
          <w:sz w:val="27"/>
          <w:szCs w:val="27"/>
        </w:rPr>
        <w:t xml:space="preserve">2.1  What CareSync is</w:t>
      </w:r>
    </w:p>
    <w:p>
      <w:pPr>
        <w:spacing w:after="100" w:before="60"/>
      </w:pPr>
      <w:r>
        <w:rPr>
          <w:rFonts w:ascii="Calibri" w:cs="Calibri" w:eastAsia="Calibri" w:hAnsi="Calibri"/>
          <w:color w:val="3D4A5C"/>
          <w:sz w:val="22"/>
          <w:szCs w:val="22"/>
        </w:rPr>
        <w:t xml:space="preserve">CareSync is a cloud-hosted, role-aware web application that digitises the day-to-day operations of a hospital or clinic. Rather than building one monolithic portal, it gives each user type — Patient, Doctor, Receptionist, Admin — their own tailored experience, with permissions enforced at every layer of the stack.</w:t>
      </w:r>
    </w:p>
    <w:p>
      <w:pPr>
        <w:spacing w:after="100" w:before="60"/>
      </w:pPr>
      <w:r>
        <w:rPr>
          <w:rFonts w:ascii="Calibri" w:cs="Calibri" w:eastAsia="Calibri" w:hAnsi="Calibri"/>
          <w:color w:val="3D4A5C"/>
          <w:sz w:val="22"/>
          <w:szCs w:val="22"/>
        </w:rPr>
        <w:t xml:space="preserve">The motivation is simple: most hospital workflows still rely on phone calls, paper registers, and disconnected spreadsheets. CareSync consolidates appointment scheduling, medical records, lab tests, bed management, and emergency routing into one coherent platform.</w:t>
      </w:r>
    </w:p>
    <w:p>
      <w:pPr>
        <w:pStyle w:val="Heading2"/>
        <w:spacing w:after="100" w:before="300"/>
      </w:pPr>
      <w:r>
        <w:rPr>
          <w:rFonts w:ascii="Georgia" w:cs="Georgia" w:eastAsia="Georgia" w:hAnsi="Georgia"/>
          <w:b/>
          <w:bCs/>
          <w:color w:val="0E6E6E"/>
          <w:sz w:val="27"/>
          <w:szCs w:val="27"/>
        </w:rPr>
        <w:t xml:space="preserve">2.2  Features included in this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rPr>
          <w:tblHeader/>
        </w:trPr>
        <w:tc>
          <w:tcPr>
            <w:tcW w:type="dxa" w:w="2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Feature</w:t>
            </w:r>
          </w:p>
        </w:tc>
        <w:tc>
          <w:tcPr>
            <w:tcW w:type="dxa" w:w="40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What it does</w:t>
            </w:r>
          </w:p>
        </w:tc>
        <w:tc>
          <w:tcPr>
            <w:tcW w:type="dxa" w:w="2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Who uses it</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Appointment management</w:t>
            </w:r>
          </w:p>
        </w:tc>
        <w:tc>
          <w:tcPr>
            <w:tcW w:type="dxa" w:w="40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Book, reschedule, or cancel appointments online.</w:t>
            </w:r>
          </w:p>
        </w:tc>
        <w:tc>
          <w:tcPr>
            <w:tcW w:type="dxa" w:w="2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 Doctor, Receptionist</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Lab test booking</w:t>
            </w:r>
          </w:p>
        </w:tc>
        <w:tc>
          <w:tcPr>
            <w:tcW w:type="dxa" w:w="40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Browse available tests, pick a slot, and simulate payment.</w:t>
            </w:r>
          </w:p>
        </w:tc>
        <w:tc>
          <w:tcPr>
            <w:tcW w:type="dxa" w:w="2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 Receptionist</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Medical records</w:t>
            </w:r>
          </w:p>
        </w:tc>
        <w:tc>
          <w:tcPr>
            <w:tcW w:type="dxa" w:w="40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Secure health history with patient-controlled doctor access.</w:t>
            </w:r>
          </w:p>
        </w:tc>
        <w:tc>
          <w:tcPr>
            <w:tcW w:type="dxa" w:w="2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 Doctor</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Bed management</w:t>
            </w:r>
          </w:p>
        </w:tc>
        <w:tc>
          <w:tcPr>
            <w:tcW w:type="dxa" w:w="40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Real-time allocation, status updates, and discharge tracking.</w:t>
            </w:r>
          </w:p>
        </w:tc>
        <w:tc>
          <w:tcPr>
            <w:tcW w:type="dxa" w:w="2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Receptionist, Admin</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Emergency SOS</w:t>
            </w:r>
          </w:p>
        </w:tc>
        <w:tc>
          <w:tcPr>
            <w:tcW w:type="dxa" w:w="40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One-tap alert that finds and routes to the nearest hospital.</w:t>
            </w:r>
          </w:p>
        </w:tc>
        <w:tc>
          <w:tcPr>
            <w:tcW w:type="dxa" w:w="2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AI symptom checker</w:t>
            </w:r>
          </w:p>
        </w:tc>
        <w:tc>
          <w:tcPr>
            <w:tcW w:type="dxa" w:w="40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Conversational chatbot (OpenAI + mock fallback) for preliminary guidance.</w:t>
            </w:r>
          </w:p>
        </w:tc>
        <w:tc>
          <w:tcPr>
            <w:tcW w:type="dxa" w:w="2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Admin analytics dashboard</w:t>
            </w:r>
          </w:p>
        </w:tc>
        <w:tc>
          <w:tcPr>
            <w:tcW w:type="dxa" w:w="40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Charts and KPIs for appointments, revenue, and bed occupancy.</w:t>
            </w:r>
          </w:p>
        </w:tc>
        <w:tc>
          <w:tcPr>
            <w:tcW w:type="dxa" w:w="2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Admin</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Aadhaar verification</w:t>
            </w:r>
          </w:p>
        </w:tc>
        <w:tc>
          <w:tcPr>
            <w:tcW w:type="dxa" w:w="40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Mock identity verification for patient onboarding.</w:t>
            </w:r>
          </w:p>
        </w:tc>
        <w:tc>
          <w:tcPr>
            <w:tcW w:type="dxa" w:w="2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 Admin</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File uploads</w:t>
            </w:r>
          </w:p>
        </w:tc>
        <w:tc>
          <w:tcPr>
            <w:tcW w:type="dxa" w:w="40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PDF and image uploads for medical documents.</w:t>
            </w:r>
          </w:p>
        </w:tc>
        <w:tc>
          <w:tcPr>
            <w:tcW w:type="dxa" w:w="2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 Doctor</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Role-based access control</w:t>
            </w:r>
          </w:p>
        </w:tc>
        <w:tc>
          <w:tcPr>
            <w:tcW w:type="dxa" w:w="40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JWT authentication with per-role permission enforcement.</w:t>
            </w:r>
          </w:p>
        </w:tc>
        <w:tc>
          <w:tcPr>
            <w:tcW w:type="dxa" w:w="2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All roles</w:t>
            </w:r>
          </w:p>
        </w:tc>
      </w:tr>
    </w:tbl>
    <w:p>
      <w:pPr>
        <w:pStyle w:val="Heading2"/>
        <w:spacing w:after="100" w:before="300"/>
      </w:pPr>
      <w:r>
        <w:rPr>
          <w:rFonts w:ascii="Georgia" w:cs="Georgia" w:eastAsia="Georgia" w:hAnsi="Georgia"/>
          <w:b/>
          <w:bCs/>
          <w:color w:val="0E6E6E"/>
          <w:sz w:val="27"/>
          <w:szCs w:val="27"/>
        </w:rPr>
        <w:t xml:space="preserve">2.3  What's out of scope (for now)</w:t>
      </w:r>
    </w:p>
    <w:p>
      <w:pPr>
        <w:spacing w:after="100" w:before="60"/>
      </w:pPr>
      <w:r>
        <w:rPr>
          <w:rFonts w:ascii="Calibri" w:cs="Calibri" w:eastAsia="Calibri" w:hAnsi="Calibri"/>
          <w:color w:val="3D4A5C"/>
          <w:sz w:val="22"/>
          <w:szCs w:val="22"/>
        </w:rPr>
        <w:t xml:space="preserve">To keep the project focused and deliverable within a semester, the following are explicitly excluded:</w:t>
      </w:r>
    </w:p>
    <w:p>
      <w:pPr>
        <w:pStyle w:val="ListParagraph"/>
        <w:numPr>
          <w:ilvl w:val="0"/>
          <w:numId w:val="2"/>
        </w:numPr>
        <w:spacing w:after="50" w:before="40"/>
      </w:pPr>
      <w:r>
        <w:rPr>
          <w:rFonts w:ascii="Calibri" w:cs="Calibri" w:eastAsia="Calibri" w:hAnsi="Calibri"/>
          <w:color w:val="3D4A5C"/>
          <w:sz w:val="22"/>
          <w:szCs w:val="22"/>
        </w:rPr>
        <w:t xml:space="preserve">Live telemedicine or video consultations.</w:t>
      </w:r>
    </w:p>
    <w:p>
      <w:pPr>
        <w:pStyle w:val="ListParagraph"/>
        <w:numPr>
          <w:ilvl w:val="0"/>
          <w:numId w:val="2"/>
        </w:numPr>
        <w:spacing w:after="50" w:before="40"/>
      </w:pPr>
      <w:r>
        <w:rPr>
          <w:rFonts w:ascii="Calibri" w:cs="Calibri" w:eastAsia="Calibri" w:hAnsi="Calibri"/>
          <w:color w:val="3D4A5C"/>
          <w:sz w:val="22"/>
          <w:szCs w:val="22"/>
        </w:rPr>
        <w:t xml:space="preserve">Real insurance claim processing.</w:t>
      </w:r>
    </w:p>
    <w:p>
      <w:pPr>
        <w:pStyle w:val="ListParagraph"/>
        <w:numPr>
          <w:ilvl w:val="0"/>
          <w:numId w:val="2"/>
        </w:numPr>
        <w:spacing w:after="50" w:before="40"/>
      </w:pPr>
      <w:r>
        <w:rPr>
          <w:rFonts w:ascii="Calibri" w:cs="Calibri" w:eastAsia="Calibri" w:hAnsi="Calibri"/>
          <w:color w:val="3D4A5C"/>
          <w:sz w:val="22"/>
          <w:szCs w:val="22"/>
        </w:rPr>
        <w:t xml:space="preserve">Pharmacy and medication inventory.</w:t>
      </w:r>
    </w:p>
    <w:p>
      <w:pPr>
        <w:pStyle w:val="ListParagraph"/>
        <w:numPr>
          <w:ilvl w:val="0"/>
          <w:numId w:val="2"/>
        </w:numPr>
        <w:spacing w:after="50" w:before="40"/>
      </w:pPr>
      <w:r>
        <w:rPr>
          <w:rFonts w:ascii="Calibri" w:cs="Calibri" w:eastAsia="Calibri" w:hAnsi="Calibri"/>
          <w:color w:val="3D4A5C"/>
          <w:sz w:val="22"/>
          <w:szCs w:val="22"/>
        </w:rPr>
        <w:t xml:space="preserve">Live payment gateway integration — payments are simulated throughout.</w:t>
      </w:r>
    </w:p>
    <w:p>
      <w:pPr>
        <w:pStyle w:val="ListParagraph"/>
        <w:numPr>
          <w:ilvl w:val="0"/>
          <w:numId w:val="2"/>
        </w:numPr>
        <w:spacing w:after="50" w:before="40"/>
      </w:pPr>
      <w:r>
        <w:rPr>
          <w:rFonts w:ascii="Calibri" w:cs="Calibri" w:eastAsia="Calibri" w:hAnsi="Calibri"/>
          <w:color w:val="3D4A5C"/>
          <w:sz w:val="22"/>
          <w:szCs w:val="22"/>
        </w:rPr>
        <w:t xml:space="preserve">A native iOS or Android app.</w:t>
      </w:r>
    </w:p>
    <w:p>
      <w:pPr>
        <w:pStyle w:val="ListParagraph"/>
        <w:numPr>
          <w:ilvl w:val="0"/>
          <w:numId w:val="2"/>
        </w:numPr>
        <w:spacing w:after="50" w:before="40"/>
      </w:pPr>
      <w:r>
        <w:rPr>
          <w:rFonts w:ascii="Calibri" w:cs="Calibri" w:eastAsia="Calibri" w:hAnsi="Calibri"/>
          <w:color w:val="3D4A5C"/>
          <w:sz w:val="22"/>
          <w:szCs w:val="22"/>
        </w:rPr>
        <w:t xml:space="preserve">Multi-branch or multi-hospital networking.</w:t>
      </w:r>
    </w:p>
    <w:p>
      <w:pPr>
        <w:pStyle w:val="Heading2"/>
        <w:spacing w:after="100" w:before="300"/>
      </w:pPr>
      <w:r>
        <w:rPr>
          <w:rFonts w:ascii="Georgia" w:cs="Georgia" w:eastAsia="Georgia" w:hAnsi="Georgia"/>
          <w:b/>
          <w:bCs/>
          <w:color w:val="0E6E6E"/>
          <w:sz w:val="27"/>
          <w:szCs w:val="27"/>
        </w:rPr>
        <w:t xml:space="preserve">2.4  Why it matters</w:t>
      </w:r>
    </w:p>
    <w:p>
      <w:pPr>
        <w:spacing w:after="100" w:before="60"/>
      </w:pPr>
      <w:r>
        <w:rPr>
          <w:rFonts w:ascii="Calibri" w:cs="Calibri" w:eastAsia="Calibri" w:hAnsi="Calibri"/>
          <w:color w:val="3D4A5C"/>
          <w:sz w:val="22"/>
          <w:szCs w:val="22"/>
        </w:rPr>
        <w:t xml:space="preserve">Beyond the academic exercise, CareSync demonstrates a set of real-world engineering choices: secure JWT-based RBAC, an AI assistant with graceful degradation, GPS-powered emergency routing, and permission-gated data access. Each of these addresses a concrete problem that healthcare software encounters in production.</w:t>
      </w:r>
    </w:p>
    <w:p>
      <w:r>
        <w:br w:type="page"/>
      </w:r>
    </w:p>
    <w:p>
      <w:pPr>
        <w:pStyle w:val="Heading1"/>
        <w:pBdr>
          <w:bottom w:val="single" w:color="0E6E6E" w:sz="10" w:space="5"/>
        </w:pBdr>
        <w:spacing w:after="140" w:before="400"/>
      </w:pPr>
      <w:r>
        <w:rPr>
          <w:rFonts w:ascii="Georgia" w:cs="Georgia" w:eastAsia="Georgia" w:hAnsi="Georgia"/>
          <w:b/>
          <w:bCs/>
          <w:color w:val="1C1C2E"/>
          <w:sz w:val="34"/>
          <w:szCs w:val="34"/>
        </w:rPr>
        <w:t xml:space="preserve">3. Overall System Description</w:t>
      </w:r>
    </w:p>
    <w:p>
      <w:pPr>
        <w:pStyle w:val="Heading2"/>
        <w:spacing w:after="100" w:before="300"/>
      </w:pPr>
      <w:r>
        <w:rPr>
          <w:rFonts w:ascii="Georgia" w:cs="Georgia" w:eastAsia="Georgia" w:hAnsi="Georgia"/>
          <w:b/>
          <w:bCs/>
          <w:color w:val="0E6E6E"/>
          <w:sz w:val="27"/>
          <w:szCs w:val="27"/>
        </w:rPr>
        <w:t xml:space="preserve">3.1  How the system is structured</w:t>
      </w:r>
    </w:p>
    <w:p>
      <w:pPr>
        <w:spacing w:after="100" w:before="60"/>
      </w:pPr>
      <w:r>
        <w:rPr>
          <w:rFonts w:ascii="Calibri" w:cs="Calibri" w:eastAsia="Calibri" w:hAnsi="Calibri"/>
          <w:color w:val="3D4A5C"/>
          <w:sz w:val="22"/>
          <w:szCs w:val="22"/>
        </w:rPr>
        <w:t xml:space="preserve">CareSync follows a classic three-tier architecture, with each tier deployed independently:</w:t>
      </w:r>
    </w:p>
    <w:tbl>
      <w:tblPr>
        <w:tblW w:type="dxa" w:w="9360"/>
        <w:tblBorders>
          <w:top w:val="single" w:color="0E6E6E" w:sz="18"/>
          <w:left w:val="none" w:color="FFFFFF" w:sz="0"/>
          <w:bottom w:val="single" w:color="0E6E6E" w:sz="4"/>
          <w:right w:val="none" w:color="FFFFFF" w:sz="0"/>
          <w:insideH w:val="single" w:color="auto" w:sz="4"/>
          <w:insideV w:val="single" w:color="auto" w:sz="4"/>
        </w:tblBorders>
      </w:tblPr>
      <w:tblGrid>
        <w:gridCol w:w="9360"/>
      </w:tblGrid>
      <w:tr>
        <w:tc>
          <w:tcPr>
            <w:tcW w:type="dxa" w:w="9360"/>
            <w:tcBorders>
              <w:top w:val="none" w:color="FFFFFF" w:sz="0"/>
              <w:left w:val="single" w:color="0E6E6E" w:sz="18"/>
              <w:bottom w:val="none" w:color="FFFFFF" w:sz="0"/>
              <w:right w:val="none" w:color="FFFFFF" w:sz="0"/>
            </w:tcBorders>
            <w:shd w:fill="E0F4F4" w:val="clear"/>
            <w:tcMar>
              <w:top w:type="dxa" w:w="60"/>
              <w:left w:type="dxa" w:w="240"/>
              <w:bottom w:type="dxa" w:w="60"/>
              <w:right w:type="dxa" w:w="160"/>
            </w:tcMar>
          </w:tcPr>
          <w:p>
            <w:r>
              <w:rPr>
                <w:rFonts w:ascii="Calibri" w:cs="Calibri" w:eastAsia="Calibri" w:hAnsi="Calibri"/>
                <w:color w:val="3D4A5C"/>
                <w:sz w:val="21"/>
                <w:szCs w:val="21"/>
              </w:rPr>
              <w:t xml:space="preserve">Presentation layer:   React 18 + TypeScript + Tailwind CSS, built with Vite, deployed on Vercel.</w:t>
            </w:r>
          </w:p>
        </w:tc>
      </w:tr>
      <w:tr>
        <w:tc>
          <w:tcPr>
            <w:tcW w:type="dxa" w:w="9360"/>
            <w:tcBorders>
              <w:top w:val="none" w:color="FFFFFF" w:sz="0"/>
              <w:left w:val="single" w:color="0E6E6E" w:sz="18"/>
              <w:bottom w:val="none" w:color="FFFFFF" w:sz="0"/>
              <w:right w:val="none" w:color="FFFFFF" w:sz="0"/>
            </w:tcBorders>
            <w:shd w:fill="E0F4F4" w:val="clear"/>
            <w:tcMar>
              <w:top w:type="dxa" w:w="60"/>
              <w:left w:type="dxa" w:w="240"/>
              <w:bottom w:type="dxa" w:w="60"/>
              <w:right w:type="dxa" w:w="160"/>
            </w:tcMar>
          </w:tcPr>
          <w:p>
            <w:r>
              <w:rPr>
                <w:rFonts w:ascii="Calibri" w:cs="Calibri" w:eastAsia="Calibri" w:hAnsi="Calibri"/>
                <w:color w:val="3D4A5C"/>
                <w:sz w:val="21"/>
                <w:szCs w:val="21"/>
              </w:rPr>
              <w:t xml:space="preserve">Application layer:    Node.js + Express.js REST API, deployed on Railway.</w:t>
            </w:r>
          </w:p>
        </w:tc>
      </w:tr>
      <w:tr>
        <w:tc>
          <w:tcPr>
            <w:tcW w:type="dxa" w:w="9360"/>
            <w:tcBorders>
              <w:top w:val="none" w:color="FFFFFF" w:sz="0"/>
              <w:left w:val="single" w:color="0E6E6E" w:sz="18"/>
              <w:bottom w:val="none" w:color="FFFFFF" w:sz="0"/>
              <w:right w:val="none" w:color="FFFFFF" w:sz="0"/>
            </w:tcBorders>
            <w:shd w:fill="E0F4F4" w:val="clear"/>
            <w:tcMar>
              <w:top w:type="dxa" w:w="60"/>
              <w:left w:type="dxa" w:w="240"/>
              <w:bottom w:type="dxa" w:w="60"/>
              <w:right w:type="dxa" w:w="160"/>
            </w:tcMar>
          </w:tcPr>
          <w:p>
            <w:r>
              <w:rPr>
                <w:rFonts w:ascii="Calibri" w:cs="Calibri" w:eastAsia="Calibri" w:hAnsi="Calibri"/>
                <w:color w:val="3D4A5C"/>
                <w:sz w:val="21"/>
                <w:szCs w:val="21"/>
              </w:rPr>
              <w:t xml:space="preserve">Data layer:           MongoDB Atlas (cloud-hosted NoSQL, M0/M10 cluster).</w:t>
            </w:r>
          </w:p>
        </w:tc>
      </w:tr>
      <w:tr>
        <w:tc>
          <w:tcPr>
            <w:tcW w:type="dxa" w:w="9360"/>
            <w:tcBorders>
              <w:top w:val="none" w:color="FFFFFF" w:sz="0"/>
              <w:left w:val="single" w:color="0E6E6E" w:sz="18"/>
              <w:bottom w:val="none" w:color="FFFFFF" w:sz="0"/>
              <w:right w:val="none" w:color="FFFFFF" w:sz="0"/>
            </w:tcBorders>
            <w:shd w:fill="E0F4F4" w:val="clear"/>
            <w:tcMar>
              <w:top w:type="dxa" w:w="60"/>
              <w:left w:type="dxa" w:w="240"/>
              <w:bottom w:type="dxa" w:w="60"/>
              <w:right w:type="dxa" w:w="160"/>
            </w:tcMar>
          </w:tcPr>
          <w:p>
            <w:r>
              <w:rPr>
                <w:rFonts w:ascii="Calibri" w:cs="Calibri" w:eastAsia="Calibri" w:hAnsi="Calibri"/>
                <w:color w:val="3D4A5C"/>
                <w:sz w:val="21"/>
                <w:szCs w:val="21"/>
              </w:rPr>
              <w:t xml:space="preserve">Auth:                 JSON Web Tokens (JWT) with bcrypt password hashing and RBAC middleware.</w:t>
            </w:r>
          </w:p>
        </w:tc>
      </w:tr>
      <w:tr>
        <w:tc>
          <w:tcPr>
            <w:tcW w:type="dxa" w:w="9360"/>
            <w:tcBorders>
              <w:top w:val="none" w:color="FFFFFF" w:sz="0"/>
              <w:left w:val="single" w:color="0E6E6E" w:sz="18"/>
              <w:bottom w:val="none" w:color="FFFFFF" w:sz="0"/>
              <w:right w:val="none" w:color="FFFFFF" w:sz="0"/>
            </w:tcBorders>
            <w:shd w:fill="E0F4F4" w:val="clear"/>
            <w:tcMar>
              <w:top w:type="dxa" w:w="60"/>
              <w:left w:type="dxa" w:w="240"/>
              <w:bottom w:type="dxa" w:w="60"/>
              <w:right w:type="dxa" w:w="160"/>
            </w:tcMar>
          </w:tcPr>
          <w:p>
            <w:r>
              <w:rPr>
                <w:rFonts w:ascii="Calibri" w:cs="Calibri" w:eastAsia="Calibri" w:hAnsi="Calibri"/>
                <w:color w:val="3D4A5C"/>
                <w:sz w:val="21"/>
                <w:szCs w:val="21"/>
              </w:rPr>
              <w:t xml:space="preserve">External services:    OpenAI API · Google Maps API · Mock Aadhaar API · Cloudinary/Multer.</w:t>
            </w:r>
          </w:p>
        </w:tc>
      </w:tr>
    </w:tbl>
    <w:p>
      <w:pPr>
        <w:spacing w:after="80" w:before="0"/>
      </w:pPr>
      <w:r>
        <w:t xml:space="preserve"/>
      </w:r>
    </w:p>
    <w:p>
      <w:pPr>
        <w:spacing w:after="100" w:before="60"/>
      </w:pPr>
      <w:r>
        <w:rPr>
          <w:rFonts w:ascii="Calibri" w:cs="Calibri" w:eastAsia="Calibri" w:hAnsi="Calibri"/>
          <w:color w:val="3D4A5C"/>
          <w:sz w:val="22"/>
          <w:szCs w:val="22"/>
        </w:rPr>
        <w:t xml:space="preserve">The frontend and backend communicate exclusively over HTTPS via REST. No WebSocket connections are used in this version; the frontend polls for updates where real-time behaviour is needed.</w:t>
      </w:r>
    </w:p>
    <w:p>
      <w:pPr>
        <w:pStyle w:val="Heading2"/>
        <w:spacing w:after="100" w:before="300"/>
      </w:pPr>
      <w:r>
        <w:rPr>
          <w:rFonts w:ascii="Georgia" w:cs="Georgia" w:eastAsia="Georgia" w:hAnsi="Georgia"/>
          <w:b/>
          <w:bCs/>
          <w:color w:val="0E6E6E"/>
          <w:sz w:val="27"/>
          <w:szCs w:val="27"/>
        </w:rPr>
        <w:t xml:space="preserve">3.2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Layer / Concern</w:t>
            </w:r>
          </w:p>
        </w:tc>
        <w:tc>
          <w:tcPr>
            <w:tcW w:type="dxa" w:w="61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Technology</w:t>
            </w:r>
          </w:p>
        </w:tc>
      </w:tr>
      <w:tr>
        <w:tc>
          <w:tcPr>
            <w:tcW w:type="dxa" w:w="32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Frontend framework</w:t>
            </w:r>
          </w:p>
        </w:tc>
        <w:tc>
          <w:tcPr>
            <w:tcW w:type="dxa" w:w="61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React 18 with TypeScript</w:t>
            </w:r>
          </w:p>
        </w:tc>
      </w:tr>
      <w:tr>
        <w:tc>
          <w:tcPr>
            <w:tcW w:type="dxa" w:w="32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Styling</w:t>
            </w:r>
          </w:p>
        </w:tc>
        <w:tc>
          <w:tcPr>
            <w:tcW w:type="dxa" w:w="61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Tailwind CSS</w:t>
            </w:r>
          </w:p>
        </w:tc>
      </w:tr>
      <w:tr>
        <w:tc>
          <w:tcPr>
            <w:tcW w:type="dxa" w:w="32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Build tool</w:t>
            </w:r>
          </w:p>
        </w:tc>
        <w:tc>
          <w:tcPr>
            <w:tcW w:type="dxa" w:w="61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Vite</w:t>
            </w:r>
          </w:p>
        </w:tc>
      </w:tr>
      <w:tr>
        <w:tc>
          <w:tcPr>
            <w:tcW w:type="dxa" w:w="32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Backend runtime</w:t>
            </w:r>
          </w:p>
        </w:tc>
        <w:tc>
          <w:tcPr>
            <w:tcW w:type="dxa" w:w="61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Node.js (v18 or later)</w:t>
            </w:r>
          </w:p>
        </w:tc>
      </w:tr>
      <w:tr>
        <w:tc>
          <w:tcPr>
            <w:tcW w:type="dxa" w:w="32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Backend framework</w:t>
            </w:r>
          </w:p>
        </w:tc>
        <w:tc>
          <w:tcPr>
            <w:tcW w:type="dxa" w:w="61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Express.js</w:t>
            </w:r>
          </w:p>
        </w:tc>
      </w:tr>
      <w:tr>
        <w:tc>
          <w:tcPr>
            <w:tcW w:type="dxa" w:w="32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Database</w:t>
            </w:r>
          </w:p>
        </w:tc>
        <w:tc>
          <w:tcPr>
            <w:tcW w:type="dxa" w:w="61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MongoDB Atlas (NoSQL, cloud)</w:t>
            </w:r>
          </w:p>
        </w:tc>
      </w:tr>
      <w:tr>
        <w:tc>
          <w:tcPr>
            <w:tcW w:type="dxa" w:w="32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Authentication</w:t>
            </w:r>
          </w:p>
        </w:tc>
        <w:tc>
          <w:tcPr>
            <w:tcW w:type="dxa" w:w="61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JSON Web Tokens (JWT) + bcrypt (min cost factor 10)</w:t>
            </w:r>
          </w:p>
        </w:tc>
      </w:tr>
      <w:tr>
        <w:tc>
          <w:tcPr>
            <w:tcW w:type="dxa" w:w="32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Access control</w:t>
            </w:r>
          </w:p>
        </w:tc>
        <w:tc>
          <w:tcPr>
            <w:tcW w:type="dxa" w:w="61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Custom RBAC middleware on all protected Express routes</w:t>
            </w:r>
          </w:p>
        </w:tc>
      </w:tr>
      <w:tr>
        <w:tc>
          <w:tcPr>
            <w:tcW w:type="dxa" w:w="32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Frontend hosting</w:t>
            </w:r>
          </w:p>
        </w:tc>
        <w:tc>
          <w:tcPr>
            <w:tcW w:type="dxa" w:w="61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Vercel (CDN-distributed static build)</w:t>
            </w:r>
          </w:p>
        </w:tc>
      </w:tr>
      <w:tr>
        <w:tc>
          <w:tcPr>
            <w:tcW w:type="dxa" w:w="32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Backend hosting</w:t>
            </w:r>
          </w:p>
        </w:tc>
        <w:tc>
          <w:tcPr>
            <w:tcW w:type="dxa" w:w="61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Railway (containerised Node.js process)</w:t>
            </w:r>
          </w:p>
        </w:tc>
      </w:tr>
      <w:tr>
        <w:tc>
          <w:tcPr>
            <w:tcW w:type="dxa" w:w="32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AI integration</w:t>
            </w:r>
          </w:p>
        </w:tc>
        <w:tc>
          <w:tcPr>
            <w:tcW w:type="dxa" w:w="61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OpenAI GPT API with a keyword-matching mock fallback</w:t>
            </w:r>
          </w:p>
        </w:tc>
      </w:tr>
      <w:tr>
        <w:tc>
          <w:tcPr>
            <w:tcW w:type="dxa" w:w="32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Maps &amp; routing</w:t>
            </w:r>
          </w:p>
        </w:tc>
        <w:tc>
          <w:tcPr>
            <w:tcW w:type="dxa" w:w="61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Google Maps JavaScript API + Directions API</w:t>
            </w:r>
          </w:p>
        </w:tc>
      </w:tr>
      <w:tr>
        <w:tc>
          <w:tcPr>
            <w:tcW w:type="dxa" w:w="32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File handling</w:t>
            </w:r>
          </w:p>
        </w:tc>
        <w:tc>
          <w:tcPr>
            <w:tcW w:type="dxa" w:w="61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Multer (local dev) / Cloudinary (production)</w:t>
            </w:r>
          </w:p>
        </w:tc>
      </w:tr>
      <w:tr>
        <w:tc>
          <w:tcPr>
            <w:tcW w:type="dxa" w:w="32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Identity verification</w:t>
            </w:r>
          </w:p>
        </w:tc>
        <w:tc>
          <w:tcPr>
            <w:tcW w:type="dxa" w:w="61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Mock Aadhaar API (simulates UIDAI — no real data is processed)</w:t>
            </w:r>
          </w:p>
        </w:tc>
      </w:tr>
    </w:tbl>
    <w:p>
      <w:pPr>
        <w:pStyle w:val="Heading2"/>
        <w:spacing w:after="100" w:before="300"/>
      </w:pPr>
      <w:r>
        <w:rPr>
          <w:rFonts w:ascii="Georgia" w:cs="Georgia" w:eastAsia="Georgia" w:hAnsi="Georgia"/>
          <w:b/>
          <w:bCs/>
          <w:color w:val="0E6E6E"/>
          <w:sz w:val="27"/>
          <w:szCs w:val="27"/>
        </w:rPr>
        <w:t xml:space="preserve">3.3  The four user roles</w:t>
      </w:r>
    </w:p>
    <w:p>
      <w:pPr>
        <w:pStyle w:val="Heading3"/>
        <w:spacing w:after="80" w:before="220"/>
      </w:pPr>
      <w:r>
        <w:rPr>
          <w:rFonts w:ascii="Georgia" w:cs="Georgia" w:eastAsia="Georgia" w:hAnsi="Georgia"/>
          <w:b/>
          <w:bCs/>
          <w:color w:val="C47A1E"/>
          <w:sz w:val="24"/>
          <w:szCs w:val="24"/>
        </w:rPr>
        <w:t xml:space="preserve">Patient</w:t>
      </w:r>
    </w:p>
    <w:p>
      <w:pPr>
        <w:spacing w:after="100" w:before="60"/>
      </w:pPr>
      <w:r>
        <w:rPr>
          <w:rFonts w:ascii="Calibri" w:cs="Calibri" w:eastAsia="Calibri" w:hAnsi="Calibri"/>
          <w:color w:val="3D4A5C"/>
          <w:sz w:val="22"/>
          <w:szCs w:val="22"/>
        </w:rPr>
        <w:t xml:space="preserve">The most common user. Patients register (with Aadhaar verification), book appointments, manage their medical records, order lab tests, and have access to the SOS button and AI symptom checker. Technical proficiency assumed: basic smartphone/web user.</w:t>
      </w:r>
    </w:p>
    <w:p>
      <w:pPr>
        <w:pStyle w:val="Heading3"/>
        <w:spacing w:after="80" w:before="220"/>
      </w:pPr>
      <w:r>
        <w:rPr>
          <w:rFonts w:ascii="Georgia" w:cs="Georgia" w:eastAsia="Georgia" w:hAnsi="Georgia"/>
          <w:b/>
          <w:bCs/>
          <w:color w:val="C47A1E"/>
          <w:sz w:val="24"/>
          <w:szCs w:val="24"/>
        </w:rPr>
        <w:t xml:space="preserve">Doctor</w:t>
      </w:r>
    </w:p>
    <w:p>
      <w:pPr>
        <w:spacing w:after="100" w:before="60"/>
      </w:pPr>
      <w:r>
        <w:rPr>
          <w:rFonts w:ascii="Calibri" w:cs="Calibri" w:eastAsia="Calibri" w:hAnsi="Calibri"/>
          <w:color w:val="3D4A5C"/>
          <w:sz w:val="22"/>
          <w:szCs w:val="22"/>
        </w:rPr>
        <w:t xml:space="preserve">Licensed medical professionals who manage their schedules, view patient records (only after the patient grants permission), add clinical notes, and review lab results. Expected comfort level: moderate — similar to using an EHR or practice management system.</w:t>
      </w:r>
    </w:p>
    <w:p>
      <w:pPr>
        <w:pStyle w:val="Heading3"/>
        <w:spacing w:after="80" w:before="220"/>
      </w:pPr>
      <w:r>
        <w:rPr>
          <w:rFonts w:ascii="Georgia" w:cs="Georgia" w:eastAsia="Georgia" w:hAnsi="Georgia"/>
          <w:b/>
          <w:bCs/>
          <w:color w:val="C47A1E"/>
          <w:sz w:val="24"/>
          <w:szCs w:val="24"/>
        </w:rPr>
        <w:t xml:space="preserve">Receptionist</w:t>
      </w:r>
    </w:p>
    <w:p>
      <w:pPr>
        <w:spacing w:after="100" w:before="60"/>
      </w:pPr>
      <w:r>
        <w:rPr>
          <w:rFonts w:ascii="Calibri" w:cs="Calibri" w:eastAsia="Calibri" w:hAnsi="Calibri"/>
          <w:color w:val="3D4A5C"/>
          <w:sz w:val="22"/>
          <w:szCs w:val="22"/>
        </w:rPr>
        <w:t xml:space="preserve">Front-desk staff who act as the operational backbone. They manage appointments for all doctors, handle walk-in registrations, process lab bookings with simulated payment, and run the bed allocation workflow. No access to clinical record content.</w:t>
      </w:r>
    </w:p>
    <w:p>
      <w:pPr>
        <w:pStyle w:val="Heading3"/>
        <w:spacing w:after="80" w:before="220"/>
      </w:pPr>
      <w:r>
        <w:rPr>
          <w:rFonts w:ascii="Georgia" w:cs="Georgia" w:eastAsia="Georgia" w:hAnsi="Georgia"/>
          <w:b/>
          <w:bCs/>
          <w:color w:val="C47A1E"/>
          <w:sz w:val="24"/>
          <w:szCs w:val="24"/>
        </w:rPr>
        <w:t xml:space="preserve">Admin</w:t>
      </w:r>
    </w:p>
    <w:p>
      <w:pPr>
        <w:spacing w:after="100" w:before="60"/>
      </w:pPr>
      <w:r>
        <w:rPr>
          <w:rFonts w:ascii="Calibri" w:cs="Calibri" w:eastAsia="Calibri" w:hAnsi="Calibri"/>
          <w:color w:val="3D4A5C"/>
          <w:sz w:val="22"/>
          <w:szCs w:val="22"/>
        </w:rPr>
        <w:t xml:space="preserve">Hospital management and system administrators. Admins have read/write access to all data, can manage user accounts and roles, configure lab tests and bed inventory, and drill into the analytics dashboard. They are also the escalation point for flagged SOS events and Aadhaar verification overrides.</w:t>
      </w:r>
    </w:p>
    <w:p>
      <w:pPr>
        <w:pStyle w:val="Heading2"/>
        <w:spacing w:after="100" w:before="300"/>
      </w:pPr>
      <w:r>
        <w:rPr>
          <w:rFonts w:ascii="Georgia" w:cs="Georgia" w:eastAsia="Georgia" w:hAnsi="Georgia"/>
          <w:b/>
          <w:bCs/>
          <w:color w:val="0E6E6E"/>
          <w:sz w:val="27"/>
          <w:szCs w:val="27"/>
        </w:rPr>
        <w:t xml:space="preserve">3.4  Operating environment</w:t>
      </w:r>
    </w:p>
    <w:p>
      <w:pPr>
        <w:pStyle w:val="ListParagraph"/>
        <w:numPr>
          <w:ilvl w:val="0"/>
          <w:numId w:val="2"/>
        </w:numPr>
        <w:spacing w:after="50" w:before="40"/>
      </w:pPr>
      <w:r>
        <w:rPr>
          <w:rFonts w:ascii="Calibri" w:cs="Calibri" w:eastAsia="Calibri" w:hAnsi="Calibri"/>
          <w:color w:val="3D4A5C"/>
          <w:sz w:val="22"/>
          <w:szCs w:val="22"/>
        </w:rPr>
        <w:t xml:space="preserve">Browsers: Chrome 90+, Firefox 88+, Safari 14+, Edge 90+. Desktop and tablet form factors are the primary targets.</w:t>
      </w:r>
    </w:p>
    <w:p>
      <w:pPr>
        <w:pStyle w:val="ListParagraph"/>
        <w:numPr>
          <w:ilvl w:val="0"/>
          <w:numId w:val="2"/>
        </w:numPr>
        <w:spacing w:after="50" w:before="40"/>
      </w:pPr>
      <w:r>
        <w:rPr>
          <w:rFonts w:ascii="Calibri" w:cs="Calibri" w:eastAsia="Calibri" w:hAnsi="Calibri"/>
          <w:color w:val="3D4A5C"/>
          <w:sz w:val="22"/>
          <w:szCs w:val="22"/>
        </w:rPr>
        <w:t xml:space="preserve">Network: A stable broadband connection is assumed; minimum ~2 Mbps for comfortable use.</w:t>
      </w:r>
    </w:p>
    <w:p>
      <w:pPr>
        <w:pStyle w:val="ListParagraph"/>
        <w:numPr>
          <w:ilvl w:val="0"/>
          <w:numId w:val="2"/>
        </w:numPr>
        <w:spacing w:after="50" w:before="40"/>
      </w:pPr>
      <w:r>
        <w:rPr>
          <w:rFonts w:ascii="Calibri" w:cs="Calibri" w:eastAsia="Calibri" w:hAnsi="Calibri"/>
          <w:color w:val="3D4A5C"/>
          <w:sz w:val="22"/>
          <w:szCs w:val="22"/>
        </w:rPr>
        <w:t xml:space="preserve">Security: HTTPS is enforced end-to-end. JWT tokens expire after 24 hours.</w:t>
      </w:r>
    </w:p>
    <w:p>
      <w:pPr>
        <w:pStyle w:val="ListParagraph"/>
        <w:numPr>
          <w:ilvl w:val="0"/>
          <w:numId w:val="2"/>
        </w:numPr>
        <w:spacing w:after="50" w:before="40"/>
      </w:pPr>
      <w:r>
        <w:rPr>
          <w:rFonts w:ascii="Calibri" w:cs="Calibri" w:eastAsia="Calibri" w:hAnsi="Calibri"/>
          <w:color w:val="3D4A5C"/>
          <w:sz w:val="22"/>
          <w:szCs w:val="22"/>
        </w:rPr>
        <w:t xml:space="preserve">GPS: The SOS feature uses the W3C Geolocation API, which requires the user's browser to have location permission granted.</w:t>
      </w:r>
    </w:p>
    <w:p>
      <w:pPr>
        <w:pStyle w:val="Heading2"/>
        <w:spacing w:after="100" w:before="300"/>
      </w:pPr>
      <w:r>
        <w:rPr>
          <w:rFonts w:ascii="Georgia" w:cs="Georgia" w:eastAsia="Georgia" w:hAnsi="Georgia"/>
          <w:b/>
          <w:bCs/>
          <w:color w:val="0E6E6E"/>
          <w:sz w:val="27"/>
          <w:szCs w:val="27"/>
        </w:rPr>
        <w:t xml:space="preserve">3.5  Assumptions and dependencies</w:t>
      </w:r>
    </w:p>
    <w:p>
      <w:pPr>
        <w:pStyle w:val="ListParagraph"/>
        <w:numPr>
          <w:ilvl w:val="0"/>
          <w:numId w:val="2"/>
        </w:numPr>
        <w:spacing w:after="50" w:before="40"/>
      </w:pPr>
      <w:r>
        <w:rPr>
          <w:rFonts w:ascii="Calibri" w:cs="Calibri" w:eastAsia="Calibri" w:hAnsi="Calibri"/>
          <w:color w:val="3D4A5C"/>
          <w:sz w:val="22"/>
          <w:szCs w:val="22"/>
        </w:rPr>
        <w:t xml:space="preserve">All users have a valid email address that can receive system notifications.</w:t>
      </w:r>
    </w:p>
    <w:p>
      <w:pPr>
        <w:pStyle w:val="ListParagraph"/>
        <w:numPr>
          <w:ilvl w:val="0"/>
          <w:numId w:val="2"/>
        </w:numPr>
        <w:spacing w:after="50" w:before="40"/>
      </w:pPr>
      <w:r>
        <w:rPr>
          <w:rFonts w:ascii="Calibri" w:cs="Calibri" w:eastAsia="Calibri" w:hAnsi="Calibri"/>
          <w:color w:val="3D4A5C"/>
          <w:sz w:val="22"/>
          <w:szCs w:val="22"/>
        </w:rPr>
        <w:t xml:space="preserve">An active OpenAI API key is available in the backend environment. If the API is down, the mock fallback activates automatically — no manual intervention required.</w:t>
      </w:r>
    </w:p>
    <w:p>
      <w:pPr>
        <w:pStyle w:val="ListParagraph"/>
        <w:numPr>
          <w:ilvl w:val="0"/>
          <w:numId w:val="2"/>
        </w:numPr>
        <w:spacing w:after="50" w:before="40"/>
      </w:pPr>
      <w:r>
        <w:rPr>
          <w:rFonts w:ascii="Calibri" w:cs="Calibri" w:eastAsia="Calibri" w:hAnsi="Calibri"/>
          <w:color w:val="3D4A5C"/>
          <w:sz w:val="22"/>
          <w:szCs w:val="22"/>
        </w:rPr>
        <w:t xml:space="preserve">A Google Maps API key (with Directions API enabled) is configured for the SOS feature.</w:t>
      </w:r>
    </w:p>
    <w:p>
      <w:pPr>
        <w:pStyle w:val="ListParagraph"/>
        <w:numPr>
          <w:ilvl w:val="0"/>
          <w:numId w:val="2"/>
        </w:numPr>
        <w:spacing w:after="50" w:before="40"/>
      </w:pPr>
      <w:r>
        <w:rPr>
          <w:rFonts w:ascii="Calibri" w:cs="Calibri" w:eastAsia="Calibri" w:hAnsi="Calibri"/>
          <w:color w:val="3D4A5C"/>
          <w:sz w:val="22"/>
          <w:szCs w:val="22"/>
        </w:rPr>
        <w:t xml:space="preserve">MongoDB Atlas is configured to allow connections from Railway's deployment IP range.</w:t>
      </w:r>
    </w:p>
    <w:p>
      <w:pPr>
        <w:pStyle w:val="ListParagraph"/>
        <w:numPr>
          <w:ilvl w:val="0"/>
          <w:numId w:val="2"/>
        </w:numPr>
        <w:spacing w:after="50" w:before="40"/>
      </w:pPr>
      <w:r>
        <w:rPr>
          <w:rFonts w:ascii="Calibri" w:cs="Calibri" w:eastAsia="Calibri" w:hAnsi="Calibri"/>
          <w:color w:val="3D4A5C"/>
          <w:sz w:val="22"/>
          <w:szCs w:val="22"/>
        </w:rPr>
        <w:t xml:space="preserve">Vercel environment variables are set for all secrets — no sensitive keys are committed to the repository.</w:t>
      </w:r>
    </w:p>
    <w:p>
      <w:r>
        <w:br w:type="page"/>
      </w:r>
    </w:p>
    <w:p>
      <w:pPr>
        <w:pStyle w:val="Heading1"/>
        <w:pBdr>
          <w:bottom w:val="single" w:color="0E6E6E" w:sz="10" w:space="5"/>
        </w:pBdr>
        <w:spacing w:after="140" w:before="400"/>
      </w:pPr>
      <w:r>
        <w:rPr>
          <w:rFonts w:ascii="Georgia" w:cs="Georgia" w:eastAsia="Georgia" w:hAnsi="Georgia"/>
          <w:b/>
          <w:bCs/>
          <w:color w:val="1C1C2E"/>
          <w:sz w:val="34"/>
          <w:szCs w:val="34"/>
        </w:rPr>
        <w:t xml:space="preserve">4. Functional Requirements</w:t>
      </w:r>
    </w:p>
    <w:p>
      <w:pPr>
        <w:spacing w:after="100" w:before="60"/>
      </w:pPr>
      <w:r>
        <w:rPr>
          <w:rFonts w:ascii="Calibri" w:cs="Calibri" w:eastAsia="Calibri" w:hAnsi="Calibri"/>
          <w:color w:val="3D4A5C"/>
          <w:sz w:val="22"/>
          <w:szCs w:val="22"/>
        </w:rPr>
        <w:t xml:space="preserve">Requirements are grouped by the role or subsystem they primarily belong to. Each entry has a unique identifier that can be cross-referenced against use cases and test cases.</w:t>
      </w:r>
    </w:p>
    <w:p>
      <w:pPr>
        <w:pStyle w:val="Heading2"/>
        <w:spacing w:after="100" w:before="300"/>
      </w:pPr>
      <w:r>
        <w:rPr>
          <w:rFonts w:ascii="Georgia" w:cs="Georgia" w:eastAsia="Georgia" w:hAnsi="Georgia"/>
          <w:b/>
          <w:bCs/>
          <w:color w:val="0E6E6E"/>
          <w:sz w:val="27"/>
          <w:szCs w:val="27"/>
        </w:rPr>
        <w:t xml:space="preserve">4.1  Authentication &amp; authorisation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ID</w:t>
            </w:r>
          </w:p>
        </w:tc>
        <w:tc>
          <w:tcPr>
            <w:tcW w:type="dxa" w:w="7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Requirement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FR-AU-01</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Users register with a unique email, a password, their full name, and a role. Doctors and Receptionists require admin approval or a pre-approved invitation code before their accounts are activated.</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FR-AU-02</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Patients must complete Aadhaar verification (via mock API) as part of registration. An account is not activated until verification succeeds or is manually overridden by an Admin.</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FR-AU-03</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Successful login with correct credentials returns a signed JWT token. The token is sent in the Authorization header as a Bearer token on all subsequent protected requests.</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FR-AU-04</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JWT tokens expire after 24 hours. On expiry, the user is redirected to the login page.</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FR-AU-05</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Every protected API endpoint checks the RBAC middleware before processing a request. A request from a role that does not have permission receives HTTP 403.</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FR-AU-06</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Admin accounts cannot be self-registered. They are created by a system initialisation script or an existing Admin.</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FR-AU-07</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Passwords are stored as bcrypt hashes with a cost factor of at least 10. Plain-text passwords are never logged or returned in any API response.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FR-AU-08</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Logging out clears the JWT from client storage. The server does not need to maintain a token blocklist (stateless JWT design).</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FR-AU-09</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Failed login attempts return a generic message ('Invalid email or password') to prevent user enumeration.</w:t>
            </w:r>
          </w:p>
        </w:tc>
      </w:tr>
    </w:tbl>
    <w:p>
      <w:pPr>
        <w:pStyle w:val="Heading2"/>
        <w:spacing w:after="100" w:before="300"/>
      </w:pPr>
      <w:r>
        <w:rPr>
          <w:rFonts w:ascii="Georgia" w:cs="Georgia" w:eastAsia="Georgia" w:hAnsi="Georgia"/>
          <w:b/>
          <w:bCs/>
          <w:color w:val="0E6E6E"/>
          <w:sz w:val="27"/>
          <w:szCs w:val="27"/>
        </w:rPr>
        <w:t xml:space="preserve">4.2  Patient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ID</w:t>
            </w:r>
          </w:p>
        </w:tc>
        <w:tc>
          <w:tcPr>
            <w:tcW w:type="dxa" w:w="7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Requirement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FR-PT-01</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Patients can browse doctors, filtering by specialisation, name, and availability.</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FR-PT-02</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Patients can book an appointment by choosing a doctor, date, available time slot, and a brief reason for the visit.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FR-PT-03</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After a booking is confirmed, the patient receives an in-app notification with appointment details.</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FR-PT-04</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Patients can view all their appointments — upcoming and historical — with current status (Pending, Confirmed, Completed, Cancelled).</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FR-PT-05</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Patients can cancel an upcoming appointment, but only if it is more than two hours away from the current time.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FR-PT-06</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Patients can browse available lab tests and book one by selecting the test, a preferred date, and a time.</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FR-PT-07</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 simulated payment step is presented at lab test checkout. On payment confirmation, a receipt is generated and stored.</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FR-PT-08</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Patients can view their own medical records: diagnoses, prescriptions, treatment plans, and lab results.</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FR-PT-09</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Patients control which doctors can see their records. They can grant or revoke access to any specific doctor at any time.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FR-PT-10</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Patients can upload medical documents (PDF, JPEG, or PNG files up to 10 MB each) to their record.</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FR-PT-11</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Emergency SOS button, visible on the patient dashboard, triggers the nearest-hospital routing flow.</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FR-PT-12</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SOS routing uses the browser Geolocation API to get coordinates, then calls Google Maps Directions API to calculate the best route to the nearest hospital.</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FR-PT-13</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Patients can open the AI Symptom Checker and describe symptoms in natural language.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FR-PT-14</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chatbot returns possible conditions, an urgency level, and recommended next steps. Every response includes a disclaimer that this is informational only — not a clinical diagnosis.</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FR-PT-15</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If the OpenAI API is unreachable, the system silently falls back to a keyword-matching mock response module. The patient experience is uninterrupted.</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FR-PT-16</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Patients can update their profile (name, phone, address). Email and Aadhaar number cannot be changed after registration.</w:t>
            </w:r>
          </w:p>
        </w:tc>
      </w:tr>
    </w:tbl>
    <w:p>
      <w:pPr>
        <w:pStyle w:val="Heading2"/>
        <w:spacing w:after="100" w:before="300"/>
      </w:pPr>
      <w:r>
        <w:rPr>
          <w:rFonts w:ascii="Georgia" w:cs="Georgia" w:eastAsia="Georgia" w:hAnsi="Georgia"/>
          <w:b/>
          <w:bCs/>
          <w:color w:val="0E6E6E"/>
          <w:sz w:val="27"/>
          <w:szCs w:val="27"/>
        </w:rPr>
        <w:t xml:space="preserve">4.3  Doctor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ID</w:t>
            </w:r>
          </w:p>
        </w:tc>
        <w:tc>
          <w:tcPr>
            <w:tcW w:type="dxa" w:w="7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Requirement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FR-DR-01</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doctor dashboard shows today's appointments, pending patient queue, and a summary of recent records activity.</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FR-DR-02</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Doctors can view their full appointment list, filterable by date range, status, and patient name.</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FR-DR-03</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Doctors can update appointment status (e.g., mark as Completed, flag for rescheduling).</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FR-DR-04</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Doctors can access a patient's medical records only when that patient has explicitly granted them permission. Without permission, even the record's existence is not confirmed.</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FR-DR-05</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Doctors can add or update clinical notes, diagnoses, prescriptions, and treatment plans on accessible patient records.</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FR-DR-06</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Doctors can raise lab test requests for patients; these appear in the patient's lab test list with status 'Requested by Doctor'.</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FR-DR-07</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Doctors can view completed lab results associated with patients under their care.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FR-DR-08</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Doctors can configure their availability — which days and hour ranges they accept appointments. The booking system uses this schedule to determine valid slots.</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FR-DR-09</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Doctors can view and download medical documents uploaded by patients to records they have access to.</w:t>
            </w:r>
          </w:p>
        </w:tc>
      </w:tr>
    </w:tbl>
    <w:p>
      <w:pPr>
        <w:pStyle w:val="Heading2"/>
        <w:spacing w:after="100" w:before="300"/>
      </w:pPr>
      <w:r>
        <w:rPr>
          <w:rFonts w:ascii="Georgia" w:cs="Georgia" w:eastAsia="Georgia" w:hAnsi="Georgia"/>
          <w:b/>
          <w:bCs/>
          <w:color w:val="0E6E6E"/>
          <w:sz w:val="27"/>
          <w:szCs w:val="27"/>
        </w:rPr>
        <w:t xml:space="preserve">4.4  Receptionist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ID</w:t>
            </w:r>
          </w:p>
        </w:tc>
        <w:tc>
          <w:tcPr>
            <w:tcW w:type="dxa" w:w="7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Requirement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FR-RC-01</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receptionist dashboard shows all appointments across all doctors in a unified, filterable table.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FR-RC-02</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Receptionists can create appointments on behalf of walk-in or calling patients.</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FR-RC-03</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Receptionists can confirm, reschedule, or cancel any appointment in the system.</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FR-RC-04</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Receptionists can register a walk-in patient who doesn't yet have an account. Aadhaar verification for walk-ins is queued for later or handled manually by Admin.</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FR-RC-05</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Receptionists can book lab tests on behalf of patients, including completing the simulated payment step.</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FR-RC-06</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Receptionists have access to a real-time bed map showing occupancy across all wards.</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FR-RC-07</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Receptionists can allocate an available bed to a registered patient, specifying the ward, bed number, and admission date.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FR-RC-08</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Receptionists can change a bed's status (Occupied → Available, or mark it Under Maintenance).</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FR-RC-09</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When a patient is discharged, the receptionist marks the discharge in the system; the bed automatically becomes Available.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FR-RC-10</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Receptionists cannot view the content of patient medical records. They can see that a record exists, but not its clinical details.</w:t>
            </w:r>
          </w:p>
        </w:tc>
      </w:tr>
    </w:tbl>
    <w:p>
      <w:pPr>
        <w:pStyle w:val="Heading2"/>
        <w:spacing w:after="100" w:before="300"/>
      </w:pPr>
      <w:r>
        <w:rPr>
          <w:rFonts w:ascii="Georgia" w:cs="Georgia" w:eastAsia="Georgia" w:hAnsi="Georgia"/>
          <w:b/>
          <w:bCs/>
          <w:color w:val="0E6E6E"/>
          <w:sz w:val="27"/>
          <w:szCs w:val="27"/>
        </w:rPr>
        <w:t xml:space="preserve">4.5  Admin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ID</w:t>
            </w:r>
          </w:p>
        </w:tc>
        <w:tc>
          <w:tcPr>
            <w:tcW w:type="dxa" w:w="7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Requirement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FR-AD-01</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admin analytics dashboard shows headline KPIs: total appointments (today, this week, this month), current bed occupancy rate, total registered users by role, and simulated revenue.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FR-AD-02</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dashboard includes interactive charts: appointment trends (line), revenue over time (bar), and bed utilisation by ward (pie or doughnut).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FR-AD-03</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Admins can manage all user accounts — view, deactivate, reactivate, or permanently delete any account across any role.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FR-AD-04</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Admins can change a user's role, except they cannot remove their own Admin status.</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FR-AD-05</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Admins have unrestricted read access to all appointments, lab tests, and bed records — no permission checks apply to the admin role.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FR-AD-06</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Admins can export filtered data (appointments, bed utilisation, user statistics) as CSV files.</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FR-AD-07</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Admins can manage the lab test catalogue: add new tests, update pricing, and deactivate tests.</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FR-AD-08</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Admins can configure hospital bed inventory: add or remove wards, set bed counts, and assign bed types (General, ICU, Emergency, Private).</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FR-AD-09</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Admins can view a system log covering login events, SOS activations, and critical application errors.</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FR-AD-10</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Admins can manually override or re-trigger the Aadhaar verification status for any patient account.</w:t>
            </w:r>
          </w:p>
        </w:tc>
      </w:tr>
    </w:tbl>
    <w:p>
      <w:r>
        <w:br w:type="page"/>
      </w:r>
    </w:p>
    <w:p>
      <w:pPr>
        <w:pStyle w:val="Heading1"/>
        <w:pBdr>
          <w:bottom w:val="single" w:color="0E6E6E" w:sz="10" w:space="5"/>
        </w:pBdr>
        <w:spacing w:after="140" w:before="400"/>
      </w:pPr>
      <w:r>
        <w:rPr>
          <w:rFonts w:ascii="Georgia" w:cs="Georgia" w:eastAsia="Georgia" w:hAnsi="Georgia"/>
          <w:b/>
          <w:bCs/>
          <w:color w:val="1C1C2E"/>
          <w:sz w:val="34"/>
          <w:szCs w:val="34"/>
        </w:rPr>
        <w:t xml:space="preserve">5. Non-Functional Requirements</w:t>
      </w:r>
    </w:p>
    <w:p>
      <w:pPr>
        <w:spacing w:after="100" w:before="60"/>
      </w:pPr>
      <w:r>
        <w:rPr>
          <w:rFonts w:ascii="Calibri" w:cs="Calibri" w:eastAsia="Calibri" w:hAnsi="Calibri"/>
          <w:color w:val="3D4A5C"/>
          <w:sz w:val="22"/>
          <w:szCs w:val="22"/>
        </w:rPr>
        <w:t xml:space="preserve">These requirements describe quality attributes — not what the system does, but how well it does it.</w:t>
      </w:r>
    </w:p>
    <w:p>
      <w:pPr>
        <w:pStyle w:val="Heading2"/>
        <w:spacing w:after="100" w:before="300"/>
      </w:pPr>
      <w:r>
        <w:rPr>
          <w:rFonts w:ascii="Georgia" w:cs="Georgia" w:eastAsia="Georgia" w:hAnsi="Georgia"/>
          <w:b/>
          <w:bCs/>
          <w:color w:val="0E6E6E"/>
          <w:sz w:val="27"/>
          <w:szCs w:val="27"/>
        </w:rPr>
        <w:t xml:space="preserve">5.1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ID</w:t>
            </w:r>
          </w:p>
        </w:tc>
        <w:tc>
          <w:tcPr>
            <w:tcW w:type="dxa" w:w="7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Requirement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NFR-PE-01</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main dashboard loads within 3 seconds on a 10 Mbps broadband connection.</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NFR-PE-02</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Standard database read/write API calls respond in under 500 ms under normal load.</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NFR-PE-03</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system handles at least 100 concurrent users without noticeable degradation.</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NFR-PE-04</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AI Symptom Checker delivers an initial response within 5 seconds when the OpenAI API is reachable.</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NFR-PE-05</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File uploads up to 10 MB complete within 10 seconds on a 10 Mbps connection.</w:t>
            </w:r>
          </w:p>
        </w:tc>
      </w:tr>
    </w:tbl>
    <w:p>
      <w:pPr>
        <w:pStyle w:val="Heading2"/>
        <w:spacing w:after="100" w:before="300"/>
      </w:pPr>
      <w:r>
        <w:rPr>
          <w:rFonts w:ascii="Georgia" w:cs="Georgia" w:eastAsia="Georgia" w:hAnsi="Georgia"/>
          <w:b/>
          <w:bCs/>
          <w:color w:val="0E6E6E"/>
          <w:sz w:val="27"/>
          <w:szCs w:val="27"/>
        </w:rPr>
        <w:t xml:space="preserve">5.2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ID</w:t>
            </w:r>
          </w:p>
        </w:tc>
        <w:tc>
          <w:tcPr>
            <w:tcW w:type="dxa" w:w="7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Requirement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NFR-SE-01</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All client–server traffic is encrypted via TLS 1.2 or higher. HTTP connections are redirected to HTTPS.</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NFR-SE-02</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Passwords are stored as bcrypt hashes (cost factor ≥ 10). Plain-text passwords never appear in logs, responses, or the database.</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NFR-SE-03</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JWT tokens are signed with a secret of at least 256 bits and expire within 24 hours.</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NFR-SE-04</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All API inputs are validated and sanitised to prevent injection attacks (NoSQL injection, XSS, etc.).</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NFR-SE-05</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Unauthorised access attempts to protected endpoints return HTTP 403 — not 404 — to avoid leaking routing information.</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NFR-SE-06</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authentication endpoint is rate-limited to 10 requests per minute per IP to slow brute-force attacks.</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NFR-SE-07</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API keys, database connection strings, and JWT secrets are stored in environment variables and never committed to version control.</w:t>
            </w:r>
          </w:p>
        </w:tc>
      </w:tr>
    </w:tbl>
    <w:p>
      <w:pPr>
        <w:pStyle w:val="Heading2"/>
        <w:spacing w:after="100" w:before="300"/>
      </w:pPr>
      <w:r>
        <w:rPr>
          <w:rFonts w:ascii="Georgia" w:cs="Georgia" w:eastAsia="Georgia" w:hAnsi="Georgia"/>
          <w:b/>
          <w:bCs/>
          <w:color w:val="0E6E6E"/>
          <w:sz w:val="27"/>
          <w:szCs w:val="27"/>
        </w:rPr>
        <w:t xml:space="preserve">5.3  Reliability &amp;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ID</w:t>
            </w:r>
          </w:p>
        </w:tc>
        <w:tc>
          <w:tcPr>
            <w:tcW w:type="dxa" w:w="7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Requirement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NFR-RA-01</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Target uptime is 99.5% per calendar month, excluding scheduled maintenance windows announced at least 24 hours in advance.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NFR-RA-02</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AI Symptom Checker falls back to the mock module automatically — no manual intervention or user action required.</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NFR-RA-03</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MongoDB Atlas is configured with at least a 3-node replica set so a single node failure does not cause data loss or downtime.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NFR-RA-04</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Unhandled server exceptions are caught by a global error handler, logged with a stack trace, and return a user-friendly error message rather than crashing the process.</w:t>
            </w:r>
          </w:p>
        </w:tc>
      </w:tr>
    </w:tbl>
    <w:p>
      <w:pPr>
        <w:pStyle w:val="Heading2"/>
        <w:spacing w:after="100" w:before="300"/>
      </w:pPr>
      <w:r>
        <w:rPr>
          <w:rFonts w:ascii="Georgia" w:cs="Georgia" w:eastAsia="Georgia" w:hAnsi="Georgia"/>
          <w:b/>
          <w:bCs/>
          <w:color w:val="0E6E6E"/>
          <w:sz w:val="27"/>
          <w:szCs w:val="27"/>
        </w:rPr>
        <w:t xml:space="preserve">5.4  Usability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ID</w:t>
            </w:r>
          </w:p>
        </w:tc>
        <w:tc>
          <w:tcPr>
            <w:tcW w:type="dxa" w:w="7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Requirement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NFR-US-01</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UI is fully usable on screen widths between 768 px (tablet) and 1920 px (large desktop). A mobile-responsive layout is a bonus, not a hard requirement for this version.</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NFR-US-02</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Every core user action (book appointment, trigger SOS, upload file, etc.) is reachable within 3 clicks from the role's main dashboard.</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NFR-US-03</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Form fields show real-time validation feedback — users know what's wrong before they submit.</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NFR-US-04</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Error messages are written in plain language and tell the user what they can do next.</w:t>
            </w:r>
          </w:p>
        </w:tc>
      </w:tr>
    </w:tbl>
    <w:p>
      <w:pPr>
        <w:pStyle w:val="Heading2"/>
        <w:spacing w:after="100" w:before="300"/>
      </w:pPr>
      <w:r>
        <w:rPr>
          <w:rFonts w:ascii="Georgia" w:cs="Georgia" w:eastAsia="Georgia" w:hAnsi="Georgia"/>
          <w:b/>
          <w:bCs/>
          <w:color w:val="0E6E6E"/>
          <w:sz w:val="27"/>
          <w:szCs w:val="27"/>
        </w:rPr>
        <w:t xml:space="preserve">5.5  Maintainability &amp; scalability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ID</w:t>
            </w:r>
          </w:p>
        </w:tc>
        <w:tc>
          <w:tcPr>
            <w:tcW w:type="dxa" w:w="7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Requirement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NFR-MA-01</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backend follows an MVC structure with clear separation between route handlers, business logic, and data models.</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NFR-MA-02</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React components are broken into small, single-responsibility units with clearly defined props.</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NFR-MA-03</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All environment-specific configuration (API keys, DB URIs, etc.) is externalised to .env files.</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NFR-SC-01</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MongoDB collections are indexed on high-frequency query fields (userId, appointmentDate, status) to support horizontal read scaling.</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NFR-SC-02</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The architecture can absorb a 3× increase in user volume without structural changes — only infrastructure scaling (more Railway instances, a larger Atlas tier) is required.</w:t>
            </w:r>
          </w:p>
        </w:tc>
      </w:tr>
    </w:tbl>
    <w:p>
      <w:r>
        <w:br w:type="page"/>
      </w:r>
    </w:p>
    <w:p>
      <w:pPr>
        <w:pStyle w:val="Heading1"/>
        <w:pBdr>
          <w:bottom w:val="single" w:color="0E6E6E" w:sz="10" w:space="5"/>
        </w:pBdr>
        <w:spacing w:after="140" w:before="400"/>
      </w:pPr>
      <w:r>
        <w:rPr>
          <w:rFonts w:ascii="Georgia" w:cs="Georgia" w:eastAsia="Georgia" w:hAnsi="Georgia"/>
          <w:b/>
          <w:bCs/>
          <w:color w:val="1C1C2E"/>
          <w:sz w:val="34"/>
          <w:szCs w:val="34"/>
        </w:rPr>
        <w:t xml:space="preserve">6. System Constraints</w:t>
      </w:r>
    </w:p>
    <w:p>
      <w:pPr>
        <w:pStyle w:val="Heading2"/>
        <w:spacing w:after="100" w:before="300"/>
      </w:pPr>
      <w:r>
        <w:rPr>
          <w:rFonts w:ascii="Georgia" w:cs="Georgia" w:eastAsia="Georgia" w:hAnsi="Georgia"/>
          <w:b/>
          <w:bCs/>
          <w:color w:val="0E6E6E"/>
          <w:sz w:val="27"/>
          <w:szCs w:val="27"/>
        </w:rPr>
        <w:t xml:space="preserve">6.1  Technical constraints</w:t>
      </w:r>
    </w:p>
    <w:p>
      <w:pPr>
        <w:spacing w:after="100" w:before="60"/>
      </w:pPr>
      <w:r>
        <w:rPr>
          <w:rFonts w:ascii="Calibri" w:cs="Calibri" w:eastAsia="Calibri" w:hAnsi="Calibri"/>
          <w:color w:val="3D4A5C"/>
          <w:sz w:val="22"/>
          <w:szCs w:val="22"/>
        </w:rPr>
        <w:t xml:space="preserve">The project specification locked in specific technology choices. These are not optional:</w:t>
      </w:r>
    </w:p>
    <w:p>
      <w:pPr>
        <w:pStyle w:val="ListParagraph"/>
        <w:numPr>
          <w:ilvl w:val="0"/>
          <w:numId w:val="2"/>
        </w:numPr>
        <w:spacing w:after="50" w:before="40"/>
      </w:pPr>
      <w:r>
        <w:rPr>
          <w:rFonts w:ascii="Calibri" w:cs="Calibri" w:eastAsia="Calibri" w:hAnsi="Calibri"/>
          <w:color w:val="3D4A5C"/>
          <w:sz w:val="22"/>
          <w:szCs w:val="22"/>
        </w:rPr>
        <w:t xml:space="preserve">Frontend must use React with TypeScript. No alternative frameworks.</w:t>
      </w:r>
    </w:p>
    <w:p>
      <w:pPr>
        <w:pStyle w:val="ListParagraph"/>
        <w:numPr>
          <w:ilvl w:val="0"/>
          <w:numId w:val="2"/>
        </w:numPr>
        <w:spacing w:after="50" w:before="40"/>
      </w:pPr>
      <w:r>
        <w:rPr>
          <w:rFonts w:ascii="Calibri" w:cs="Calibri" w:eastAsia="Calibri" w:hAnsi="Calibri"/>
          <w:color w:val="3D4A5C"/>
          <w:sz w:val="22"/>
          <w:szCs w:val="22"/>
        </w:rPr>
        <w:t xml:space="preserve">Backend must be Node.js + Express.js. Serverless functions are not in scope.</w:t>
      </w:r>
    </w:p>
    <w:p>
      <w:pPr>
        <w:pStyle w:val="ListParagraph"/>
        <w:numPr>
          <w:ilvl w:val="0"/>
          <w:numId w:val="2"/>
        </w:numPr>
        <w:spacing w:after="50" w:before="40"/>
      </w:pPr>
      <w:r>
        <w:rPr>
          <w:rFonts w:ascii="Calibri" w:cs="Calibri" w:eastAsia="Calibri" w:hAnsi="Calibri"/>
          <w:color w:val="3D4A5C"/>
          <w:sz w:val="22"/>
          <w:szCs w:val="22"/>
        </w:rPr>
        <w:t xml:space="preserve">Data storage is MongoDB Atlas only. No relational database.</w:t>
      </w:r>
    </w:p>
    <w:p>
      <w:pPr>
        <w:pStyle w:val="ListParagraph"/>
        <w:numPr>
          <w:ilvl w:val="0"/>
          <w:numId w:val="2"/>
        </w:numPr>
        <w:spacing w:after="50" w:before="40"/>
      </w:pPr>
      <w:r>
        <w:rPr>
          <w:rFonts w:ascii="Calibri" w:cs="Calibri" w:eastAsia="Calibri" w:hAnsi="Calibri"/>
          <w:color w:val="3D4A5C"/>
          <w:sz w:val="22"/>
          <w:szCs w:val="22"/>
        </w:rPr>
        <w:t xml:space="preserve">Authentication uses JWT. No third-party OAuth (Google Sign-In, etc.).</w:t>
      </w:r>
    </w:p>
    <w:p>
      <w:pPr>
        <w:pStyle w:val="ListParagraph"/>
        <w:numPr>
          <w:ilvl w:val="0"/>
          <w:numId w:val="2"/>
        </w:numPr>
        <w:spacing w:after="50" w:before="40"/>
      </w:pPr>
      <w:r>
        <w:rPr>
          <w:rFonts w:ascii="Calibri" w:cs="Calibri" w:eastAsia="Calibri" w:hAnsi="Calibri"/>
          <w:color w:val="3D4A5C"/>
          <w:sz w:val="22"/>
          <w:szCs w:val="22"/>
        </w:rPr>
        <w:t xml:space="preserve">File uploads accept only PDF, JPEG, and PNG. Maximum 10 MB per file.</w:t>
      </w:r>
    </w:p>
    <w:p>
      <w:pPr>
        <w:pStyle w:val="ListParagraph"/>
        <w:numPr>
          <w:ilvl w:val="0"/>
          <w:numId w:val="2"/>
        </w:numPr>
        <w:spacing w:after="50" w:before="40"/>
      </w:pPr>
      <w:r>
        <w:rPr>
          <w:rFonts w:ascii="Calibri" w:cs="Calibri" w:eastAsia="Calibri" w:hAnsi="Calibri"/>
          <w:color w:val="3D4A5C"/>
          <w:sz w:val="22"/>
          <w:szCs w:val="22"/>
        </w:rPr>
        <w:t xml:space="preserve">Payment processing is simulated. No live gateway (Razorpay, Stripe, etc.).</w:t>
      </w:r>
    </w:p>
    <w:p>
      <w:pPr>
        <w:pStyle w:val="ListParagraph"/>
        <w:numPr>
          <w:ilvl w:val="0"/>
          <w:numId w:val="2"/>
        </w:numPr>
        <w:spacing w:after="50" w:before="40"/>
      </w:pPr>
      <w:r>
        <w:rPr>
          <w:rFonts w:ascii="Calibri" w:cs="Calibri" w:eastAsia="Calibri" w:hAnsi="Calibri"/>
          <w:color w:val="3D4A5C"/>
          <w:sz w:val="22"/>
          <w:szCs w:val="22"/>
        </w:rPr>
        <w:t xml:space="preserve">Aadhaar verification uses a mock/sandbox API — no connection to the live UIDAI production system.</w:t>
      </w:r>
    </w:p>
    <w:p>
      <w:pPr>
        <w:pStyle w:val="Heading2"/>
        <w:spacing w:after="100" w:before="300"/>
      </w:pPr>
      <w:r>
        <w:rPr>
          <w:rFonts w:ascii="Georgia" w:cs="Georgia" w:eastAsia="Georgia" w:hAnsi="Georgia"/>
          <w:b/>
          <w:bCs/>
          <w:color w:val="0E6E6E"/>
          <w:sz w:val="27"/>
          <w:szCs w:val="27"/>
        </w:rPr>
        <w:t xml:space="preserve">6.2  Regulatory considerations</w:t>
      </w:r>
    </w:p>
    <w:p>
      <w:pPr>
        <w:spacing w:after="100" w:before="60"/>
      </w:pPr>
      <w:r>
        <w:rPr>
          <w:rFonts w:ascii="Calibri" w:cs="Calibri" w:eastAsia="Calibri" w:hAnsi="Calibri"/>
          <w:color w:val="3D4A5C"/>
          <w:sz w:val="22"/>
          <w:szCs w:val="22"/>
        </w:rPr>
        <w:t xml:space="preserve">Even as an academic project, CareSync handles sensitive healthcare data. The following principles are applied by design:</w:t>
      </w:r>
    </w:p>
    <w:p>
      <w:pPr>
        <w:pStyle w:val="ListParagraph"/>
        <w:numPr>
          <w:ilvl w:val="0"/>
          <w:numId w:val="2"/>
        </w:numPr>
        <w:spacing w:after="50" w:before="40"/>
      </w:pPr>
      <w:r>
        <w:rPr>
          <w:rFonts w:ascii="Calibri" w:cs="Calibri" w:eastAsia="Calibri" w:hAnsi="Calibri"/>
          <w:color w:val="3D4A5C"/>
          <w:sz w:val="22"/>
          <w:szCs w:val="22"/>
        </w:rPr>
        <w:t xml:space="preserve">Patient health records are inaccessible to any role that doesn't have explicit permission — enforced at the API layer, not just the UI.</w:t>
      </w:r>
    </w:p>
    <w:p>
      <w:pPr>
        <w:pStyle w:val="ListParagraph"/>
        <w:numPr>
          <w:ilvl w:val="0"/>
          <w:numId w:val="2"/>
        </w:numPr>
        <w:spacing w:after="50" w:before="40"/>
      </w:pPr>
      <w:r>
        <w:rPr>
          <w:rFonts w:ascii="Calibri" w:cs="Calibri" w:eastAsia="Calibri" w:hAnsi="Calibri"/>
          <w:color w:val="3D4A5C"/>
          <w:sz w:val="22"/>
          <w:szCs w:val="22"/>
        </w:rPr>
        <w:t xml:space="preserve">Aadhaar data is handled only through the mock API precisely to avoid processing real biometric identifiers. Any real-world deployment would need full compliance with the Aadhaar Act, 2016.</w:t>
      </w:r>
    </w:p>
    <w:p>
      <w:pPr>
        <w:pStyle w:val="ListParagraph"/>
        <w:numPr>
          <w:ilvl w:val="0"/>
          <w:numId w:val="2"/>
        </w:numPr>
        <w:spacing w:after="50" w:before="40"/>
      </w:pPr>
      <w:r>
        <w:rPr>
          <w:rFonts w:ascii="Calibri" w:cs="Calibri" w:eastAsia="Calibri" w:hAnsi="Calibri"/>
          <w:color w:val="3D4A5C"/>
          <w:sz w:val="22"/>
          <w:szCs w:val="22"/>
        </w:rPr>
        <w:t xml:space="preserve">Patient data is not shared with any third-party service beyond the minimum required: anonymised symptom text to OpenAI, and GPS coordinates to Google Maps during SOS. Both are limited to the transaction and not stored by the third party.</w:t>
      </w:r>
    </w:p>
    <w:p>
      <w:pPr>
        <w:pStyle w:val="Heading2"/>
        <w:spacing w:after="100" w:before="300"/>
      </w:pPr>
      <w:r>
        <w:rPr>
          <w:rFonts w:ascii="Georgia" w:cs="Georgia" w:eastAsia="Georgia" w:hAnsi="Georgia"/>
          <w:b/>
          <w:bCs/>
          <w:color w:val="0E6E6E"/>
          <w:sz w:val="27"/>
          <w:szCs w:val="27"/>
        </w:rPr>
        <w:t xml:space="preserve">6.3  Deployment constraints</w:t>
      </w:r>
    </w:p>
    <w:p>
      <w:pPr>
        <w:spacing w:after="100" w:before="60"/>
      </w:pPr>
      <w:r>
        <w:rPr>
          <w:rFonts w:ascii="Calibri" w:cs="Calibri" w:eastAsia="Calibri" w:hAnsi="Calibri"/>
          <w:color w:val="3D4A5C"/>
          <w:sz w:val="22"/>
          <w:szCs w:val="22"/>
        </w:rPr>
        <w:t xml:space="preserve">The project is designed to run comfortably within free-tier cloud limits: Vercel Hobby, Railway Starter, and MongoDB Atlas M0. This shapes some architectural choices — for instance, connection pooling is tuned conservatively to stay within Atlas M0 connection limits.</w:t>
      </w:r>
    </w:p>
    <w:p>
      <w:pPr>
        <w:pStyle w:val="Heading2"/>
        <w:spacing w:after="100" w:before="300"/>
      </w:pPr>
      <w:r>
        <w:rPr>
          <w:rFonts w:ascii="Georgia" w:cs="Georgia" w:eastAsia="Georgia" w:hAnsi="Georgia"/>
          <w:b/>
          <w:bCs/>
          <w:color w:val="0E6E6E"/>
          <w:sz w:val="27"/>
          <w:szCs w:val="27"/>
        </w:rPr>
        <w:t xml:space="preserve">6.4  External dependency risks</w:t>
      </w:r>
    </w:p>
    <w:tbl>
      <w:tblPr>
        <w:tblW w:type="dxa" w:w="9360"/>
        <w:tblBorders>
          <w:top w:val="single" w:color="C47A1E" w:sz="18"/>
          <w:left w:val="none" w:color="FFFFFF" w:sz="0"/>
          <w:bottom w:val="single" w:color="C47A1E" w:sz="4"/>
          <w:right w:val="none" w:color="FFFFFF" w:sz="0"/>
          <w:insideH w:val="single" w:color="auto" w:sz="4"/>
          <w:insideV w:val="single" w:color="auto" w:sz="4"/>
        </w:tblBorders>
      </w:tblPr>
      <w:tblGrid>
        <w:gridCol w:w="9360"/>
      </w:tblGrid>
      <w:tr>
        <w:tc>
          <w:tcPr>
            <w:tcW w:type="dxa" w:w="9360"/>
            <w:tcBorders>
              <w:top w:val="none" w:color="FFFFFF" w:sz="0"/>
              <w:left w:val="single" w:color="C47A1E" w:sz="18"/>
              <w:bottom w:val="none" w:color="FFFFFF" w:sz="0"/>
              <w:right w:val="none" w:color="FFFFFF" w:sz="0"/>
            </w:tcBorders>
            <w:shd w:fill="FEF3DC" w:val="clear"/>
            <w:tcMar>
              <w:top w:type="dxa" w:w="60"/>
              <w:left w:type="dxa" w:w="240"/>
              <w:bottom w:type="dxa" w:w="60"/>
              <w:right w:type="dxa" w:w="160"/>
            </w:tcMar>
          </w:tcPr>
          <w:p>
            <w:r>
              <w:rPr>
                <w:rFonts w:ascii="Calibri" w:cs="Calibri" w:eastAsia="Calibri" w:hAnsi="Calibri"/>
                <w:color w:val="3D4A5C"/>
                <w:sz w:val="21"/>
                <w:szCs w:val="21"/>
              </w:rPr>
              <w:t xml:space="preserve">Google Maps API:  If unavailable, SOS shows a static pre-configured hospital list instead of live routing.</w:t>
            </w:r>
          </w:p>
        </w:tc>
      </w:tr>
      <w:tr>
        <w:tc>
          <w:tcPr>
            <w:tcW w:type="dxa" w:w="9360"/>
            <w:tcBorders>
              <w:top w:val="none" w:color="FFFFFF" w:sz="0"/>
              <w:left w:val="single" w:color="C47A1E" w:sz="18"/>
              <w:bottom w:val="none" w:color="FFFFFF" w:sz="0"/>
              <w:right w:val="none" w:color="FFFFFF" w:sz="0"/>
            </w:tcBorders>
            <w:shd w:fill="FEF3DC" w:val="clear"/>
            <w:tcMar>
              <w:top w:type="dxa" w:w="60"/>
              <w:left w:type="dxa" w:w="240"/>
              <w:bottom w:type="dxa" w:w="60"/>
              <w:right w:type="dxa" w:w="160"/>
            </w:tcMar>
          </w:tcPr>
          <w:p>
            <w:r>
              <w:rPr>
                <w:rFonts w:ascii="Calibri" w:cs="Calibri" w:eastAsia="Calibri" w:hAnsi="Calibri"/>
                <w:color w:val="3D4A5C"/>
                <w:sz w:val="21"/>
                <w:szCs w:val="21"/>
              </w:rPr>
              <w:t xml:space="preserve">OpenAI API:       If unavailable, the symptom checker switches to the mock fallback — no user action needed.</w:t>
            </w:r>
          </w:p>
        </w:tc>
      </w:tr>
      <w:tr>
        <w:tc>
          <w:tcPr>
            <w:tcW w:type="dxa" w:w="9360"/>
            <w:tcBorders>
              <w:top w:val="none" w:color="FFFFFF" w:sz="0"/>
              <w:left w:val="single" w:color="C47A1E" w:sz="18"/>
              <w:bottom w:val="none" w:color="FFFFFF" w:sz="0"/>
              <w:right w:val="none" w:color="FFFFFF" w:sz="0"/>
            </w:tcBorders>
            <w:shd w:fill="FEF3DC" w:val="clear"/>
            <w:tcMar>
              <w:top w:type="dxa" w:w="60"/>
              <w:left w:type="dxa" w:w="240"/>
              <w:bottom w:type="dxa" w:w="60"/>
              <w:right w:type="dxa" w:w="160"/>
            </w:tcMar>
          </w:tcPr>
          <w:p>
            <w:r>
              <w:rPr>
                <w:rFonts w:ascii="Calibri" w:cs="Calibri" w:eastAsia="Calibri" w:hAnsi="Calibri"/>
                <w:color w:val="3D4A5C"/>
                <w:sz w:val="21"/>
                <w:szCs w:val="21"/>
              </w:rPr>
              <w:t xml:space="preserve">MongoDB Atlas:    Covered by a 3-node replica set; SLA governed by Atlas terms of service.</w:t>
            </w:r>
          </w:p>
        </w:tc>
      </w:tr>
      <w:tr>
        <w:tc>
          <w:tcPr>
            <w:tcW w:type="dxa" w:w="9360"/>
            <w:tcBorders>
              <w:top w:val="none" w:color="FFFFFF" w:sz="0"/>
              <w:left w:val="single" w:color="C47A1E" w:sz="18"/>
              <w:bottom w:val="none" w:color="FFFFFF" w:sz="0"/>
              <w:right w:val="none" w:color="FFFFFF" w:sz="0"/>
            </w:tcBorders>
            <w:shd w:fill="FEF3DC" w:val="clear"/>
            <w:tcMar>
              <w:top w:type="dxa" w:w="60"/>
              <w:left w:type="dxa" w:w="240"/>
              <w:bottom w:type="dxa" w:w="60"/>
              <w:right w:type="dxa" w:w="160"/>
            </w:tcMar>
          </w:tcPr>
          <w:p>
            <w:r>
              <w:rPr>
                <w:rFonts w:ascii="Calibri" w:cs="Calibri" w:eastAsia="Calibri" w:hAnsi="Calibri"/>
                <w:color w:val="3D4A5C"/>
                <w:sz w:val="21"/>
                <w:szCs w:val="21"/>
              </w:rPr>
              <w:t xml:space="preserve">Railway / Vercel: Deployment-level outages are outside application control; monitored via status pages.</w:t>
            </w:r>
          </w:p>
        </w:tc>
      </w:tr>
    </w:tbl>
    <w:p>
      <w:r>
        <w:br w:type="page"/>
      </w:r>
    </w:p>
    <w:p>
      <w:pPr>
        <w:pStyle w:val="Heading1"/>
        <w:pBdr>
          <w:bottom w:val="single" w:color="0E6E6E" w:sz="10" w:space="5"/>
        </w:pBdr>
        <w:spacing w:after="140" w:before="400"/>
      </w:pPr>
      <w:r>
        <w:rPr>
          <w:rFonts w:ascii="Georgia" w:cs="Georgia" w:eastAsia="Georgia" w:hAnsi="Georgia"/>
          <w:b/>
          <w:bCs/>
          <w:color w:val="1C1C2E"/>
          <w:sz w:val="34"/>
          <w:szCs w:val="34"/>
        </w:rPr>
        <w:t xml:space="preserve">7. Use Case Descriptions</w:t>
      </w:r>
    </w:p>
    <w:p>
      <w:pPr>
        <w:spacing w:after="100" w:before="60"/>
      </w:pPr>
      <w:r>
        <w:rPr>
          <w:rFonts w:ascii="Calibri" w:cs="Calibri" w:eastAsia="Calibri" w:hAnsi="Calibri"/>
          <w:color w:val="3D4A5C"/>
          <w:sz w:val="22"/>
          <w:szCs w:val="22"/>
        </w:rPr>
        <w:t xml:space="preserve">The following use cases trace the most important end-to-end workflows through the system. Each follows a standard template so they can be directly mapped to test scenarios.</w:t>
      </w:r>
    </w:p>
    <w:p>
      <w:pPr>
        <w:spacing w:after="80" w:before="0"/>
      </w:pPr>
      <w:r>
        <w:t xml:space="preserve"/>
      </w:r>
    </w:p>
    <w:p>
      <w:pPr>
        <w:pStyle w:val="Heading2"/>
        <w:spacing w:after="100" w:before="300"/>
      </w:pPr>
      <w:r>
        <w:rPr>
          <w:rFonts w:ascii="Georgia" w:cs="Georgia" w:eastAsia="Georgia" w:hAnsi="Georgia"/>
          <w:b/>
          <w:bCs/>
          <w:color w:val="0E6E6E"/>
          <w:sz w:val="27"/>
          <w:szCs w:val="27"/>
        </w:rPr>
        <w:t xml:space="preserve">7.1  UC-01 — Patient registers and verifies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Use Case ID</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UC-01</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Name</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Patient registers and verifies identity</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Actors</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Patient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Pre-condition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The user has navigated to the CareSync registration page and has their Aadhaar number available.</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Main Flow</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1. Patient fills in name, email, password, phone number, and date of birth.
2. Patient enters their 12-digit Aadhaar number.
3. System calls the mock Aadhaar API.
4. API returns a verification success.
5. System creates the account with status 'Verified' and shows a success screen.
6. Patient is redirected to the login page.</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Alternate Flow</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Step 3 — if verification fails: system shows an error and lets the patient re-enter their Aadhaar number (up to 3 attempts). After 3 failures, the account is flagged for manual Admin review.
Step 3 — if the Aadhaar API is down: account is created in 'Pending Verification' state; Admin is notified.</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Post-condition</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A new Patient account exists in the Users collection with aadhaarVerified: true (or flagged for Admin review). The patient can log in.</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Exception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The system logs the error, shows a friendly message, and notifies the administrator.</w:t>
            </w:r>
          </w:p>
        </w:tc>
      </w:tr>
    </w:tbl>
    <w:p>
      <w:pPr>
        <w:spacing w:after="120" w:before="0"/>
      </w:pPr>
      <w:r>
        <w:t xml:space="preserve"/>
      </w:r>
    </w:p>
    <w:p>
      <w:pPr>
        <w:pStyle w:val="Heading2"/>
        <w:spacing w:after="100" w:before="300"/>
      </w:pPr>
      <w:r>
        <w:rPr>
          <w:rFonts w:ascii="Georgia" w:cs="Georgia" w:eastAsia="Georgia" w:hAnsi="Georgia"/>
          <w:b/>
          <w:bCs/>
          <w:color w:val="0E6E6E"/>
          <w:sz w:val="27"/>
          <w:szCs w:val="27"/>
        </w:rPr>
        <w:t xml:space="preserve">7.2  UC-02 — Patient books an appointment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Use Case ID</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UC-02</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Name</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Patient books an appointment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Actors</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Patient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Pre-condition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Patient is logged in. At least one doctor with available slots exists.</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Main Flow</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1. Patient clicks 'Book Appointment' on the dashboard.
2. Patient filters or searches for a doctor by specialisation or name.
3. System displays available doctors and their open time slots.
4. Patient selects a doctor, date, and time slot.
5. Patient enters a brief reason for the visit.
6. System validates the slot is still available.
7. Appointment is created with status 'Pending'.
8. Patient sees a confirmation screen.</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Alternate Flow</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Step 6 — if the slot was just taken by another user: system notifies the patient and returns them to the slot selector.
Step 3 — if no doctors are available on the chosen date: system shows a 'no availability' message and suggests the next available date.</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Post-condition</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An Appointment document is created. It appears on both the patient's and the doctor's dashboards.</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Exception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The system logs the error, shows a friendly message, and notifies the administrator.</w:t>
            </w:r>
          </w:p>
        </w:tc>
      </w:tr>
    </w:tbl>
    <w:p>
      <w:pPr>
        <w:spacing w:after="120" w:before="0"/>
      </w:pPr>
      <w:r>
        <w:t xml:space="preserve"/>
      </w:r>
    </w:p>
    <w:p>
      <w:pPr>
        <w:pStyle w:val="Heading2"/>
        <w:spacing w:after="100" w:before="300"/>
      </w:pPr>
      <w:r>
        <w:rPr>
          <w:rFonts w:ascii="Georgia" w:cs="Georgia" w:eastAsia="Georgia" w:hAnsi="Georgia"/>
          <w:b/>
          <w:bCs/>
          <w:color w:val="0E6E6E"/>
          <w:sz w:val="27"/>
          <w:szCs w:val="27"/>
        </w:rPr>
        <w:t xml:space="preserve">7.3  UC-03 — Doctor views a patient's medical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Use Case ID</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UC-03</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Name</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Doctor views a patient's medical records</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Actors</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Doctor, Patient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Pre-condition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Doctor is logged in. The patient has previously granted this doctor access (FR-PT-09).</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Main Flow</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1. Doctor navigates to 'My Patients' or opens a specific appointment.
2. Doctor selects a patient and clicks 'View Records'.
3. System checks the patient's accessList for this doctor's ID.
4. Access is confirmed; system loads the full record: diagnoses, prescriptions, treatment notes, lab results, and uploaded files.
5. Doctor reviews the content.
6. Optionally, doctor adds a new clinical note or prescription.</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Alternate Flow</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Step 3 — if the doctor is not on the patient's accessList: the system returns a clear 'Access not granted' message. The record content — including its existence — is not revealed.</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Post-condition</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Doctor has reviewed the record. Any additions are timestamped and attributed to the doctor's account.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Exception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The system logs the error, shows a friendly message, and notifies the administrator.</w:t>
            </w:r>
          </w:p>
        </w:tc>
      </w:tr>
    </w:tbl>
    <w:p>
      <w:pPr>
        <w:spacing w:after="120" w:before="0"/>
      </w:pPr>
      <w:r>
        <w:t xml:space="preserve"/>
      </w:r>
    </w:p>
    <w:p>
      <w:pPr>
        <w:pStyle w:val="Heading2"/>
        <w:spacing w:after="100" w:before="300"/>
      </w:pPr>
      <w:r>
        <w:rPr>
          <w:rFonts w:ascii="Georgia" w:cs="Georgia" w:eastAsia="Georgia" w:hAnsi="Georgia"/>
          <w:b/>
          <w:bCs/>
          <w:color w:val="0E6E6E"/>
          <w:sz w:val="27"/>
          <w:szCs w:val="27"/>
        </w:rPr>
        <w:t xml:space="preserve">7.4  UC-04 — Receptionist allocates a bed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Use Case ID</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UC-04</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Name</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Receptionist allocates a bed</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Actors</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Receptionist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Pre-condition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Receptionist is logged in. At least one bed with status 'Available' exists. The patient is registered.</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Main Flow</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1. Receptionist opens the Bed Management module.
2. System displays a colour-coded ward map (green = available, red = occupied, yellow = maintenance).
3. Receptionist selects an available bed.
4. Receptionist searches for and selects the patient.
5. Receptionist enters the admission date and confirms.
6. System updates the bed to 'Occupied' and creates a bed allocation record.
7. The dashboard reflects the new occupancy rate immediately.</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Alternate Flow</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Step 3 — if no beds are available in the desired ward: system suggests beds in other wards.
Step 4 — if the patient isn't registered: receptionist can trigger walk-in registration before continuing.</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Post-condition</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Bed status is 'Occupied'. The allocation record is visible to both Receptionist and Admin dashboards.</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Exception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The system logs the error, shows a friendly message, and notifies the administrator.</w:t>
            </w:r>
          </w:p>
        </w:tc>
      </w:tr>
    </w:tbl>
    <w:p>
      <w:pPr>
        <w:spacing w:after="120" w:before="0"/>
      </w:pPr>
      <w:r>
        <w:t xml:space="preserve"/>
      </w:r>
    </w:p>
    <w:p>
      <w:pPr>
        <w:pStyle w:val="Heading2"/>
        <w:spacing w:after="100" w:before="300"/>
      </w:pPr>
      <w:r>
        <w:rPr>
          <w:rFonts w:ascii="Georgia" w:cs="Georgia" w:eastAsia="Georgia" w:hAnsi="Georgia"/>
          <w:b/>
          <w:bCs/>
          <w:color w:val="0E6E6E"/>
          <w:sz w:val="27"/>
          <w:szCs w:val="27"/>
        </w:rPr>
        <w:t xml:space="preserve">7.5  UC-05 — Patient triggers Emergency 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Use Case ID</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UC-05</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Name</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Patient triggers Emergency SOS</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Actors</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Patient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Pre-condition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Patient is logged in and has granted the browser location permission.</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Main Flow</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1. Patient taps the 'SOS Emergency' button on the dashboard.
2. Browser requests GPS coordinates via the Geolocation API.
3. System sends coordinates to Google Maps Places API to find hospitals within a configurable radius.
4. System calls Google Maps Directions API for routing.
5. Map displays nearest hospitals ranked by distance, with estimated travel time.
6. Patient selects a hospital.
7. Turn-by-turn directions are shown.
8. SOS event is logged with timestamp and patient ID.</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Alternate Flow</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Step 2 — if GPS is denied: patient is prompted to enter their address manually.
Step 3 — if Google Maps API is unavailable: system shows a pre-configured static list of emergency hospitals.</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Post-condition</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Patient has actionable routing to the nearest hospital. The SOS event appears in the Admin system log.</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Exception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If GPS fails and manual address entry also fails, the system displays the national emergency helpline number (112) and asks the patient to call directly.</w:t>
            </w:r>
          </w:p>
        </w:tc>
      </w:tr>
    </w:tbl>
    <w:p>
      <w:pPr>
        <w:spacing w:after="120" w:before="0"/>
      </w:pPr>
      <w:r>
        <w:t xml:space="preserve"/>
      </w:r>
    </w:p>
    <w:p>
      <w:pPr>
        <w:pStyle w:val="Heading2"/>
        <w:spacing w:after="100" w:before="300"/>
      </w:pPr>
      <w:r>
        <w:rPr>
          <w:rFonts w:ascii="Georgia" w:cs="Georgia" w:eastAsia="Georgia" w:hAnsi="Georgia"/>
          <w:b/>
          <w:bCs/>
          <w:color w:val="0E6E6E"/>
          <w:sz w:val="27"/>
          <w:szCs w:val="27"/>
        </w:rPr>
        <w:t xml:space="preserve">7.6  UC-06 — Patient uses the AI Symptom Checker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Use Case ID</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UC-06</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Name</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Patient uses the AI Symptom Checker</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Actors</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Patient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Pre-condition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Patient is logged in and has opened the Symptom Checker panel.</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Main Flow</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1. Patient types a description of their symptoms in natural language.
2. System sends the text to the OpenAI API with a carefully crafted medical guidance prompt.
3. OpenAI returns a structured response: possible conditions, urgency (Low / Moderate / High), and recommended actions.
4. System displays the response in the chat interface alongside a disclaimer.
5. Patient can ask follow-up questions; the conversation history is included in each subsequent API call for context.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Alternate Flow</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Step 2 — if OpenAI is unavailable: the mock fallback parses keywords from the input and returns pre-programmed guidance. The patient is not notified of the fallback.</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Post-condition</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Patient has received informational guidance. Session chat history is stored temporarily (not persisted to the database after logout).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Exception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If both OpenAI and the mock module fail, the system shows a message asking the patient to consult a doctor directly and displays the clinic's contact number.</w:t>
            </w:r>
          </w:p>
        </w:tc>
      </w:tr>
    </w:tbl>
    <w:p>
      <w:pPr>
        <w:spacing w:after="120" w:before="0"/>
      </w:pPr>
      <w:r>
        <w:t xml:space="preserve"/>
      </w:r>
    </w:p>
    <w:p>
      <w:pPr>
        <w:pStyle w:val="Heading2"/>
        <w:spacing w:after="100" w:before="300"/>
      </w:pPr>
      <w:r>
        <w:rPr>
          <w:rFonts w:ascii="Georgia" w:cs="Georgia" w:eastAsia="Georgia" w:hAnsi="Georgia"/>
          <w:b/>
          <w:bCs/>
          <w:color w:val="0E6E6E"/>
          <w:sz w:val="27"/>
          <w:szCs w:val="27"/>
        </w:rPr>
        <w:t xml:space="preserve">7.7  UC-07 — Admin reviews analytics and exports a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Use Case ID</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UC-07</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Name</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Admin reviews analytics and exports a report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Actors</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Admin</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Pre-condition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Admin is logged in with an Admin-role account.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Main Flow</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1. Admin opens the Analytics Dashboard.
2. System aggregates data from MongoDB: appointment counts by status, bed occupancy by ward, lab test revenue, and new user registrations.
3. Charts render: line chart for appointment trends, bar chart for revenue, pie chart for bed utilisation.
4. Admin applies a date-range filter (e.g., last 30 days).
5. Charts update to reflect the filtered window.
6. Admin clicks 'Export CSV'.
7. A CSV file covering the filtered data is generated and downloaded to the Admin's device.</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Alternate Flow</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Step 4 — if no data exists in the selected range: charts display an empty state with a 'no data for this period' label.
Step 7 — if export generation fails: system displays an error toast and logs the failure.</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Post-condition</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Admin has reviewed current system performance. A CSV report is on their device.</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Exception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The system logs the error, shows a friendly message, and notifies the administrator.</w:t>
            </w:r>
          </w:p>
        </w:tc>
      </w:tr>
    </w:tbl>
    <w:p>
      <w:pPr>
        <w:spacing w:after="120" w:before="0"/>
      </w:pPr>
      <w:r>
        <w:t xml:space="preserve"/>
      </w:r>
    </w:p>
    <w:p>
      <w:pPr>
        <w:pStyle w:val="Heading2"/>
        <w:spacing w:after="100" w:before="300"/>
      </w:pPr>
      <w:r>
        <w:rPr>
          <w:rFonts w:ascii="Georgia" w:cs="Georgia" w:eastAsia="Georgia" w:hAnsi="Georgia"/>
          <w:b/>
          <w:bCs/>
          <w:color w:val="0E6E6E"/>
          <w:sz w:val="27"/>
          <w:szCs w:val="27"/>
        </w:rPr>
        <w:t xml:space="preserve">7.8  UC-08 — Patient books a lab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Use Case ID</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UC-08</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Name</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Patient books a lab test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Actors</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Patient</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Pre-condition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Patient is logged in. At least one lab test is listed in the catalogue.</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Main Flow</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1. Patient navigates to 'Lab Tests'.
2. System lists available tests with name, description, and price.
3. Patient selects a test, preferred date, and time slot.
4. System shows a payment summary (test name, price, date).
5. Patient confirms the simulated payment.
6. System creates a LabTest document with status 'Pending' and payment status 'Simulated_Success'.
7. A simulated receipt (with a generated receipt ID) is displayed and stored.</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Alternate Flow</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Step 3 — if no time slots are available on the chosen date: system suggests the next available slot.
Step 5 — if the simulated payment 'fails' (a configurable scenario for testing): patient is shown an error and offered a retry.</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Post-condition</w:t>
            </w:r>
          </w:p>
        </w:tc>
        <w:tc>
          <w:tcPr>
            <w:tcW w:type="dxa" w:w="7160"/>
            <w:tcBorders>
              <w:top w:val="single" w:color="C8D0D8" w:sz="1"/>
              <w:left w:val="none" w:color="FFFFFF" w:sz="0"/>
              <w:bottom w:val="single" w:color="C8D0D8" w:sz="1"/>
              <w:right w:val="none" w:color="FFFFFF" w:sz="0"/>
            </w:tcBorders>
            <w:shd w:fill="FFFFFF" w:val="clear"/>
            <w:tcMar>
              <w:top w:type="dxa" w:w="90"/>
              <w:left w:type="dxa" w:w="160"/>
              <w:bottom w:type="dxa" w:w="90"/>
              <w:right w:type="dxa" w:w="120"/>
            </w:tcMar>
          </w:tcPr>
          <w:p>
            <w:r>
              <w:rPr>
                <w:rFonts w:ascii="Calibri" w:cs="Calibri" w:eastAsia="Calibri" w:hAnsi="Calibri"/>
                <w:color w:val="3D4A5C"/>
                <w:sz w:val="21"/>
                <w:szCs w:val="21"/>
              </w:rPr>
              <w:t xml:space="preserve">Lab test booking is recorded in the database. The patient can view their booking and receipt in the 'My Lab Tests' section.</w:t>
            </w:r>
          </w:p>
        </w:tc>
      </w:tr>
      <w:tr>
        <w:tc>
          <w:tcPr>
            <w:tcW w:type="dxa" w:w="2200"/>
            <w:tcBorders>
              <w:top w:val="single" w:color="E0F4F4" w:sz="1"/>
              <w:left w:val="none" w:color="FFFFFF" w:sz="0"/>
              <w:bottom w:val="single" w:color="E0F4F4" w:sz="1"/>
              <w:right w:val="none" w:color="FFFFFF" w:sz="0"/>
            </w:tcBorders>
            <w:shd w:fill="E0F4F4" w:val="clear"/>
            <w:tcMar>
              <w:top w:type="dxa" w:w="90"/>
              <w:left w:type="dxa" w:w="160"/>
              <w:bottom w:type="dxa" w:w="90"/>
              <w:right w:type="dxa" w:w="120"/>
            </w:tcMar>
          </w:tcPr>
          <w:p>
            <w:r>
              <w:rPr>
                <w:rFonts w:ascii="Georgia" w:cs="Georgia" w:eastAsia="Georgia" w:hAnsi="Georgia"/>
                <w:b/>
                <w:bCs/>
                <w:color w:val="0E6E6E"/>
                <w:sz w:val="20"/>
                <w:szCs w:val="20"/>
              </w:rPr>
              <w:t xml:space="preserve">Exception</w:t>
            </w:r>
          </w:p>
        </w:tc>
        <w:tc>
          <w:tcPr>
            <w:tcW w:type="dxa" w:w="7160"/>
            <w:tcBorders>
              <w:top w:val="single" w:color="C8D0D8" w:sz="1"/>
              <w:left w:val="none" w:color="FFFFFF" w:sz="0"/>
              <w:bottom w:val="single" w:color="C8D0D8" w:sz="1"/>
              <w:right w:val="none" w:color="FFFFFF" w:sz="0"/>
            </w:tcBorders>
            <w:shd w:fill="F7F5F1" w:val="clear"/>
            <w:tcMar>
              <w:top w:type="dxa" w:w="90"/>
              <w:left w:type="dxa" w:w="160"/>
              <w:bottom w:type="dxa" w:w="90"/>
              <w:right w:type="dxa" w:w="120"/>
            </w:tcMar>
          </w:tcPr>
          <w:p>
            <w:r>
              <w:rPr>
                <w:rFonts w:ascii="Calibri" w:cs="Calibri" w:eastAsia="Calibri" w:hAnsi="Calibri"/>
                <w:color w:val="3D4A5C"/>
                <w:sz w:val="21"/>
                <w:szCs w:val="21"/>
              </w:rPr>
              <w:t xml:space="preserve">The system logs the error, shows a friendly message, and notifies the administrator.</w:t>
            </w:r>
          </w:p>
        </w:tc>
      </w:tr>
    </w:tbl>
    <w:p>
      <w:pPr>
        <w:spacing w:after="120" w:before="0"/>
      </w:pPr>
      <w:r>
        <w:t xml:space="preserve"/>
      </w:r>
    </w:p>
    <w:p>
      <w:r>
        <w:br w:type="page"/>
      </w:r>
    </w:p>
    <w:p>
      <w:pPr>
        <w:pStyle w:val="Heading1"/>
        <w:pBdr>
          <w:bottom w:val="single" w:color="0E6E6E" w:sz="10" w:space="5"/>
        </w:pBdr>
        <w:spacing w:after="140" w:before="400"/>
      </w:pPr>
      <w:r>
        <w:rPr>
          <w:rFonts w:ascii="Georgia" w:cs="Georgia" w:eastAsia="Georgia" w:hAnsi="Georgia"/>
          <w:b/>
          <w:bCs/>
          <w:color w:val="1C1C2E"/>
          <w:sz w:val="34"/>
          <w:szCs w:val="34"/>
        </w:rPr>
        <w:t xml:space="preserve">8. External Interface Requirements</w:t>
      </w:r>
    </w:p>
    <w:p>
      <w:pPr>
        <w:pStyle w:val="Heading2"/>
        <w:spacing w:after="100" w:before="300"/>
      </w:pPr>
      <w:r>
        <w:rPr>
          <w:rFonts w:ascii="Georgia" w:cs="Georgia" w:eastAsia="Georgia" w:hAnsi="Georgia"/>
          <w:b/>
          <w:bCs/>
          <w:color w:val="0E6E6E"/>
          <w:sz w:val="27"/>
          <w:szCs w:val="27"/>
        </w:rPr>
        <w:t xml:space="preserve">8.1  User interfaces</w:t>
      </w:r>
    </w:p>
    <w:p>
      <w:pPr>
        <w:spacing w:after="100" w:before="60"/>
      </w:pPr>
      <w:r>
        <w:rPr>
          <w:rFonts w:ascii="Calibri" w:cs="Calibri" w:eastAsia="Calibri" w:hAnsi="Calibri"/>
          <w:color w:val="3D4A5C"/>
          <w:sz w:val="22"/>
          <w:szCs w:val="22"/>
        </w:rPr>
        <w:t xml:space="preserve">All screens are built in React with Tailwind CSS and are expected to be responsive between 768 px and 1920 px wide. The key interface surfaces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Screen</w:t>
            </w:r>
          </w:p>
        </w:tc>
        <w:tc>
          <w:tcPr>
            <w:tcW w:type="dxa" w:w="65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Description</w:t>
            </w:r>
          </w:p>
        </w:tc>
      </w:tr>
      <w:tr>
        <w:tc>
          <w:tcPr>
            <w:tcW w:type="dxa" w:w="28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Login &amp; registration</w:t>
            </w:r>
          </w:p>
        </w:tc>
        <w:tc>
          <w:tcPr>
            <w:tcW w:type="dxa" w:w="65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Clean form with role selector, field validation, and an Aadhaar step for Patients.</w:t>
            </w:r>
          </w:p>
        </w:tc>
      </w:tr>
      <w:tr>
        <w:tc>
          <w:tcPr>
            <w:tcW w:type="dxa" w:w="28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Patient dashboard</w:t>
            </w:r>
          </w:p>
        </w:tc>
        <w:tc>
          <w:tcPr>
            <w:tcW w:type="dxa" w:w="65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Appointment cards, SOS button, quick-links to records, lab tests, and the AI chat.</w:t>
            </w:r>
          </w:p>
        </w:tc>
      </w:tr>
      <w:tr>
        <w:tc>
          <w:tcPr>
            <w:tcW w:type="dxa" w:w="28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Doctor dashboard</w:t>
            </w:r>
          </w:p>
        </w:tc>
        <w:tc>
          <w:tcPr>
            <w:tcW w:type="dxa" w:w="65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Today's appointment list, patient queue, and schedule management.</w:t>
            </w:r>
          </w:p>
        </w:tc>
      </w:tr>
      <w:tr>
        <w:tc>
          <w:tcPr>
            <w:tcW w:type="dxa" w:w="28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Receptionist dashboard</w:t>
            </w:r>
          </w:p>
        </w:tc>
        <w:tc>
          <w:tcPr>
            <w:tcW w:type="dxa" w:w="65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Appointment table, bed map, and walk-in registration shortcut.</w:t>
            </w:r>
          </w:p>
        </w:tc>
      </w:tr>
      <w:tr>
        <w:tc>
          <w:tcPr>
            <w:tcW w:type="dxa" w:w="28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Admin analytics dashboard</w:t>
            </w:r>
          </w:p>
        </w:tc>
        <w:tc>
          <w:tcPr>
            <w:tcW w:type="dxa" w:w="65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KPI cards, interactive charts, date filter, and CSV export.</w:t>
            </w:r>
          </w:p>
        </w:tc>
      </w:tr>
      <w:tr>
        <w:tc>
          <w:tcPr>
            <w:tcW w:type="dxa" w:w="28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Bed management map</w:t>
            </w:r>
          </w:p>
        </w:tc>
        <w:tc>
          <w:tcPr>
            <w:tcW w:type="dxa" w:w="65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Colour-coded grid by ward: green (available), red (occupied), yellow (maintenance).</w:t>
            </w:r>
          </w:p>
        </w:tc>
      </w:tr>
      <w:tr>
        <w:tc>
          <w:tcPr>
            <w:tcW w:type="dxa" w:w="28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AI chatbot</w:t>
            </w:r>
          </w:p>
        </w:tc>
        <w:tc>
          <w:tcPr>
            <w:tcW w:type="dxa" w:w="65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Chat bubble interface with typing indicator and medical disclaimer banner.</w:t>
            </w:r>
          </w:p>
        </w:tc>
      </w:tr>
      <w:tr>
        <w:tc>
          <w:tcPr>
            <w:tcW w:type="dxa" w:w="28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Emergency SOS screen</w:t>
            </w:r>
          </w:p>
        </w:tc>
        <w:tc>
          <w:tcPr>
            <w:tcW w:type="dxa" w:w="65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Full-screen map, nearest hospital list, routing overlay, distance and ETA.</w:t>
            </w:r>
          </w:p>
        </w:tc>
      </w:tr>
    </w:tbl>
    <w:p>
      <w:pPr>
        <w:pStyle w:val="Heading2"/>
        <w:spacing w:after="100" w:before="300"/>
      </w:pPr>
      <w:r>
        <w:rPr>
          <w:rFonts w:ascii="Georgia" w:cs="Georgia" w:eastAsia="Georgia" w:hAnsi="Georgia"/>
          <w:b/>
          <w:bCs/>
          <w:color w:val="0E6E6E"/>
          <w:sz w:val="27"/>
          <w:szCs w:val="27"/>
        </w:rPr>
        <w:t xml:space="preserve">8.2  Hardware interfaces</w:t>
      </w:r>
    </w:p>
    <w:p>
      <w:pPr>
        <w:spacing w:after="100" w:before="60"/>
      </w:pPr>
      <w:r>
        <w:rPr>
          <w:rFonts w:ascii="Calibri" w:cs="Calibri" w:eastAsia="Calibri" w:hAnsi="Calibri"/>
          <w:color w:val="3D4A5C"/>
          <w:sz w:val="22"/>
          <w:szCs w:val="22"/>
        </w:rPr>
        <w:t xml:space="preserve">CareSync does not interface with specialised hardware. Two device capabilities are used through browser APIs:</w:t>
      </w:r>
    </w:p>
    <w:p>
      <w:pPr>
        <w:pStyle w:val="ListParagraph"/>
        <w:numPr>
          <w:ilvl w:val="0"/>
          <w:numId w:val="2"/>
        </w:numPr>
        <w:spacing w:after="50" w:before="40"/>
      </w:pPr>
      <w:r>
        <w:rPr>
          <w:rFonts w:ascii="Calibri" w:cs="Calibri" w:eastAsia="Calibri" w:hAnsi="Calibri"/>
          <w:color w:val="3D4A5C"/>
          <w:sz w:val="22"/>
          <w:szCs w:val="22"/>
        </w:rPr>
        <w:t xml:space="preserve">GPS receiver — the SOS feature uses the W3C Geolocation API to obtain the device's coordinates. No custom hardware integration is required.</w:t>
      </w:r>
    </w:p>
    <w:p>
      <w:pPr>
        <w:pStyle w:val="ListParagraph"/>
        <w:numPr>
          <w:ilvl w:val="0"/>
          <w:numId w:val="2"/>
        </w:numPr>
        <w:spacing w:after="50" w:before="40"/>
      </w:pPr>
      <w:r>
        <w:rPr>
          <w:rFonts w:ascii="Calibri" w:cs="Calibri" w:eastAsia="Calibri" w:hAnsi="Calibri"/>
          <w:color w:val="3D4A5C"/>
          <w:sz w:val="22"/>
          <w:szCs w:val="22"/>
        </w:rPr>
        <w:t xml:space="preserve">File system access — file uploads use the standard browser file picker. No camera or scanner API is invoked directly.</w:t>
      </w:r>
    </w:p>
    <w:p>
      <w:pPr>
        <w:pStyle w:val="Heading2"/>
        <w:spacing w:after="100" w:before="300"/>
      </w:pPr>
      <w:r>
        <w:rPr>
          <w:rFonts w:ascii="Georgia" w:cs="Georgia" w:eastAsia="Georgia" w:hAnsi="Georgia"/>
          <w:b/>
          <w:bCs/>
          <w:color w:val="0E6E6E"/>
          <w:sz w:val="27"/>
          <w:szCs w:val="27"/>
        </w:rPr>
        <w:t xml:space="preserve">8.3  Software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System</w:t>
            </w:r>
          </w:p>
        </w:tc>
        <w:tc>
          <w:tcPr>
            <w:tcW w:type="dxa" w:w="2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Interface type</w:t>
            </w:r>
          </w:p>
        </w:tc>
        <w:tc>
          <w:tcPr>
            <w:tcW w:type="dxa" w:w="41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Purpose in CareSync</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OpenAI GPT API</w:t>
            </w:r>
          </w:p>
        </w:tc>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HTTPS REST / JSON</w:t>
            </w:r>
          </w:p>
        </w:tc>
        <w:tc>
          <w:tcPr>
            <w:tcW w:type="dxa" w:w="41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Symptom Checker responses via chat completions endpoint.</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Google Maps JS API</w:t>
            </w:r>
          </w:p>
        </w:tc>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JavaScript SDK</w:t>
            </w:r>
          </w:p>
        </w:tc>
        <w:tc>
          <w:tcPr>
            <w:tcW w:type="dxa" w:w="41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Renders the interactive map on the SOS screen.</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Google Maps Directions API</w:t>
            </w:r>
          </w:p>
        </w:tc>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HTTPS REST / JSON</w:t>
            </w:r>
          </w:p>
        </w:tc>
        <w:tc>
          <w:tcPr>
            <w:tcW w:type="dxa" w:w="41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Calculates optimal route from patient to hospital.</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Mock Aadhaar API</w:t>
            </w:r>
          </w:p>
        </w:tc>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HTTPS REST / JSON</w:t>
            </w:r>
          </w:p>
        </w:tc>
        <w:tc>
          <w:tcPr>
            <w:tcW w:type="dxa" w:w="41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Simulates identity verification on patient registration.</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MongoDB Atlas</w:t>
            </w:r>
          </w:p>
        </w:tc>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MongoDB wire protocol (Mongoose ODM)</w:t>
            </w:r>
          </w:p>
        </w:tc>
        <w:tc>
          <w:tcPr>
            <w:tcW w:type="dxa" w:w="41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All application data — users, appointments, records, beds.</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Cloudinary / Multer</w:t>
            </w:r>
          </w:p>
        </w:tc>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HTTPS REST / Node middleware</w:t>
            </w:r>
          </w:p>
        </w:tc>
        <w:tc>
          <w:tcPr>
            <w:tcW w:type="dxa" w:w="41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Upload, store, and retrieve medical document files.</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Vercel</w:t>
            </w:r>
          </w:p>
        </w:tc>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Static HTTPS hosting + CDN</w:t>
            </w:r>
          </w:p>
        </w:tc>
        <w:tc>
          <w:tcPr>
            <w:tcW w:type="dxa" w:w="41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Serves the built React application globally.</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Railway</w:t>
            </w:r>
          </w:p>
        </w:tc>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Containerised Node.js process</w:t>
            </w:r>
          </w:p>
        </w:tc>
        <w:tc>
          <w:tcPr>
            <w:tcW w:type="dxa" w:w="41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Hosts the Express backend; manages env vars and auto-deploy.</w:t>
            </w:r>
          </w:p>
        </w:tc>
      </w:tr>
    </w:tbl>
    <w:p>
      <w:pPr>
        <w:pStyle w:val="Heading2"/>
        <w:spacing w:after="100" w:before="300"/>
      </w:pPr>
      <w:r>
        <w:rPr>
          <w:rFonts w:ascii="Georgia" w:cs="Georgia" w:eastAsia="Georgia" w:hAnsi="Georgia"/>
          <w:b/>
          <w:bCs/>
          <w:color w:val="0E6E6E"/>
          <w:sz w:val="27"/>
          <w:szCs w:val="27"/>
        </w:rPr>
        <w:t xml:space="preserve">8.4  Communication interfaces</w:t>
      </w:r>
    </w:p>
    <w:p>
      <w:pPr>
        <w:pStyle w:val="ListParagraph"/>
        <w:numPr>
          <w:ilvl w:val="0"/>
          <w:numId w:val="2"/>
        </w:numPr>
        <w:spacing w:after="50" w:before="40"/>
      </w:pPr>
      <w:r>
        <w:rPr>
          <w:rFonts w:ascii="Calibri" w:cs="Calibri" w:eastAsia="Calibri" w:hAnsi="Calibri"/>
          <w:color w:val="3D4A5C"/>
          <w:sz w:val="22"/>
          <w:szCs w:val="22"/>
        </w:rPr>
        <w:t xml:space="preserve">All client–server communication uses HTTPS (TLS 1.2+). There are no plain HTTP endpoints in production.</w:t>
      </w:r>
    </w:p>
    <w:p>
      <w:pPr>
        <w:pStyle w:val="ListParagraph"/>
        <w:numPr>
          <w:ilvl w:val="0"/>
          <w:numId w:val="2"/>
        </w:numPr>
        <w:spacing w:after="50" w:before="40"/>
      </w:pPr>
      <w:r>
        <w:rPr>
          <w:rFonts w:ascii="Calibri" w:cs="Calibri" w:eastAsia="Calibri" w:hAnsi="Calibri"/>
          <w:color w:val="3D4A5C"/>
          <w:sz w:val="22"/>
          <w:szCs w:val="22"/>
        </w:rPr>
        <w:t xml:space="preserve">The frontend calls the backend exclusively via REST. Request and response bodies are JSON.</w:t>
      </w:r>
    </w:p>
    <w:p>
      <w:pPr>
        <w:pStyle w:val="ListParagraph"/>
        <w:numPr>
          <w:ilvl w:val="0"/>
          <w:numId w:val="2"/>
        </w:numPr>
        <w:spacing w:after="50" w:before="40"/>
      </w:pPr>
      <w:r>
        <w:rPr>
          <w:rFonts w:ascii="Calibri" w:cs="Calibri" w:eastAsia="Calibri" w:hAnsi="Calibri"/>
          <w:color w:val="3D4A5C"/>
          <w:sz w:val="22"/>
          <w:szCs w:val="22"/>
        </w:rPr>
        <w:t xml:space="preserve">JWT tokens are passed in the HTTP Authorization header as Bearer tokens on every authenticated request.</w:t>
      </w:r>
    </w:p>
    <w:p>
      <w:pPr>
        <w:pStyle w:val="ListParagraph"/>
        <w:numPr>
          <w:ilvl w:val="0"/>
          <w:numId w:val="2"/>
        </w:numPr>
        <w:spacing w:after="50" w:before="40"/>
      </w:pPr>
      <w:r>
        <w:rPr>
          <w:rFonts w:ascii="Calibri" w:cs="Calibri" w:eastAsia="Calibri" w:hAnsi="Calibri"/>
          <w:color w:val="3D4A5C"/>
          <w:sz w:val="22"/>
          <w:szCs w:val="22"/>
        </w:rPr>
        <w:t xml:space="preserve">CORS is configured on the Express server to allow requests only from the Vercel deployment domain. All other origins are blocked.</w:t>
      </w:r>
    </w:p>
    <w:p>
      <w:pPr>
        <w:pStyle w:val="ListParagraph"/>
        <w:numPr>
          <w:ilvl w:val="0"/>
          <w:numId w:val="2"/>
        </w:numPr>
        <w:spacing w:after="50" w:before="40"/>
      </w:pPr>
      <w:r>
        <w:rPr>
          <w:rFonts w:ascii="Calibri" w:cs="Calibri" w:eastAsia="Calibri" w:hAnsi="Calibri"/>
          <w:color w:val="3D4A5C"/>
          <w:sz w:val="22"/>
          <w:szCs w:val="22"/>
        </w:rPr>
        <w:t xml:space="preserve">WebSockets are not used in this version. Updates that benefit from near-real-time behaviour (e.g., bed map) use short-interval polling.</w:t>
      </w:r>
    </w:p>
    <w:p>
      <w:r>
        <w:br w:type="page"/>
      </w:r>
    </w:p>
    <w:p>
      <w:pPr>
        <w:pStyle w:val="Heading1"/>
        <w:pBdr>
          <w:bottom w:val="single" w:color="0E6E6E" w:sz="10" w:space="5"/>
        </w:pBdr>
        <w:spacing w:after="140" w:before="400"/>
      </w:pPr>
      <w:r>
        <w:rPr>
          <w:rFonts w:ascii="Georgia" w:cs="Georgia" w:eastAsia="Georgia" w:hAnsi="Georgia"/>
          <w:b/>
          <w:bCs/>
          <w:color w:val="1C1C2E"/>
          <w:sz w:val="34"/>
          <w:szCs w:val="34"/>
        </w:rPr>
        <w:t xml:space="preserve">9. Data Requirements</w:t>
      </w:r>
    </w:p>
    <w:p>
      <w:pPr>
        <w:pStyle w:val="Heading2"/>
        <w:spacing w:after="100" w:before="300"/>
      </w:pPr>
      <w:r>
        <w:rPr>
          <w:rFonts w:ascii="Georgia" w:cs="Georgia" w:eastAsia="Georgia" w:hAnsi="Georgia"/>
          <w:b/>
          <w:bCs/>
          <w:color w:val="0E6E6E"/>
          <w:sz w:val="27"/>
          <w:szCs w:val="27"/>
        </w:rPr>
        <w:t xml:space="preserve">9.1  Data models</w:t>
      </w:r>
    </w:p>
    <w:p>
      <w:pPr>
        <w:spacing w:after="100" w:before="60"/>
      </w:pPr>
      <w:r>
        <w:rPr>
          <w:rFonts w:ascii="Calibri" w:cs="Calibri" w:eastAsia="Calibri" w:hAnsi="Calibri"/>
          <w:color w:val="3D4A5C"/>
          <w:sz w:val="22"/>
          <w:szCs w:val="22"/>
        </w:rPr>
        <w:t xml:space="preserve">CareSync uses MongoDB, so each 'table' is a collection of JSON-like documents. The five core collections and their key fields are described below.</w:t>
      </w:r>
    </w:p>
    <w:p>
      <w:pPr>
        <w:pStyle w:val="Heading3"/>
        <w:spacing w:after="80" w:before="220"/>
      </w:pPr>
      <w:r>
        <w:rPr>
          <w:rFonts w:ascii="Georgia" w:cs="Georgia" w:eastAsia="Georgia" w:hAnsi="Georgia"/>
          <w:b/>
          <w:bCs/>
          <w:color w:val="C47A1E"/>
          <w:sz w:val="24"/>
          <w:szCs w:val="24"/>
        </w:rPr>
        <w:t xml:space="preserve">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Field</w:t>
            </w:r>
          </w:p>
        </w:tc>
        <w:tc>
          <w:tcPr>
            <w:tcW w:type="dxa" w:w="69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Type &amp; notes</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_id</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 MongoDB primary key, auto-generated.</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name</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required — full display name.</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email</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required, unique, indexed — used as the login identifier.</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passwordHash</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required — bcrypt hash. Never returned in any API response.</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role</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Enum: Patient | Doctor | Receptionist | Admin.</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isActive</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Boolean, default true — false for suspended or deleted accounts.</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aadhaarNumber</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(Patients only) — stored encrypted; last 4 digits only returned in UI.</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aadhaarVerified</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Boolean, default false — set to true after successful verification.</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createdAt</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Date — auto-set on document creation.</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updatedAt</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Date — auto-managed by Mongoose timestamps.</w:t>
            </w:r>
          </w:p>
        </w:tc>
      </w:tr>
    </w:tbl>
    <w:p>
      <w:pPr>
        <w:pStyle w:val="Heading3"/>
        <w:spacing w:after="80" w:before="220"/>
      </w:pPr>
      <w:r>
        <w:rPr>
          <w:rFonts w:ascii="Georgia" w:cs="Georgia" w:eastAsia="Georgia" w:hAnsi="Georgia"/>
          <w:b/>
          <w:bCs/>
          <w:color w:val="C47A1E"/>
          <w:sz w:val="24"/>
          <w:szCs w:val="24"/>
        </w:rPr>
        <w:t xml:space="preserve">Appointments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Field</w:t>
            </w:r>
          </w:p>
        </w:tc>
        <w:tc>
          <w:tcPr>
            <w:tcW w:type="dxa" w:w="69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Type &amp; notes</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_id</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 primary key.</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patientId</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ref → Users, required, indexed.</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doctorId</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ref → Users, required, indexed.</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date</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Date, required, indexed.</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timeSlot</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 e.g., '10:00 AM'.</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reason</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optional — patient's description of their complaint.</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status</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Enum: Pending | Confirmed | Completed | Cancelled | Rescheduled.</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notes</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optional — doctor's post-appointment clinical notes.</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createdBy</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ref → Users — who created the appointment (patient, receptionist, etc.).</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createdAt</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Date — auto-set.</w:t>
            </w:r>
          </w:p>
        </w:tc>
      </w:tr>
    </w:tbl>
    <w:p>
      <w:pPr>
        <w:pStyle w:val="Heading3"/>
        <w:spacing w:after="80" w:before="220"/>
      </w:pPr>
      <w:r>
        <w:rPr>
          <w:rFonts w:ascii="Georgia" w:cs="Georgia" w:eastAsia="Georgia" w:hAnsi="Georgia"/>
          <w:b/>
          <w:bCs/>
          <w:color w:val="C47A1E"/>
          <w:sz w:val="24"/>
          <w:szCs w:val="24"/>
        </w:rPr>
        <w:t xml:space="preserve">MedicalRecords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Field</w:t>
            </w:r>
          </w:p>
        </w:tc>
        <w:tc>
          <w:tcPr>
            <w:tcW w:type="dxa" w:w="69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Type &amp; notes</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_id</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 primary key.</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patientId</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ref → Users, required, indexed.</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authorId</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ref → Users (Doctor) — who wrote this record entry.</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diagnosis</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required.</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prescription</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Array of objects — each has { medicine, dosage, duration }.</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treatmentPlan</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optional.</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labResults</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Array of ObjectIds referencing LabTests.</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documents</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Array of objects — each has { url, filename, mimeType, uploadedAt }.</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accessList</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Array of ObjectIds (Doctors) granted access by the patient.</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isDeleted</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Boolean, default false — soft-delete flag. Records are never hard-deleted.</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createdAt</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Date — auto-set.</w:t>
            </w:r>
          </w:p>
        </w:tc>
      </w:tr>
    </w:tbl>
    <w:p>
      <w:pPr>
        <w:pStyle w:val="Heading3"/>
        <w:spacing w:after="80" w:before="220"/>
      </w:pPr>
      <w:r>
        <w:rPr>
          <w:rFonts w:ascii="Georgia" w:cs="Georgia" w:eastAsia="Georgia" w:hAnsi="Georgia"/>
          <w:b/>
          <w:bCs/>
          <w:color w:val="C47A1E"/>
          <w:sz w:val="24"/>
          <w:szCs w:val="24"/>
        </w:rPr>
        <w:t xml:space="preserve">LabTests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Field</w:t>
            </w:r>
          </w:p>
        </w:tc>
        <w:tc>
          <w:tcPr>
            <w:tcW w:type="dxa" w:w="69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Type &amp; notes</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_id</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 primary key.</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patientId</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ref → Users, required.</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testName</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required.</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price</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Number — simulated price in INR.</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preferredDate</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Date, required.</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status</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Enum: Pending | Scheduled | Completed | Cancelled.</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result</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or Object, optional — populated when test is completed.</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paymentStatus</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Enum: Pending | Simulated_Success | Simulated_Failed.</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receiptId</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 auto-generated simulated receipt identifier.</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createdAt</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Date — booking timestamp.</w:t>
            </w:r>
          </w:p>
        </w:tc>
      </w:tr>
    </w:tbl>
    <w:p>
      <w:pPr>
        <w:pStyle w:val="Heading3"/>
        <w:spacing w:after="80" w:before="220"/>
      </w:pPr>
      <w:r>
        <w:rPr>
          <w:rFonts w:ascii="Georgia" w:cs="Georgia" w:eastAsia="Georgia" w:hAnsi="Georgia"/>
          <w:b/>
          <w:bCs/>
          <w:color w:val="C47A1E"/>
          <w:sz w:val="24"/>
          <w:szCs w:val="24"/>
        </w:rPr>
        <w:t xml:space="preserve">Beds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Field</w:t>
            </w:r>
          </w:p>
        </w:tc>
        <w:tc>
          <w:tcPr>
            <w:tcW w:type="dxa" w:w="69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Type &amp; notes</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_id</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 primary key.</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bedNumber</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String, required, unique within ward, indexed.</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ward</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Enum: General | ICU | Emergency | Private.</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status</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Enum: Available | Occupied | Under Maintenance.</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patientId</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ref → Users, nullable — the currently admitted patient.</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admissionDate</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Date, nullable.</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dischargeDate</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Date, nullable — populated on discharge.</w:t>
            </w:r>
          </w:p>
        </w:tc>
      </w:tr>
      <w:tr>
        <w:tc>
          <w:tcPr>
            <w:tcW w:type="dxa" w:w="24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allocatedBy</w:t>
            </w:r>
          </w:p>
        </w:tc>
        <w:tc>
          <w:tcPr>
            <w:tcW w:type="dxa" w:w="69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ObjectId ref → Users (Receptionist) — who made the allocation.</w:t>
            </w:r>
          </w:p>
        </w:tc>
      </w:tr>
      <w:tr>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tcPr>
          <w:p>
            <w:r>
              <w:rPr>
                <w:rFonts w:ascii="Courier New" w:cs="Courier New" w:eastAsia="Courier New" w:hAnsi="Courier New"/>
                <w:b/>
                <w:bCs/>
                <w:color w:val="0E6E6E"/>
                <w:sz w:val="19"/>
                <w:szCs w:val="19"/>
              </w:rPr>
              <w:t xml:space="preserve">updatedAt</w:t>
            </w:r>
          </w:p>
        </w:tc>
        <w:tc>
          <w:tcPr>
            <w:tcW w:type="dxa" w:w="69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Date — last status change.</w:t>
            </w:r>
          </w:p>
        </w:tc>
      </w:tr>
    </w:tbl>
    <w:p>
      <w:pPr>
        <w:pStyle w:val="Heading2"/>
        <w:spacing w:after="100" w:before="300"/>
      </w:pPr>
      <w:r>
        <w:rPr>
          <w:rFonts w:ascii="Georgia" w:cs="Georgia" w:eastAsia="Georgia" w:hAnsi="Georgia"/>
          <w:b/>
          <w:bCs/>
          <w:color w:val="0E6E6E"/>
          <w:sz w:val="27"/>
          <w:szCs w:val="27"/>
        </w:rPr>
        <w:t xml:space="preserve">9.2  Data validation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Field</w:t>
            </w:r>
          </w:p>
        </w:tc>
        <w:tc>
          <w:tcPr>
            <w:tcW w:type="dxa" w:w="6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Validation rule</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email</w:t>
            </w:r>
          </w:p>
        </w:tc>
        <w:tc>
          <w:tcPr>
            <w:tcW w:type="dxa" w:w="6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RFC 5322 format, unique across all Users documents.</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password</w:t>
            </w:r>
          </w:p>
        </w:tc>
        <w:tc>
          <w:tcPr>
            <w:tcW w:type="dxa" w:w="6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Minimum 8 characters; must include at least one uppercase letter, one lowercase letter, and one digit.</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aadhaarNumber</w:t>
            </w:r>
          </w:p>
        </w:tc>
        <w:tc>
          <w:tcPr>
            <w:tcW w:type="dxa" w:w="6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Exactly 12 numeric digits. Verified against mock Aadhaar API.</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appointmentDate</w:t>
            </w:r>
          </w:p>
        </w:tc>
        <w:tc>
          <w:tcPr>
            <w:tcW w:type="dxa" w:w="6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Must be a future date. Must fall within the selected doctor's availability schedule.</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fileUploads</w:t>
            </w:r>
          </w:p>
        </w:tc>
        <w:tc>
          <w:tcPr>
            <w:tcW w:type="dxa" w:w="6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Accepted MIME types: application/pdf, image/jpeg, image/png. Maximum 10 MB per file.</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phoneNumber</w:t>
            </w:r>
          </w:p>
        </w:tc>
        <w:tc>
          <w:tcPr>
            <w:tcW w:type="dxa" w:w="6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Valid 10-digit Indian mobile number (validated by regex: ^[6-9]\d{9}$).</w:t>
            </w:r>
          </w:p>
        </w:tc>
      </w:tr>
      <w:tr>
        <w:tc>
          <w:tcPr>
            <w:tcW w:type="dxa" w:w="2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role</w:t>
            </w:r>
          </w:p>
        </w:tc>
        <w:tc>
          <w:tcPr>
            <w:tcW w:type="dxa" w:w="6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Must be one of: Patient, Doctor, Receptionist, Admin.</w:t>
            </w:r>
          </w:p>
        </w:tc>
      </w:tr>
      <w:tr>
        <w:tc>
          <w:tcPr>
            <w:tcW w:type="dxa" w:w="2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bedNumber</w:t>
            </w:r>
          </w:p>
        </w:tc>
        <w:tc>
          <w:tcPr>
            <w:tcW w:type="dxa" w:w="6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Must be unique within its ward. Alphanumeric, max 10 characters.</w:t>
            </w:r>
          </w:p>
        </w:tc>
      </w:tr>
    </w:tbl>
    <w:p>
      <w:pPr>
        <w:pStyle w:val="Heading2"/>
        <w:spacing w:after="100" w:before="300"/>
      </w:pPr>
      <w:r>
        <w:rPr>
          <w:rFonts w:ascii="Georgia" w:cs="Georgia" w:eastAsia="Georgia" w:hAnsi="Georgia"/>
          <w:b/>
          <w:bCs/>
          <w:color w:val="0E6E6E"/>
          <w:sz w:val="27"/>
          <w:szCs w:val="27"/>
        </w:rPr>
        <w:t xml:space="preserve">9.3  Retention and deletion policy</w:t>
      </w:r>
    </w:p>
    <w:p>
      <w:pPr>
        <w:pStyle w:val="ListParagraph"/>
        <w:numPr>
          <w:ilvl w:val="0"/>
          <w:numId w:val="2"/>
        </w:numPr>
        <w:spacing w:after="50" w:before="40"/>
      </w:pPr>
      <w:r>
        <w:rPr>
          <w:rFonts w:ascii="Calibri" w:cs="Calibri" w:eastAsia="Calibri" w:hAnsi="Calibri"/>
          <w:color w:val="3D4A5C"/>
          <w:sz w:val="22"/>
          <w:szCs w:val="22"/>
        </w:rPr>
        <w:t xml:space="preserve">Medical records are never permanently deleted. A soft-delete flag (isDeleted: true) is used instead, and flagged records remain accessible to Admins.</w:t>
      </w:r>
    </w:p>
    <w:p>
      <w:pPr>
        <w:pStyle w:val="ListParagraph"/>
        <w:numPr>
          <w:ilvl w:val="0"/>
          <w:numId w:val="2"/>
        </w:numPr>
        <w:spacing w:after="50" w:before="40"/>
      </w:pPr>
      <w:r>
        <w:rPr>
          <w:rFonts w:ascii="Calibri" w:cs="Calibri" w:eastAsia="Calibri" w:hAnsi="Calibri"/>
          <w:color w:val="3D4A5C"/>
          <w:sz w:val="22"/>
          <w:szCs w:val="22"/>
        </w:rPr>
        <w:t xml:space="preserve">Appointment records are retained for a minimum of 5 years from the appointment date to support audit requirements.</w:t>
      </w:r>
    </w:p>
    <w:p>
      <w:pPr>
        <w:pStyle w:val="ListParagraph"/>
        <w:numPr>
          <w:ilvl w:val="0"/>
          <w:numId w:val="2"/>
        </w:numPr>
        <w:spacing w:after="50" w:before="40"/>
      </w:pPr>
      <w:r>
        <w:rPr>
          <w:rFonts w:ascii="Calibri" w:cs="Calibri" w:eastAsia="Calibri" w:hAnsi="Calibri"/>
          <w:color w:val="3D4A5C"/>
          <w:sz w:val="22"/>
          <w:szCs w:val="22"/>
        </w:rPr>
        <w:t xml:space="preserve">Deactivated user accounts retain their data for at least 2 years before any hard deletion can be authorised by an Admin.</w:t>
      </w:r>
    </w:p>
    <w:p>
      <w:pPr>
        <w:pStyle w:val="ListParagraph"/>
        <w:numPr>
          <w:ilvl w:val="0"/>
          <w:numId w:val="2"/>
        </w:numPr>
        <w:spacing w:after="50" w:before="40"/>
      </w:pPr>
      <w:r>
        <w:rPr>
          <w:rFonts w:ascii="Calibri" w:cs="Calibri" w:eastAsia="Calibri" w:hAnsi="Calibri"/>
          <w:color w:val="3D4A5C"/>
          <w:sz w:val="22"/>
          <w:szCs w:val="22"/>
        </w:rPr>
        <w:t xml:space="preserve">System logs (login events, SOS activations, errors) are retained for 90 days on the application server.</w:t>
      </w:r>
    </w:p>
    <w:p>
      <w:pPr>
        <w:pStyle w:val="Heading2"/>
        <w:spacing w:after="100" w:before="300"/>
      </w:pPr>
      <w:r>
        <w:rPr>
          <w:rFonts w:ascii="Georgia" w:cs="Georgia" w:eastAsia="Georgia" w:hAnsi="Georgia"/>
          <w:b/>
          <w:bCs/>
          <w:color w:val="0E6E6E"/>
          <w:sz w:val="27"/>
          <w:szCs w:val="27"/>
        </w:rPr>
        <w:t xml:space="preserve">9.4  Data security</w:t>
      </w:r>
    </w:p>
    <w:p>
      <w:pPr>
        <w:pStyle w:val="ListParagraph"/>
        <w:numPr>
          <w:ilvl w:val="0"/>
          <w:numId w:val="2"/>
        </w:numPr>
        <w:spacing w:after="50" w:before="40"/>
      </w:pPr>
      <w:r>
        <w:rPr>
          <w:rFonts w:ascii="Calibri" w:cs="Calibri" w:eastAsia="Calibri" w:hAnsi="Calibri"/>
          <w:color w:val="3D4A5C"/>
          <w:sz w:val="22"/>
          <w:szCs w:val="22"/>
        </w:rPr>
        <w:t xml:space="preserve">Aadhaar numbers are encrypted at the field level in MongoDB before storage. Only the last four digits are ever returned to the client.</w:t>
      </w:r>
    </w:p>
    <w:p>
      <w:pPr>
        <w:pStyle w:val="ListParagraph"/>
        <w:numPr>
          <w:ilvl w:val="0"/>
          <w:numId w:val="2"/>
        </w:numPr>
        <w:spacing w:after="50" w:before="40"/>
      </w:pPr>
      <w:r>
        <w:rPr>
          <w:rFonts w:ascii="Calibri" w:cs="Calibri" w:eastAsia="Calibri" w:hAnsi="Calibri"/>
          <w:color w:val="3D4A5C"/>
          <w:sz w:val="22"/>
          <w:szCs w:val="22"/>
        </w:rPr>
        <w:t xml:space="preserve">MongoDB Atlas IP allowlist is configured to accept connections only from Railway backend IP ranges.</w:t>
      </w:r>
    </w:p>
    <w:p>
      <w:pPr>
        <w:pStyle w:val="ListParagraph"/>
        <w:numPr>
          <w:ilvl w:val="0"/>
          <w:numId w:val="2"/>
        </w:numPr>
        <w:spacing w:after="50" w:before="40"/>
      </w:pPr>
      <w:r>
        <w:rPr>
          <w:rFonts w:ascii="Calibri" w:cs="Calibri" w:eastAsia="Calibri" w:hAnsi="Calibri"/>
          <w:color w:val="3D4A5C"/>
          <w:sz w:val="22"/>
          <w:szCs w:val="22"/>
        </w:rPr>
        <w:t xml:space="preserve">Automated database backups are enabled on Atlas with a minimum 7-day point-in-time recovery window.</w:t>
      </w:r>
    </w:p>
    <w:p>
      <w:pPr>
        <w:pStyle w:val="ListParagraph"/>
        <w:numPr>
          <w:ilvl w:val="0"/>
          <w:numId w:val="2"/>
        </w:numPr>
        <w:spacing w:after="50" w:before="40"/>
      </w:pPr>
      <w:r>
        <w:rPr>
          <w:rFonts w:ascii="Calibri" w:cs="Calibri" w:eastAsia="Calibri" w:hAnsi="Calibri"/>
          <w:color w:val="3D4A5C"/>
          <w:sz w:val="22"/>
          <w:szCs w:val="22"/>
        </w:rPr>
        <w:t xml:space="preserve">File upload MIME types are validated server-side before storage. Executable or unknown file types are rejected with HTTP 415.</w:t>
      </w:r>
    </w:p>
    <w:p>
      <w:r>
        <w:br w:type="page"/>
      </w:r>
    </w:p>
    <w:p>
      <w:pPr>
        <w:pStyle w:val="Heading1"/>
        <w:pBdr>
          <w:bottom w:val="single" w:color="0E6E6E" w:sz="10" w:space="5"/>
        </w:pBdr>
        <w:spacing w:after="140" w:before="400"/>
      </w:pPr>
      <w:r>
        <w:rPr>
          <w:rFonts w:ascii="Georgia" w:cs="Georgia" w:eastAsia="Georgia" w:hAnsi="Georgia"/>
          <w:b/>
          <w:bCs/>
          <w:color w:val="1C1C2E"/>
          <w:sz w:val="34"/>
          <w:szCs w:val="34"/>
        </w:rPr>
        <w:t xml:space="preserve">Appendix A —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Term</w:t>
            </w:r>
          </w:p>
        </w:tc>
        <w:tc>
          <w:tcPr>
            <w:tcW w:type="dxa" w:w="77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Definition</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API</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Application Programming Interface — a defined contract for how two software systems communicate.</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CORS</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Cross-Origin Resource Sharing — a browser mechanism controlling which origins can call an API.</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ICU</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Intensive Care Unit — a specialist hospital ward for critically ill patients.</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JWT</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JSON Web Token — a compact, signed token used to represent authenticated user sessions.</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NDHM</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National Digital Health Mission — India's initiative to build a national digital health ecosystem.</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RBAC</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Role-Based Access Control — granting permissions based on the user's assigned role.</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SOS</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Emergency distress signal — here, the one-tap feature that routes a patient to the nearest hospital.</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SRS</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Software Requirements Specification — this document.</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TLS</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Transport Layer Security — the encryption protocol behind HTTPS.</w:t>
            </w:r>
          </w:p>
        </w:tc>
      </w:tr>
      <w:tr>
        <w:tc>
          <w:tcPr>
            <w:tcW w:type="dxa" w:w="160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UIDAI</w:t>
            </w:r>
          </w:p>
        </w:tc>
        <w:tc>
          <w:tcPr>
            <w:tcW w:type="dxa" w:w="7760"/>
            <w:tcBorders>
              <w:top w:val="single" w:color="C8D0D8" w:sz="1"/>
              <w:left w:val="none" w:color="FFFFFF" w:sz="0"/>
              <w:bottom w:val="single" w:color="C8D0D8" w:sz="1"/>
              <w:right w:val="none" w:color="FFFFFF" w:sz="0"/>
            </w:tcBorders>
            <w:shd w:fill="FFFFFF"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Unique Identification Authority of India — the government body that manages the Aadhaar identity system.</w:t>
            </w:r>
          </w:p>
        </w:tc>
      </w:tr>
      <w:tr>
        <w:tc>
          <w:tcPr>
            <w:tcW w:type="dxa" w:w="16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Vite</w:t>
            </w:r>
          </w:p>
        </w:tc>
        <w:tc>
          <w:tcPr>
            <w:tcW w:type="dxa" w:w="77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 fast frontend build tool used to bundle the React application.</w:t>
            </w:r>
          </w:p>
        </w:tc>
      </w:tr>
    </w:tbl>
    <w:p>
      <w:pPr>
        <w:spacing w:after="120" w:before="0"/>
      </w:pPr>
      <w:r>
        <w:t xml:space="preserve"/>
      </w:r>
    </w:p>
    <w:p>
      <w:pPr>
        <w:pStyle w:val="Heading1"/>
        <w:pBdr>
          <w:bottom w:val="single" w:color="0E6E6E" w:sz="10" w:space="5"/>
        </w:pBdr>
        <w:spacing w:after="140" w:before="400"/>
      </w:pPr>
      <w:r>
        <w:rPr>
          <w:rFonts w:ascii="Georgia" w:cs="Georgia" w:eastAsia="Georgia" w:hAnsi="Georgia"/>
          <w:b/>
          <w:bCs/>
          <w:color w:val="1C1C2E"/>
          <w:sz w:val="34"/>
          <w:szCs w:val="34"/>
        </w:rPr>
        <w:t xml:space="preserve">Appendix B —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rPr>
          <w:tblHeader/>
        </w:trPr>
        <w:tc>
          <w:tcPr>
            <w:tcW w:type="dxa" w:w="14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Version</w:t>
            </w:r>
          </w:p>
        </w:tc>
        <w:tc>
          <w:tcPr>
            <w:tcW w:type="dxa" w:w="240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Date</w:t>
            </w:r>
          </w:p>
        </w:tc>
        <w:tc>
          <w:tcPr>
            <w:tcW w:type="dxa" w:w="5560"/>
            <w:tcBorders>
              <w:top w:val="none" w:color="FFFFFF" w:sz="0"/>
              <w:left w:val="none" w:color="FFFFFF" w:sz="0"/>
              <w:bottom w:val="single" w:color="0E6E6E" w:sz="6"/>
              <w:right w:val="none" w:color="FFFFFF" w:sz="0"/>
            </w:tcBorders>
            <w:shd w:fill="E0F4F4" w:val="clear"/>
            <w:tcMar>
              <w:top w:type="dxa" w:w="100"/>
              <w:left w:type="dxa" w:w="160"/>
              <w:bottom w:type="dxa" w:w="100"/>
              <w:right w:type="dxa" w:w="120"/>
            </w:tcMar>
          </w:tcPr>
          <w:p>
            <w:r>
              <w:rPr>
                <w:rFonts w:ascii="Georgia" w:cs="Georgia" w:eastAsia="Georgia" w:hAnsi="Georgia"/>
                <w:b/>
                <w:bCs/>
                <w:color w:val="0E6E6E"/>
                <w:sz w:val="21"/>
                <w:szCs w:val="21"/>
              </w:rPr>
              <w:t xml:space="preserve">Notes</w:t>
            </w:r>
          </w:p>
        </w:tc>
      </w:tr>
      <w:tr>
        <w:tc>
          <w:tcPr>
            <w:tcW w:type="dxa" w:w="1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ourier New" w:cs="Courier New" w:eastAsia="Courier New" w:hAnsi="Courier New"/>
                <w:b/>
                <w:bCs/>
                <w:color w:val="0E6E6E"/>
                <w:sz w:val="18"/>
                <w:szCs w:val="18"/>
              </w:rPr>
              <w:t xml:space="preserve">  </w:t>
            </w:r>
            <w:r>
              <w:rPr>
                <w:rFonts w:ascii="Calibri" w:cs="Calibri" w:eastAsia="Calibri" w:hAnsi="Calibri"/>
                <w:color w:val="3D4A5C"/>
                <w:sz w:val="21"/>
                <w:szCs w:val="21"/>
              </w:rPr>
              <w:t xml:space="preserve">1.0</w:t>
            </w:r>
          </w:p>
        </w:tc>
        <w:tc>
          <w:tcPr>
            <w:tcW w:type="dxa" w:w="240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April 2026</w:t>
            </w:r>
          </w:p>
        </w:tc>
        <w:tc>
          <w:tcPr>
            <w:tcW w:type="dxa" w:w="5560"/>
            <w:tcBorders>
              <w:top w:val="single" w:color="C8D0D8" w:sz="1"/>
              <w:left w:val="none" w:color="FFFFFF" w:sz="0"/>
              <w:bottom w:val="single" w:color="C8D0D8" w:sz="1"/>
              <w:right w:val="none" w:color="FFFFFF" w:sz="0"/>
            </w:tcBorders>
            <w:shd w:fill="F7F5F1" w:val="clear"/>
            <w:tcMar>
              <w:top w:type="dxa" w:w="80"/>
              <w:left w:type="dxa" w:w="160"/>
              <w:bottom w:type="dxa" w:w="80"/>
              <w:right w:type="dxa" w:w="120"/>
            </w:tcMar>
            <w:vAlign w:val="top"/>
          </w:tcPr>
          <w:p>
            <w:r>
              <w:rPr>
                <w:rFonts w:ascii="Calibri" w:cs="Calibri" w:eastAsia="Calibri" w:hAnsi="Calibri"/>
                <w:b w:val="false"/>
                <w:bCs w:val="false"/>
                <w:color w:val="3D4A5C"/>
                <w:sz w:val="21"/>
                <w:szCs w:val="21"/>
              </w:rPr>
              <w:t xml:space="preserve">Initial SRS prepared for academic submission.</w:t>
            </w:r>
          </w:p>
        </w:tc>
      </w:tr>
    </w:tbl>
    <w:sectPr>
      <w:headerReference w:type="default" r:id="rId7"/>
      <w:footerReference w:type="default" r:id="rId8"/>
      <w:pgSz w:w="12240" w:h="15840" w:orient="portrait"/>
      <w:pgMar w:top="1440" w:right="1440" w:bottom="1300" w:left="1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0D8" w:sz="4" w:space="4"/>
      </w:pBdr>
      <w:tabs>
        <w:tab w:val="right" w:pos="9026"/>
      </w:tabs>
      <w:spacing w:after="0" w:before="80"/>
    </w:pPr>
    <w:r>
      <w:rPr>
        <w:rFonts w:ascii="Calibri" w:cs="Calibri" w:eastAsia="Calibri" w:hAnsi="Calibri"/>
        <w:i/>
        <w:iCs/>
        <w:color w:val="6B7280"/>
        <w:sz w:val="18"/>
        <w:szCs w:val="18"/>
      </w:rPr>
      <w:t xml:space="preserve">For academic evaluation only</w:t>
    </w:r>
    <w:r>
      <w:rPr>
        <w:rFonts w:ascii="Calibri" w:cs="Calibri" w:eastAsia="Calibri" w:hAnsi="Calibri"/>
        <w:sz w:val="18"/>
        <w:szCs w:val="18"/>
      </w:rPr>
      <w:t xml:space="preserve">	</w:t>
    </w:r>
    <w:r>
      <w:rPr>
        <w:rFonts w:ascii="Calibri" w:cs="Calibri" w:eastAsia="Calibri" w:hAnsi="Calibri"/>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0D8" w:sz="4" w:space="4"/>
      </w:pBdr>
      <w:tabs>
        <w:tab w:val="right" w:pos="9026"/>
      </w:tabs>
      <w:spacing w:after="80" w:before="0"/>
    </w:pPr>
    <w:r>
      <w:rPr>
        <w:rFonts w:ascii="Calibri" w:cs="Calibri" w:eastAsia="Calibri" w:hAnsi="Calibri"/>
        <w:color w:val="6B7280"/>
        <w:sz w:val="18"/>
        <w:szCs w:val="18"/>
      </w:rPr>
      <w:t xml:space="preserve">CareSync — Healthcare Management System</w:t>
    </w:r>
    <w:r>
      <w:rPr>
        <w:rFonts w:ascii="Calibri" w:cs="Calibri" w:eastAsia="Calibri" w:hAnsi="Calibri"/>
        <w:color w:val="6B7280"/>
        <w:sz w:val="18"/>
        <w:szCs w:val="18"/>
      </w:rPr>
      <w:t xml:space="preserve">	SRS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bullet"/>
      <w:lvlText w:val="◦"/>
      <w:lvlJc w:val="left"/>
      <w:pPr>
        <w:ind w:left="10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D4A5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400"/>
      <w:outlineLvl w:val="0"/>
    </w:pPr>
    <w:rPr>
      <w:rFonts w:ascii="Georgia" w:cs="Georgia" w:eastAsia="Georgia" w:hAnsi="Georgia"/>
      <w:b/>
      <w:bCs/>
      <w:color w:val="1C1C2E"/>
      <w:sz w:val="34"/>
      <w:szCs w:val="34"/>
    </w:rPr>
  </w:style>
  <w:style w:type="paragraph" w:styleId="Heading2">
    <w:name w:val="Heading 2"/>
    <w:basedOn w:val="Normal"/>
    <w:next w:val="Normal"/>
    <w:qFormat/>
    <w:pPr>
      <w:spacing w:after="100" w:before="300"/>
      <w:outlineLvl w:val="1"/>
    </w:pPr>
    <w:rPr>
      <w:rFonts w:ascii="Georgia" w:cs="Georgia" w:eastAsia="Georgia" w:hAnsi="Georgia"/>
      <w:b/>
      <w:bCs/>
      <w:color w:val="0E6E6E"/>
      <w:sz w:val="27"/>
      <w:szCs w:val="27"/>
    </w:rPr>
  </w:style>
  <w:style w:type="paragraph" w:styleId="Heading3">
    <w:name w:val="Heading 3"/>
    <w:basedOn w:val="Normal"/>
    <w:next w:val="Normal"/>
    <w:qFormat/>
    <w:pPr>
      <w:spacing w:after="80" w:before="220"/>
      <w:outlineLvl w:val="2"/>
    </w:pPr>
    <w:rPr>
      <w:rFonts w:ascii="Georgia" w:cs="Georgia" w:eastAsia="Georgia" w:hAnsi="Georgia"/>
      <w:b/>
      <w:bCs/>
      <w:color w:val="C47A1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2026-04-23T09:50:49.810Z</dcterms:created>
  <dcterms:modified xsi:type="dcterms:W3CDTF">2026-04-23T09:50:49.811Z</dcterms:modified>
</cp:coreProperties>
</file>

<file path=docProps/custom.xml><?xml version="1.0" encoding="utf-8"?>
<Properties xmlns="http://schemas.openxmlformats.org/officeDocument/2006/custom-properties" xmlns:vt="http://schemas.openxmlformats.org/officeDocument/2006/docPropsVTypes"/>
</file>