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GAURAV SINGH BAGHEL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444444"/>
          <w:sz w:val="22"/>
          <w:szCs w:val="22"/>
        </w:rPr>
        <w:t xml:space="preserve">GenAI Solutions Architect | Agentic AI &amp; Enterprise RAG</w:t>
      </w:r>
    </w:p>
    <w:p>
      <w:pPr>
        <w:pBdr>
          <w:bottom w:val="single" w:color="999999" w:sz="6" w:space="4"/>
        </w:pBdr>
        <w:spacing w:after="20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Bangalore, India  |  Gauravsb14.js@gmail.com  |  LinkedIn: (Add URL)  |  GitHub: (Add URL)  |  Portfolio: (Add URL)</w:t>
      </w:r>
    </w:p>
    <w:p>
      <w:pPr>
        <w:pBdr>
          <w:bottom w:val="single" w:color="1F4E7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SUMMARY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GenAI Solutions Architect and AI Engineer with 10+ years of experience designing, developing, and deploying enterprise-scale Artificial Intelligence, Machine Learning, and Generative AI solutions across consulting and product organizations.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Specialized in building production-ready Agentic AI systems, Enterprise Retrieval-Augmented Generation (RAG) platforms, intelligent automation solutions, forecasting systems, recommendation engines, and LLM-powered applications for Fortune 500 organizations including Warner Bros. Discovery, Volkswagen Germany, and KPMG International.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Strong experience across the complete AI lifecycle including problem discovery, solution architecture, data engineering, model development, LLM integration, evaluation, deployment, observability, optimization, and production support.</w:t>
      </w:r>
    </w:p>
    <w:p>
      <w:pPr>
        <w:spacing w:after="100"/>
      </w:pPr>
      <w:r>
        <w:rPr>
          <w:rFonts w:ascii="Calibri" w:cs="Calibri" w:eastAsia="Calibri" w:hAnsi="Calibri"/>
          <w:sz w:val="20"/>
          <w:szCs w:val="20"/>
        </w:rPr>
        <w:t xml:space="preserve">Experienced in leading cross-functional engineering teams, collaborating with business stakeholders, conducting client workshops, supporting RFPs, mentoring engineers, and delivering scalable AI platforms with measurable business impact.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Core expertise: </w:t>
      </w:r>
      <w:r>
        <w:rPr>
          <w:rFonts w:ascii="Calibri" w:cs="Calibri" w:eastAsia="Calibri" w:hAnsi="Calibri"/>
          <w:sz w:val="20"/>
          <w:szCs w:val="20"/>
        </w:rPr>
        <w:t xml:space="preserve">Agentic AI, Multi-Agent Systems, Enterprise RAG, LangGraph, LangChain, LLM Applications, AI Solution Architecture, Time Series Forecasting, Machine Learning, NLP, AI Evaluation, Prompt Engineering, Vector Databases, FastAPI, Cloud-native AI Platforms.</w:t>
      </w:r>
    </w:p>
    <w:p>
      <w:pPr>
        <w:pBdr>
          <w:bottom w:val="single" w:color="1F4E7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CORE COMPETENCIES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Artificial Intelligence, Agentic AI, Multi-Agent Systems, Enterprise RAG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 Assistants, AI Automation, AI Workflow Orchestration, Human-in-the-Loop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AI Evaluation, Prompt Engineering, Structured Outputs, Function Calling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Large Language Models: OpenAI GPT, Claude, Gemini, Llama, Qwen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Frameworks: LangGraph, LangChain, CrewAI, FastAPI, TensorFlow, Scikit-learn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Machine Learning: XGBoost, NeuralProphet, Recommendation Systems, Time Series Forecasting, Regression, Classification, Feature Engineering, Hyperparameter Tuning, Model Evaluation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Data &amp; Retrieval: ChromaDB, Pinecone, FAISS, PostgreSQL, Redis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Cloud &amp; DevOps: Docker, Kubernetes, AWS, Azure, GCP, GitHub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Programming: Python, SQL, REST APIs</w:t>
      </w:r>
    </w:p>
    <w:p>
      <w:pPr>
        <w:pBdr>
          <w:bottom w:val="single" w:color="1F4E7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Associate Manager – GenAI Solutions Architect, EY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May 2025 – Present</w:t>
      </w:r>
    </w:p>
    <w:p>
      <w:pPr>
        <w:spacing w:after="8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Responsibilities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Lead the design and delivery of enterprise-scale GenAI solutions across multiple client engagements.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Architect multi-agent AI platforms using LangGraph and modern LLM ecosystems.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 Enterprise RAG systems integrating structured and unstructured enterprise knowledge.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Conduct solution architecture workshops with business and technical stakeholders.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Translate business requirements into scalable AI platform architectures.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Support pre-sales activities including technical proposals, RFP responses, demonstrations, and solution estimation.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Build reusable AI accelerators to standardize enterprise AI delivery.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Mentor engineers on AI architecture, coding standards, and best practices.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Collaborate with software engineers, DevOps engineers, and data engineers to deploy production AI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Drive adoption of reusable engineering patterns across delivery teams.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i/>
          <w:iCs/>
          <w:sz w:val="20"/>
          <w:szCs w:val="20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Delivered production AI platforms supporting over 1,000 enterprise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Led a team of five AI engineers across multiple enterprise engagements.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Established reusable GenAI frameworks adopted by multiple delivery teams.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Reduced delivery timelines through standardized AI architecture patterns.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Software Engineer – GenAI, Photon Interactive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 2025 – Apr 2025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intelligent recommendation platforms using LLMs.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multi-agent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RAG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backend AI services.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Improved evaluation pipelines.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Enhanced observability for production AI systems.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Assistant Manager – AI/ML Engineer, KPMG Global Services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Apr 2019 – Jan 2025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(To be expanded with detailed responsibilities and achievements based on project history.)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Software Engineer, Fugnex Technology Pvt Ltd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 2018 – Mar 2019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(To be expanded with project details.)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 Analyst, NoBroker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Feb 2015 – Oct 2017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(To be expanded with analytics responsibilities and business impact.)</w:t>
      </w:r>
    </w:p>
    <w:p>
      <w:pPr>
        <w:pBdr>
          <w:bottom w:val="single" w:color="1F4E7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MAJOR PROJECTS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 Customer Support Automation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Client: Warner Bros. Discovery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Role: Solution Lead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Problem: </w:t>
      </w:r>
      <w:r>
        <w:rPr>
          <w:rFonts w:ascii="Calibri" w:cs="Calibri" w:eastAsia="Calibri" w:hAnsi="Calibri"/>
          <w:sz w:val="20"/>
          <w:szCs w:val="20"/>
        </w:rPr>
        <w:t xml:space="preserve">Automate customer support operations using AI while maintaining enterprise governance and human oversight.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Architecture: </w:t>
      </w:r>
      <w:r>
        <w:rPr>
          <w:rFonts w:ascii="Calibri" w:cs="Calibri" w:eastAsia="Calibri" w:hAnsi="Calibri"/>
          <w:sz w:val="20"/>
          <w:szCs w:val="20"/>
        </w:rPr>
        <w:t xml:space="preserve">Multi-agent orchestration, LangGraph Supervisor Pattern, Enterprise RAG, Human-in-the-Loop, Tool-based Agents, Knowledge Retrieval, Ticket Creation, Escalation Workflows.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complete AI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supervisor agent and developed specialized worker agents.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Implemented retrieval pipelines and integrated enterprise knowledge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Designed evaluation workflows; led implementation team.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Impact: </w:t>
      </w:r>
      <w:r>
        <w:rPr>
          <w:rFonts w:ascii="Calibri" w:cs="Calibri" w:eastAsia="Calibri" w:hAnsi="Calibri"/>
          <w:sz w:val="20"/>
          <w:szCs w:val="20"/>
        </w:rPr>
        <w:t xml:space="preserve">Production deployment serving 1,000+ users; reduced manual customer support effort; improved response quality.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Technology: </w:t>
      </w:r>
      <w:r>
        <w:rPr>
          <w:rFonts w:ascii="Calibri" w:cs="Calibri" w:eastAsia="Calibri" w:hAnsi="Calibri"/>
          <w:sz w:val="20"/>
          <w:szCs w:val="20"/>
        </w:rPr>
        <w:t xml:space="preserve">LangGraph, LangChain, FastAPI, OpenAI, Gemini, ChromaDB, Docker.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Media Demand Forecasting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Client: Warner Bros. Discovery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Role: AI Solution Lead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Problem: </w:t>
      </w:r>
      <w:r>
        <w:rPr>
          <w:rFonts w:ascii="Calibri" w:cs="Calibri" w:eastAsia="Calibri" w:hAnsi="Calibri"/>
          <w:sz w:val="20"/>
          <w:szCs w:val="20"/>
        </w:rPr>
        <w:t xml:space="preserve">Forecast advertising impressions across nineteen television networks.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Built forecasting pipeline with feature engineering.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Developed NeuralProphet and XGBoost models.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Conducted model evaluation and experiment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Supported deployment.</w:t>
      </w:r>
    </w:p>
    <w:p>
      <w:pPr>
        <w:spacing w:after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Business Impact: </w:t>
      </w:r>
      <w:r>
        <w:rPr>
          <w:rFonts w:ascii="Calibri" w:cs="Calibri" w:eastAsia="Calibri" w:hAnsi="Calibri"/>
          <w:sz w:val="20"/>
          <w:szCs w:val="20"/>
        </w:rPr>
        <w:t xml:space="preserve">Improved forecasting accuracy by 30–70%; generated approximately $50M in quarterly business value; supported media inventory optimization; led a five-engineer delivery team.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Enterprise Policy Intelligence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Volkswagen Germany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(To be expanded with architecture, retrieval pipeline, indexing strategy, search optimization, governance, and measurable impact.)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Licensing Intelligence Assistant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KPMG International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(To be expanded with document processing workflow, retrieval, LLM integration, and adoption.)</w:t>
      </w:r>
    </w:p>
    <w:p>
      <w:pPr>
        <w:tabs>
          <w:tab w:val="right" w:pos="9360"/>
        </w:tabs>
        <w:spacing w:after="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Personalization Platform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Universal Orlando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(To be expanded with recommendation algorithms, collaborative filtering, deployment, and results.)</w:t>
      </w:r>
    </w:p>
    <w:p>
      <w:pPr>
        <w:pBdr>
          <w:bottom w:val="single" w:color="1F4E7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TECHNICAL SKILLS</w:t>
      </w:r>
    </w:p>
    <w:p>
      <w:pPr>
        <w:spacing w:after="100"/>
      </w:pP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This section will become the exhaustive inventory of every relevant language, framework, cloud service, AI capability, database, and tool used — serving as the source for tailoring future resumes.</w:t>
      </w:r>
    </w:p>
    <w:p>
      <w:pPr>
        <w:pBdr>
          <w:bottom w:val="single" w:color="1F4E79" w:sz="8" w:space="2"/>
        </w:pBdr>
        <w:spacing w:after="100" w:before="26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LangGraph Professional 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GitHub Copilot (GH-300)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DeepLearning.AI – Multi-Agent Systems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DeepLearning.AI – Agentic RAG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Anthropic – Prompt Engineering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0"/>
          <w:szCs w:val="20"/>
        </w:rPr>
        <w:t xml:space="preserve">Google Cloud Professional Cloud Architect (Pursuing)</w:t>
      </w:r>
    </w:p>
    <w:sectPr>
      <w:pgSz w:w="12240" w:h="15840" w:orient="portrait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2026-07-18T06:00:49.357Z</dcterms:created>
  <dcterms:modified xsi:type="dcterms:W3CDTF">2026-07-18T06:00:49.370Z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