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3864"/>
          <w:sz w:val="40"/>
          <w:szCs w:val="40"/>
        </w:rPr>
        <w:t xml:space="preserve">SOFTWARE REQUIREMENTS SPECIFICATION</w:t>
      </w:r>
    </w:p>
    <w:p>
      <w:pPr>
        <w:spacing w:after="120"/>
        <w:jc w:val="center"/>
      </w:pPr>
      <w:r>
        <w:rPr>
          <w:b/>
          <w:bCs/>
          <w:color w:val="2E74B5"/>
          <w:sz w:val="32"/>
          <w:szCs w:val="32"/>
        </w:rPr>
        <w:t xml:space="preserve">Retail Sales Intelligence System</w:t>
      </w:r>
    </w:p>
    <w:p>
      <w:pPr>
        <w:spacing w:after="800"/>
        <w:jc w:val="center"/>
      </w:pPr>
      <w:r>
        <w:rPr>
          <w:i/>
          <w:iCs/>
          <w:color w:val="595959"/>
          <w:sz w:val="24"/>
          <w:szCs w:val="24"/>
        </w:rPr>
        <w:t xml:space="preserve">An End-to-End SQL, Machine Learning &amp; Power BI Analytics Platform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1F3864" w:val="clear"/>
            <w:tcMar>
              <w:top w:type="dxa" w:w="80"/>
              <w:left w:type="dxa" w:w="100"/>
              <w:bottom w:type="dxa" w:w="80"/>
              <w:right w:type="dxa" w:w="100"/>
            </w:tcMar>
          </w:tcPr>
          <w:p>
            <w:r>
              <w:rPr>
                <w:b/>
                <w:bCs/>
                <w:color w:val="FFFFFF"/>
                <w:sz w:val="20"/>
                <w:szCs w:val="20"/>
              </w:rPr>
              <w:t xml:space="preserve">Document Version</w:t>
            </w:r>
          </w:p>
        </w:tc>
        <w:tc>
          <w:tcPr>
            <w:tcW w:type="dxa" w:w="3600"/>
            <w:tcMar>
              <w:top w:type="dxa" w:w="80"/>
              <w:left w:type="dxa" w:w="100"/>
              <w:bottom w:type="dxa" w:w="80"/>
              <w:right w:type="dxa" w:w="100"/>
            </w:tcMar>
          </w:tcPr>
          <w:p>
            <w:r>
              <w:rPr>
                <w:b w:val="false"/>
                <w:bCs w:val="false"/>
                <w:sz w:val="20"/>
                <w:szCs w:val="20"/>
              </w:rPr>
              <w:t xml:space="preserve">1.0</w:t>
            </w:r>
          </w:p>
        </w:tc>
      </w:tr>
      <w:tr>
        <w:tc>
          <w:tcPr>
            <w:tcW w:type="dxa" w:w="2400"/>
            <w:shd w:fill="1F3864" w:val="clear"/>
            <w:tcMar>
              <w:top w:type="dxa" w:w="80"/>
              <w:left w:type="dxa" w:w="100"/>
              <w:bottom w:type="dxa" w:w="80"/>
              <w:right w:type="dxa" w:w="100"/>
            </w:tcMar>
          </w:tcPr>
          <w:p>
            <w:r>
              <w:rPr>
                <w:b/>
                <w:bCs/>
                <w:color w:val="FFFFFF"/>
                <w:sz w:val="20"/>
                <w:szCs w:val="20"/>
              </w:rPr>
              <w:t xml:space="preserve">Prepared For</w:t>
            </w:r>
          </w:p>
        </w:tc>
        <w:tc>
          <w:tcPr>
            <w:tcW w:type="dxa" w:w="3600"/>
            <w:shd w:fill="F2F2F2" w:val="clear"/>
            <w:tcMar>
              <w:top w:type="dxa" w:w="80"/>
              <w:left w:type="dxa" w:w="100"/>
              <w:bottom w:type="dxa" w:w="80"/>
              <w:right w:type="dxa" w:w="100"/>
            </w:tcMar>
          </w:tcPr>
          <w:p>
            <w:r>
              <w:rPr>
                <w:b w:val="false"/>
                <w:bCs w:val="false"/>
                <w:sz w:val="20"/>
                <w:szCs w:val="20"/>
              </w:rPr>
              <w:t xml:space="preserve">Data Science Portfolio / Job Application</w:t>
            </w:r>
          </w:p>
        </w:tc>
      </w:tr>
      <w:tr>
        <w:tc>
          <w:tcPr>
            <w:tcW w:type="dxa" w:w="2400"/>
            <w:shd w:fill="1F3864" w:val="clear"/>
            <w:tcMar>
              <w:top w:type="dxa" w:w="80"/>
              <w:left w:type="dxa" w:w="100"/>
              <w:bottom w:type="dxa" w:w="80"/>
              <w:right w:type="dxa" w:w="100"/>
            </w:tcMar>
          </w:tcPr>
          <w:p>
            <w:r>
              <w:rPr>
                <w:b/>
                <w:bCs/>
                <w:color w:val="FFFFFF"/>
                <w:sz w:val="20"/>
                <w:szCs w:val="20"/>
              </w:rPr>
              <w:t xml:space="preserve">Status</w:t>
            </w:r>
          </w:p>
        </w:tc>
        <w:tc>
          <w:tcPr>
            <w:tcW w:type="dxa" w:w="3600"/>
            <w:tcMar>
              <w:top w:type="dxa" w:w="80"/>
              <w:left w:type="dxa" w:w="100"/>
              <w:bottom w:type="dxa" w:w="80"/>
              <w:right w:type="dxa" w:w="100"/>
            </w:tcMar>
          </w:tcPr>
          <w:p>
            <w:r>
              <w:rPr>
                <w:b w:val="false"/>
                <w:bCs w:val="false"/>
                <w:sz w:val="20"/>
                <w:szCs w:val="20"/>
              </w:rPr>
              <w:t xml:space="preserve">Final</w:t>
            </w:r>
          </w:p>
        </w:tc>
      </w:tr>
      <w:tr>
        <w:tc>
          <w:tcPr>
            <w:tcW w:type="dxa" w:w="2400"/>
            <w:shd w:fill="1F3864" w:val="clear"/>
            <w:tcMar>
              <w:top w:type="dxa" w:w="80"/>
              <w:left w:type="dxa" w:w="100"/>
              <w:bottom w:type="dxa" w:w="80"/>
              <w:right w:type="dxa" w:w="100"/>
            </w:tcMar>
          </w:tcPr>
          <w:p>
            <w:r>
              <w:rPr>
                <w:b/>
                <w:bCs/>
                <w:color w:val="FFFFFF"/>
                <w:sz w:val="20"/>
                <w:szCs w:val="20"/>
              </w:rPr>
              <w:t xml:space="preserve">Classification</w:t>
            </w:r>
          </w:p>
        </w:tc>
        <w:tc>
          <w:tcPr>
            <w:tcW w:type="dxa" w:w="3600"/>
            <w:shd w:fill="F2F2F2" w:val="clear"/>
            <w:tcMar>
              <w:top w:type="dxa" w:w="80"/>
              <w:left w:type="dxa" w:w="100"/>
              <w:bottom w:type="dxa" w:w="80"/>
              <w:right w:type="dxa" w:w="100"/>
            </w:tcMar>
          </w:tcPr>
          <w:p>
            <w:r>
              <w:rPr>
                <w:b w:val="false"/>
                <w:bCs w:val="false"/>
                <w:sz w:val="20"/>
                <w:szCs w:val="20"/>
              </w:rPr>
              <w:t xml:space="preserve">Public</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Software Requirements Specification (SRS) describes the functional and non-functional requirements of the Retail Sales Intelligence System, an end-to-end data science project integrating SQL data warehousing, machine learning, and Power BI visualization. The document defines the system's scope, architecture, data requirements, and acceptance criteria to guide development, testing, and evaluation.</w:t>
      </w:r>
    </w:p>
    <w:p>
      <w:pPr>
        <w:pStyle w:val="Heading2"/>
        <w:spacing w:after="120" w:before="280"/>
      </w:pPr>
      <w:r>
        <w:t xml:space="preserve">1.2 Scope</w:t>
      </w:r>
    </w:p>
    <w:p>
      <w:pPr>
        <w:spacing w:after="160"/>
      </w:pPr>
      <w:r>
        <w:t xml:space="preserve">The system ingests raw retail transaction data, transforms it into a structured SQL data warehouse, applies machine learning models to generate sales forecasts, customer churn scores, and customer segments, and exposes the results through an interactive Power BI dashboard. The project is designed as a self-contained, reproducible pipeline suitable for demonstration, portfolio, and production-pattern evaluation purposes.</w:t>
      </w:r>
    </w:p>
    <w:p>
      <w:pPr>
        <w:spacing w:after="160"/>
      </w:pPr>
      <w:r>
        <w:t xml:space="preserve">In scope:</w:t>
      </w:r>
    </w:p>
    <w:p>
      <w:pPr>
        <w:pStyle w:val="ListParagraph"/>
        <w:numPr>
          <w:ilvl w:val="0"/>
          <w:numId w:val="2"/>
        </w:numPr>
        <w:spacing w:after="80"/>
      </w:pPr>
      <w:r>
        <w:t xml:space="preserve">Synthetic retail data generation (customers, products, stores, transactions)</w:t>
      </w:r>
    </w:p>
    <w:p>
      <w:pPr>
        <w:pStyle w:val="ListParagraph"/>
        <w:numPr>
          <w:ilvl w:val="0"/>
          <w:numId w:val="2"/>
        </w:numPr>
        <w:spacing w:after="80"/>
      </w:pPr>
      <w:r>
        <w:t xml:space="preserve">SQL star-schema data warehouse design and ETL pipeline</w:t>
      </w:r>
    </w:p>
    <w:p>
      <w:pPr>
        <w:pStyle w:val="ListParagraph"/>
        <w:numPr>
          <w:ilvl w:val="0"/>
          <w:numId w:val="2"/>
        </w:numPr>
        <w:spacing w:after="80"/>
      </w:pPr>
      <w:r>
        <w:t xml:space="preserve">Advanced SQL analytics (window functions, CTEs, views)</w:t>
      </w:r>
    </w:p>
    <w:p>
      <w:pPr>
        <w:pStyle w:val="ListParagraph"/>
        <w:numPr>
          <w:ilvl w:val="0"/>
          <w:numId w:val="2"/>
        </w:numPr>
        <w:spacing w:after="80"/>
      </w:pPr>
      <w:r>
        <w:t xml:space="preserve">Machine learning: sales forecasting, customer churn prediction, customer segmentation</w:t>
      </w:r>
    </w:p>
    <w:p>
      <w:pPr>
        <w:pStyle w:val="ListParagraph"/>
        <w:numPr>
          <w:ilvl w:val="0"/>
          <w:numId w:val="2"/>
        </w:numPr>
        <w:spacing w:after="80"/>
      </w:pPr>
      <w:r>
        <w:t xml:space="preserve">Power BI dashboard integration via direct connection or CSV export</w:t>
      </w:r>
    </w:p>
    <w:p>
      <w:pPr>
        <w:pStyle w:val="ListParagraph"/>
        <w:numPr>
          <w:ilvl w:val="0"/>
          <w:numId w:val="2"/>
        </w:numPr>
        <w:spacing w:after="80"/>
      </w:pPr>
      <w:r>
        <w:t xml:space="preserve">CI/CD automation, containerization, and automated testing</w:t>
      </w:r>
    </w:p>
    <w:p>
      <w:pPr>
        <w:spacing w:after="160"/>
      </w:pPr>
      <w:r>
        <w:t xml:space="preserve">Out of scope:</w:t>
      </w:r>
    </w:p>
    <w:p>
      <w:pPr>
        <w:pStyle w:val="ListParagraph"/>
        <w:numPr>
          <w:ilvl w:val="0"/>
          <w:numId w:val="2"/>
        </w:numPr>
        <w:spacing w:after="80"/>
      </w:pPr>
      <w:r>
        <w:t xml:space="preserve">Real-time/streaming data ingestion</w:t>
      </w:r>
    </w:p>
    <w:p>
      <w:pPr>
        <w:pStyle w:val="ListParagraph"/>
        <w:numPr>
          <w:ilvl w:val="0"/>
          <w:numId w:val="2"/>
        </w:numPr>
        <w:spacing w:after="80"/>
      </w:pPr>
      <w:r>
        <w:t xml:space="preserve">Multi-tenant or cloud-hosted production deployment (design allows for it; not implemented)</w:t>
      </w:r>
    </w:p>
    <w:p>
      <w:pPr>
        <w:pStyle w:val="ListParagraph"/>
        <w:numPr>
          <w:ilvl w:val="0"/>
          <w:numId w:val="2"/>
        </w:numPr>
        <w:spacing w:after="80"/>
      </w:pPr>
      <w:r>
        <w:t xml:space="preserve">User authentication and role-based access control</w:t>
      </w:r>
    </w:p>
    <w:p>
      <w:pPr>
        <w:pStyle w:val="Heading2"/>
        <w:spacing w:after="120" w:before="280"/>
      </w:pPr>
      <w:r>
        <w:t xml:space="preserve">1.3 Definitions, Acronyms &amp;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Term</w:t>
            </w:r>
          </w:p>
        </w:tc>
        <w:tc>
          <w:tcPr>
            <w:tcW w:type="dxa" w:w="6400"/>
            <w:shd w:fill="1F3864" w:val="clear"/>
            <w:tcMar>
              <w:top w:type="dxa" w:w="80"/>
              <w:left w:type="dxa" w:w="100"/>
              <w:bottom w:type="dxa" w:w="80"/>
              <w:right w:type="dxa" w:w="100"/>
            </w:tcMar>
          </w:tcPr>
          <w:p>
            <w:r>
              <w:rPr>
                <w:b/>
                <w:bCs/>
                <w:color w:val="FFFFFF"/>
                <w:sz w:val="20"/>
                <w:szCs w:val="20"/>
              </w:rPr>
              <w:t xml:space="preserve">Definition</w:t>
            </w:r>
          </w:p>
        </w:tc>
      </w:tr>
      <w:tr>
        <w:tc>
          <w:tcPr>
            <w:tcW w:type="dxa" w:w="2600"/>
            <w:tcMar>
              <w:top w:type="dxa" w:w="80"/>
              <w:left w:type="dxa" w:w="100"/>
              <w:bottom w:type="dxa" w:w="80"/>
              <w:right w:type="dxa" w:w="100"/>
            </w:tcMar>
          </w:tcPr>
          <w:p>
            <w:r>
              <w:rPr>
                <w:b w:val="false"/>
                <w:bCs w:val="false"/>
                <w:sz w:val="20"/>
                <w:szCs w:val="20"/>
              </w:rPr>
              <w:t xml:space="preserve">SRS</w:t>
            </w:r>
          </w:p>
        </w:tc>
        <w:tc>
          <w:tcPr>
            <w:tcW w:type="dxa" w:w="6400"/>
            <w:tcMar>
              <w:top w:type="dxa" w:w="80"/>
              <w:left w:type="dxa" w:w="100"/>
              <w:bottom w:type="dxa" w:w="80"/>
              <w:right w:type="dxa" w:w="100"/>
            </w:tcMar>
          </w:tcPr>
          <w:p>
            <w:r>
              <w:rPr>
                <w:b w:val="false"/>
                <w:bCs w:val="false"/>
                <w:sz w:val="20"/>
                <w:szCs w:val="20"/>
              </w:rPr>
              <w:t xml:space="preserve">Software Requirements Specification</w:t>
            </w:r>
          </w:p>
        </w:tc>
      </w:tr>
      <w:tr>
        <w:tc>
          <w:tcPr>
            <w:tcW w:type="dxa" w:w="2600"/>
            <w:shd w:fill="F2F2F2" w:val="clear"/>
            <w:tcMar>
              <w:top w:type="dxa" w:w="80"/>
              <w:left w:type="dxa" w:w="100"/>
              <w:bottom w:type="dxa" w:w="80"/>
              <w:right w:type="dxa" w:w="100"/>
            </w:tcMar>
          </w:tcPr>
          <w:p>
            <w:r>
              <w:rPr>
                <w:b w:val="false"/>
                <w:bCs w:val="false"/>
                <w:sz w:val="20"/>
                <w:szCs w:val="20"/>
              </w:rPr>
              <w:t xml:space="preserve">ETL</w:t>
            </w:r>
          </w:p>
        </w:tc>
        <w:tc>
          <w:tcPr>
            <w:tcW w:type="dxa" w:w="6400"/>
            <w:shd w:fill="F2F2F2" w:val="clear"/>
            <w:tcMar>
              <w:top w:type="dxa" w:w="80"/>
              <w:left w:type="dxa" w:w="100"/>
              <w:bottom w:type="dxa" w:w="80"/>
              <w:right w:type="dxa" w:w="100"/>
            </w:tcMar>
          </w:tcPr>
          <w:p>
            <w:r>
              <w:rPr>
                <w:b w:val="false"/>
                <w:bCs w:val="false"/>
                <w:sz w:val="20"/>
                <w:szCs w:val="20"/>
              </w:rPr>
              <w:t xml:space="preserve">Extract, Transform, Load</w:t>
            </w:r>
          </w:p>
        </w:tc>
      </w:tr>
      <w:tr>
        <w:tc>
          <w:tcPr>
            <w:tcW w:type="dxa" w:w="2600"/>
            <w:tcMar>
              <w:top w:type="dxa" w:w="80"/>
              <w:left w:type="dxa" w:w="100"/>
              <w:bottom w:type="dxa" w:w="80"/>
              <w:right w:type="dxa" w:w="100"/>
            </w:tcMar>
          </w:tcPr>
          <w:p>
            <w:r>
              <w:rPr>
                <w:b w:val="false"/>
                <w:bCs w:val="false"/>
                <w:sz w:val="20"/>
                <w:szCs w:val="20"/>
              </w:rPr>
              <w:t xml:space="preserve">MAPE</w:t>
            </w:r>
          </w:p>
        </w:tc>
        <w:tc>
          <w:tcPr>
            <w:tcW w:type="dxa" w:w="6400"/>
            <w:tcMar>
              <w:top w:type="dxa" w:w="80"/>
              <w:left w:type="dxa" w:w="100"/>
              <w:bottom w:type="dxa" w:w="80"/>
              <w:right w:type="dxa" w:w="100"/>
            </w:tcMar>
          </w:tcPr>
          <w:p>
            <w:r>
              <w:rPr>
                <w:b w:val="false"/>
                <w:bCs w:val="false"/>
                <w:sz w:val="20"/>
                <w:szCs w:val="20"/>
              </w:rPr>
              <w:t xml:space="preserve">Mean Absolute Percentage Error — forecast accuracy metric</w:t>
            </w:r>
          </w:p>
        </w:tc>
      </w:tr>
      <w:tr>
        <w:tc>
          <w:tcPr>
            <w:tcW w:type="dxa" w:w="2600"/>
            <w:shd w:fill="F2F2F2" w:val="clear"/>
            <w:tcMar>
              <w:top w:type="dxa" w:w="80"/>
              <w:left w:type="dxa" w:w="100"/>
              <w:bottom w:type="dxa" w:w="80"/>
              <w:right w:type="dxa" w:w="100"/>
            </w:tcMar>
          </w:tcPr>
          <w:p>
            <w:r>
              <w:rPr>
                <w:b w:val="false"/>
                <w:bCs w:val="false"/>
                <w:sz w:val="20"/>
                <w:szCs w:val="20"/>
              </w:rPr>
              <w:t xml:space="preserve">AUC</w:t>
            </w:r>
          </w:p>
        </w:tc>
        <w:tc>
          <w:tcPr>
            <w:tcW w:type="dxa" w:w="6400"/>
            <w:shd w:fill="F2F2F2" w:val="clear"/>
            <w:tcMar>
              <w:top w:type="dxa" w:w="80"/>
              <w:left w:type="dxa" w:w="100"/>
              <w:bottom w:type="dxa" w:w="80"/>
              <w:right w:type="dxa" w:w="100"/>
            </w:tcMar>
          </w:tcPr>
          <w:p>
            <w:r>
              <w:rPr>
                <w:b w:val="false"/>
                <w:bCs w:val="false"/>
                <w:sz w:val="20"/>
                <w:szCs w:val="20"/>
              </w:rPr>
              <w:t xml:space="preserve">Area Under the ROC Curve — classification performance metric</w:t>
            </w:r>
          </w:p>
        </w:tc>
      </w:tr>
      <w:tr>
        <w:tc>
          <w:tcPr>
            <w:tcW w:type="dxa" w:w="2600"/>
            <w:tcMar>
              <w:top w:type="dxa" w:w="80"/>
              <w:left w:type="dxa" w:w="100"/>
              <w:bottom w:type="dxa" w:w="80"/>
              <w:right w:type="dxa" w:w="100"/>
            </w:tcMar>
          </w:tcPr>
          <w:p>
            <w:r>
              <w:rPr>
                <w:b w:val="false"/>
                <w:bCs w:val="false"/>
                <w:sz w:val="20"/>
                <w:szCs w:val="20"/>
              </w:rPr>
              <w:t xml:space="preserve">RFM</w:t>
            </w:r>
          </w:p>
        </w:tc>
        <w:tc>
          <w:tcPr>
            <w:tcW w:type="dxa" w:w="6400"/>
            <w:tcMar>
              <w:top w:type="dxa" w:w="80"/>
              <w:left w:type="dxa" w:w="100"/>
              <w:bottom w:type="dxa" w:w="80"/>
              <w:right w:type="dxa" w:w="100"/>
            </w:tcMar>
          </w:tcPr>
          <w:p>
            <w:r>
              <w:rPr>
                <w:b w:val="false"/>
                <w:bCs w:val="false"/>
                <w:sz w:val="20"/>
                <w:szCs w:val="20"/>
              </w:rPr>
              <w:t xml:space="preserve">Recency, Frequency, Monetary — customer segmentation model</w:t>
            </w:r>
          </w:p>
        </w:tc>
      </w:tr>
      <w:tr>
        <w:tc>
          <w:tcPr>
            <w:tcW w:type="dxa" w:w="2600"/>
            <w:shd w:fill="F2F2F2" w:val="clear"/>
            <w:tcMar>
              <w:top w:type="dxa" w:w="80"/>
              <w:left w:type="dxa" w:w="100"/>
              <w:bottom w:type="dxa" w:w="80"/>
              <w:right w:type="dxa" w:w="100"/>
            </w:tcMar>
          </w:tcPr>
          <w:p>
            <w:r>
              <w:rPr>
                <w:b w:val="false"/>
                <w:bCs w:val="false"/>
                <w:sz w:val="20"/>
                <w:szCs w:val="20"/>
              </w:rPr>
              <w:t xml:space="preserve">DAX</w:t>
            </w:r>
          </w:p>
        </w:tc>
        <w:tc>
          <w:tcPr>
            <w:tcW w:type="dxa" w:w="6400"/>
            <w:shd w:fill="F2F2F2" w:val="clear"/>
            <w:tcMar>
              <w:top w:type="dxa" w:w="80"/>
              <w:left w:type="dxa" w:w="100"/>
              <w:bottom w:type="dxa" w:w="80"/>
              <w:right w:type="dxa" w:w="100"/>
            </w:tcMar>
          </w:tcPr>
          <w:p>
            <w:r>
              <w:rPr>
                <w:b w:val="false"/>
                <w:bCs w:val="false"/>
                <w:sz w:val="20"/>
                <w:szCs w:val="20"/>
              </w:rPr>
              <w:t xml:space="preserve">Data Analysis Expressions — Power BI's formula language</w:t>
            </w:r>
          </w:p>
        </w:tc>
      </w:tr>
      <w:tr>
        <w:tc>
          <w:tcPr>
            <w:tcW w:type="dxa" w:w="2600"/>
            <w:tcMar>
              <w:top w:type="dxa" w:w="80"/>
              <w:left w:type="dxa" w:w="100"/>
              <w:bottom w:type="dxa" w:w="80"/>
              <w:right w:type="dxa" w:w="100"/>
            </w:tcMar>
          </w:tcPr>
          <w:p>
            <w:r>
              <w:rPr>
                <w:b w:val="false"/>
                <w:bCs w:val="false"/>
                <w:sz w:val="20"/>
                <w:szCs w:val="20"/>
              </w:rPr>
              <w:t xml:space="preserve">CI/CD</w:t>
            </w:r>
          </w:p>
        </w:tc>
        <w:tc>
          <w:tcPr>
            <w:tcW w:type="dxa" w:w="6400"/>
            <w:tcMar>
              <w:top w:type="dxa" w:w="80"/>
              <w:left w:type="dxa" w:w="100"/>
              <w:bottom w:type="dxa" w:w="80"/>
              <w:right w:type="dxa" w:w="100"/>
            </w:tcMar>
          </w:tcPr>
          <w:p>
            <w:r>
              <w:rPr>
                <w:b w:val="false"/>
                <w:bCs w:val="false"/>
                <w:sz w:val="20"/>
                <w:szCs w:val="20"/>
              </w:rPr>
              <w:t xml:space="preserve">Continuous Integration / Continuous Deployment</w:t>
            </w:r>
          </w:p>
        </w:tc>
      </w:tr>
      <w:tr>
        <w:tc>
          <w:tcPr>
            <w:tcW w:type="dxa" w:w="2600"/>
            <w:shd w:fill="F2F2F2" w:val="clear"/>
            <w:tcMar>
              <w:top w:type="dxa" w:w="80"/>
              <w:left w:type="dxa" w:w="100"/>
              <w:bottom w:type="dxa" w:w="80"/>
              <w:right w:type="dxa" w:w="100"/>
            </w:tcMar>
          </w:tcPr>
          <w:p>
            <w:r>
              <w:rPr>
                <w:b w:val="false"/>
                <w:bCs w:val="false"/>
                <w:sz w:val="20"/>
                <w:szCs w:val="20"/>
              </w:rPr>
              <w:t xml:space="preserve">Star Schema</w:t>
            </w:r>
          </w:p>
        </w:tc>
        <w:tc>
          <w:tcPr>
            <w:tcW w:type="dxa" w:w="6400"/>
            <w:shd w:fill="F2F2F2" w:val="clear"/>
            <w:tcMar>
              <w:top w:type="dxa" w:w="80"/>
              <w:left w:type="dxa" w:w="100"/>
              <w:bottom w:type="dxa" w:w="80"/>
              <w:right w:type="dxa" w:w="100"/>
            </w:tcMar>
          </w:tcPr>
          <w:p>
            <w:r>
              <w:rPr>
                <w:b w:val="false"/>
                <w:bCs w:val="false"/>
                <w:sz w:val="20"/>
                <w:szCs w:val="20"/>
              </w:rPr>
              <w:t xml:space="preserve">A data warehouse model with a central fact table linked to dimension tables</w:t>
            </w:r>
          </w:p>
        </w:tc>
      </w:tr>
    </w:tbl>
    <w:p>
      <w:pPr>
        <w:pStyle w:val="Heading2"/>
        <w:spacing w:after="120" w:before="280"/>
      </w:pPr>
      <w:r>
        <w:t xml:space="preserve">1.4 References</w:t>
      </w:r>
    </w:p>
    <w:p>
      <w:pPr>
        <w:pStyle w:val="ListParagraph"/>
        <w:numPr>
          <w:ilvl w:val="0"/>
          <w:numId w:val="2"/>
        </w:numPr>
        <w:spacing w:after="80"/>
      </w:pPr>
      <w:r>
        <w:t xml:space="preserve">Kimball, R. — The Data Warehouse Toolkit (star schema design methodology)</w:t>
      </w:r>
    </w:p>
    <w:p>
      <w:pPr>
        <w:pStyle w:val="ListParagraph"/>
        <w:numPr>
          <w:ilvl w:val="0"/>
          <w:numId w:val="2"/>
        </w:numPr>
        <w:spacing w:after="80"/>
      </w:pPr>
      <w:r>
        <w:t xml:space="preserve">Project repository: sql/, python/, powerbi/, docs/ directories</w:t>
      </w:r>
    </w:p>
    <w:p>
      <w:pPr>
        <w:pStyle w:val="ListParagraph"/>
        <w:numPr>
          <w:ilvl w:val="0"/>
          <w:numId w:val="2"/>
        </w:numPr>
        <w:spacing w:after="80"/>
      </w:pPr>
      <w:r>
        <w:t xml:space="preserve">Microsoft Power BI DAX documentation</w:t>
      </w:r>
    </w:p>
    <w:p>
      <w:pPr>
        <w:pStyle w:val="ListParagraph"/>
        <w:numPr>
          <w:ilvl w:val="0"/>
          <w:numId w:val="2"/>
        </w:numPr>
        <w:spacing w:after="80"/>
      </w:pPr>
      <w:r>
        <w:t xml:space="preserve">XGBoost official documentation</w:t>
      </w:r>
    </w:p>
    <w:p>
      <w:pPr>
        <w:pStyle w:val="Heading1"/>
        <w:spacing w:after="160" w:before="360"/>
      </w:pPr>
      <w:r>
        <w:t xml:space="preserve">2. Overall Description</w:t>
      </w:r>
    </w:p>
    <w:p>
      <w:pPr>
        <w:pStyle w:val="Heading2"/>
        <w:spacing w:after="120" w:before="280"/>
      </w:pPr>
      <w:r>
        <w:t xml:space="preserve">2.1 Product Perspective</w:t>
      </w:r>
    </w:p>
    <w:p>
      <w:pPr>
        <w:spacing w:after="160"/>
      </w:pPr>
      <w:r>
        <w:t xml:space="preserve">The Retail Sales Intelligence System is a standalone, self-contained analytics pipeline. It is not a component of a larger system but is architected so each layer (data generation, warehouse, ML, BI) can be independently replaced — e.g., swapping the SQLite warehouse for SQL Server/PostgreSQL, or swapping synthetic data for a live retail data source — without altering downstream components.</w:t>
      </w:r>
    </w:p>
    <w:p>
      <w:pPr>
        <w:pStyle w:val="Heading2"/>
        <w:spacing w:after="120" w:before="280"/>
      </w:pPr>
      <w:r>
        <w:t xml:space="preserve">2.2 Product Functions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00"/>
      </w:tblGrid>
      <w:tr>
        <w:trPr>
          <w:tblHeader/>
        </w:trPr>
        <w:tc>
          <w:tcPr>
            <w:tcW w:type="dxa" w:w="700"/>
            <w:shd w:fill="1F3864" w:val="clear"/>
            <w:tcMar>
              <w:top w:type="dxa" w:w="80"/>
              <w:left w:type="dxa" w:w="100"/>
              <w:bottom w:type="dxa" w:w="80"/>
              <w:right w:type="dxa" w:w="100"/>
            </w:tcMar>
          </w:tcPr>
          <w:p>
            <w:r>
              <w:rPr>
                <w:b/>
                <w:bCs/>
                <w:color w:val="FFFFFF"/>
                <w:sz w:val="20"/>
                <w:szCs w:val="20"/>
              </w:rPr>
              <w:t xml:space="preserve">#</w:t>
            </w:r>
          </w:p>
        </w:tc>
        <w:tc>
          <w:tcPr>
            <w:tcW w:type="dxa" w:w="2300"/>
            <w:shd w:fill="1F3864" w:val="clear"/>
            <w:tcMar>
              <w:top w:type="dxa" w:w="80"/>
              <w:left w:type="dxa" w:w="100"/>
              <w:bottom w:type="dxa" w:w="80"/>
              <w:right w:type="dxa" w:w="100"/>
            </w:tcMar>
          </w:tcPr>
          <w:p>
            <w:r>
              <w:rPr>
                <w:b/>
                <w:bCs/>
                <w:color w:val="FFFFFF"/>
                <w:sz w:val="20"/>
                <w:szCs w:val="20"/>
              </w:rPr>
              <w:t xml:space="preserve">Function</w:t>
            </w:r>
          </w:p>
        </w:tc>
        <w:tc>
          <w:tcPr>
            <w:tcW w:type="dxa" w:w="6000"/>
            <w:shd w:fill="1F3864" w:val="clear"/>
            <w:tcMar>
              <w:top w:type="dxa" w:w="80"/>
              <w:left w:type="dxa" w:w="100"/>
              <w:bottom w:type="dxa" w:w="80"/>
              <w:right w:type="dxa" w:w="100"/>
            </w:tcMar>
          </w:tcPr>
          <w:p>
            <w:r>
              <w:rPr>
                <w:b/>
                <w:bCs/>
                <w:color w:val="FFFFFF"/>
                <w:sz w:val="20"/>
                <w:szCs w:val="20"/>
              </w:rPr>
              <w:t xml:space="preserve">Description</w:t>
            </w:r>
          </w:p>
        </w:tc>
      </w:tr>
      <w:tr>
        <w:tc>
          <w:tcPr>
            <w:tcW w:type="dxa" w:w="700"/>
            <w:tcMar>
              <w:top w:type="dxa" w:w="80"/>
              <w:left w:type="dxa" w:w="100"/>
              <w:bottom w:type="dxa" w:w="80"/>
              <w:right w:type="dxa" w:w="100"/>
            </w:tcMar>
          </w:tcPr>
          <w:p>
            <w:r>
              <w:rPr>
                <w:b w:val="false"/>
                <w:bCs w:val="false"/>
                <w:sz w:val="20"/>
                <w:szCs w:val="20"/>
              </w:rPr>
              <w:t xml:space="preserve">F1</w:t>
            </w:r>
          </w:p>
        </w:tc>
        <w:tc>
          <w:tcPr>
            <w:tcW w:type="dxa" w:w="2300"/>
            <w:tcMar>
              <w:top w:type="dxa" w:w="80"/>
              <w:left w:type="dxa" w:w="100"/>
              <w:bottom w:type="dxa" w:w="80"/>
              <w:right w:type="dxa" w:w="100"/>
            </w:tcMar>
          </w:tcPr>
          <w:p>
            <w:r>
              <w:rPr>
                <w:b w:val="false"/>
                <w:bCs w:val="false"/>
                <w:sz w:val="20"/>
                <w:szCs w:val="20"/>
              </w:rPr>
              <w:t xml:space="preserve">Data Generation</w:t>
            </w:r>
          </w:p>
        </w:tc>
        <w:tc>
          <w:tcPr>
            <w:tcW w:type="dxa" w:w="6000"/>
            <w:tcMar>
              <w:top w:type="dxa" w:w="80"/>
              <w:left w:type="dxa" w:w="100"/>
              <w:bottom w:type="dxa" w:w="80"/>
              <w:right w:type="dxa" w:w="100"/>
            </w:tcMar>
          </w:tcPr>
          <w:p>
            <w:r>
              <w:rPr>
                <w:b w:val="false"/>
                <w:bCs w:val="false"/>
                <w:sz w:val="20"/>
                <w:szCs w:val="20"/>
              </w:rPr>
              <w:t xml:space="preserve">Produce a realistic, intentionally messy synthetic retail dataset</w:t>
            </w:r>
          </w:p>
        </w:tc>
      </w:tr>
      <w:tr>
        <w:tc>
          <w:tcPr>
            <w:tcW w:type="dxa" w:w="700"/>
            <w:shd w:fill="F2F2F2" w:val="clear"/>
            <w:tcMar>
              <w:top w:type="dxa" w:w="80"/>
              <w:left w:type="dxa" w:w="100"/>
              <w:bottom w:type="dxa" w:w="80"/>
              <w:right w:type="dxa" w:w="100"/>
            </w:tcMar>
          </w:tcPr>
          <w:p>
            <w:r>
              <w:rPr>
                <w:b w:val="false"/>
                <w:bCs w:val="false"/>
                <w:sz w:val="20"/>
                <w:szCs w:val="20"/>
              </w:rPr>
              <w:t xml:space="preserve">F2</w:t>
            </w:r>
          </w:p>
        </w:tc>
        <w:tc>
          <w:tcPr>
            <w:tcW w:type="dxa" w:w="2300"/>
            <w:shd w:fill="F2F2F2" w:val="clear"/>
            <w:tcMar>
              <w:top w:type="dxa" w:w="80"/>
              <w:left w:type="dxa" w:w="100"/>
              <w:bottom w:type="dxa" w:w="80"/>
              <w:right w:type="dxa" w:w="100"/>
            </w:tcMar>
          </w:tcPr>
          <w:p>
            <w:r>
              <w:rPr>
                <w:b w:val="false"/>
                <w:bCs w:val="false"/>
                <w:sz w:val="20"/>
                <w:szCs w:val="20"/>
              </w:rPr>
              <w:t xml:space="preserve">Data Warehousing</w:t>
            </w:r>
          </w:p>
        </w:tc>
        <w:tc>
          <w:tcPr>
            <w:tcW w:type="dxa" w:w="6000"/>
            <w:shd w:fill="F2F2F2" w:val="clear"/>
            <w:tcMar>
              <w:top w:type="dxa" w:w="80"/>
              <w:left w:type="dxa" w:w="100"/>
              <w:bottom w:type="dxa" w:w="80"/>
              <w:right w:type="dxa" w:w="100"/>
            </w:tcMar>
          </w:tcPr>
          <w:p>
            <w:r>
              <w:rPr>
                <w:b w:val="false"/>
                <w:bCs w:val="false"/>
                <w:sz w:val="20"/>
                <w:szCs w:val="20"/>
              </w:rPr>
              <w:t xml:space="preserve">Clean, transform, and load data into a SQL star schema</w:t>
            </w:r>
          </w:p>
        </w:tc>
      </w:tr>
      <w:tr>
        <w:tc>
          <w:tcPr>
            <w:tcW w:type="dxa" w:w="700"/>
            <w:tcMar>
              <w:top w:type="dxa" w:w="80"/>
              <w:left w:type="dxa" w:w="100"/>
              <w:bottom w:type="dxa" w:w="80"/>
              <w:right w:type="dxa" w:w="100"/>
            </w:tcMar>
          </w:tcPr>
          <w:p>
            <w:r>
              <w:rPr>
                <w:b w:val="false"/>
                <w:bCs w:val="false"/>
                <w:sz w:val="20"/>
                <w:szCs w:val="20"/>
              </w:rPr>
              <w:t xml:space="preserve">F3</w:t>
            </w:r>
          </w:p>
        </w:tc>
        <w:tc>
          <w:tcPr>
            <w:tcW w:type="dxa" w:w="2300"/>
            <w:tcMar>
              <w:top w:type="dxa" w:w="80"/>
              <w:left w:type="dxa" w:w="100"/>
              <w:bottom w:type="dxa" w:w="80"/>
              <w:right w:type="dxa" w:w="100"/>
            </w:tcMar>
          </w:tcPr>
          <w:p>
            <w:r>
              <w:rPr>
                <w:b w:val="false"/>
                <w:bCs w:val="false"/>
                <w:sz w:val="20"/>
                <w:szCs w:val="20"/>
              </w:rPr>
              <w:t xml:space="preserve">SQL Analytics</w:t>
            </w:r>
          </w:p>
        </w:tc>
        <w:tc>
          <w:tcPr>
            <w:tcW w:type="dxa" w:w="6000"/>
            <w:tcMar>
              <w:top w:type="dxa" w:w="80"/>
              <w:left w:type="dxa" w:w="100"/>
              <w:bottom w:type="dxa" w:w="80"/>
              <w:right w:type="dxa" w:w="100"/>
            </w:tcMar>
          </w:tcPr>
          <w:p>
            <w:r>
              <w:rPr>
                <w:b w:val="false"/>
                <w:bCs w:val="false"/>
                <w:sz w:val="20"/>
                <w:szCs w:val="20"/>
              </w:rPr>
              <w:t xml:space="preserve">Provide window-function and view-based analytical queries</w:t>
            </w:r>
          </w:p>
        </w:tc>
      </w:tr>
      <w:tr>
        <w:tc>
          <w:tcPr>
            <w:tcW w:type="dxa" w:w="700"/>
            <w:shd w:fill="F2F2F2" w:val="clear"/>
            <w:tcMar>
              <w:top w:type="dxa" w:w="80"/>
              <w:left w:type="dxa" w:w="100"/>
              <w:bottom w:type="dxa" w:w="80"/>
              <w:right w:type="dxa" w:w="100"/>
            </w:tcMar>
          </w:tcPr>
          <w:p>
            <w:r>
              <w:rPr>
                <w:b w:val="false"/>
                <w:bCs w:val="false"/>
                <w:sz w:val="20"/>
                <w:szCs w:val="20"/>
              </w:rPr>
              <w:t xml:space="preserve">F4</w:t>
            </w:r>
          </w:p>
        </w:tc>
        <w:tc>
          <w:tcPr>
            <w:tcW w:type="dxa" w:w="2300"/>
            <w:shd w:fill="F2F2F2" w:val="clear"/>
            <w:tcMar>
              <w:top w:type="dxa" w:w="80"/>
              <w:left w:type="dxa" w:w="100"/>
              <w:bottom w:type="dxa" w:w="80"/>
              <w:right w:type="dxa" w:w="100"/>
            </w:tcMar>
          </w:tcPr>
          <w:p>
            <w:r>
              <w:rPr>
                <w:b w:val="false"/>
                <w:bCs w:val="false"/>
                <w:sz w:val="20"/>
                <w:szCs w:val="20"/>
              </w:rPr>
              <w:t xml:space="preserve">Sales Forecasting</w:t>
            </w:r>
          </w:p>
        </w:tc>
        <w:tc>
          <w:tcPr>
            <w:tcW w:type="dxa" w:w="6000"/>
            <w:shd w:fill="F2F2F2" w:val="clear"/>
            <w:tcMar>
              <w:top w:type="dxa" w:w="80"/>
              <w:left w:type="dxa" w:w="100"/>
              <w:bottom w:type="dxa" w:w="80"/>
              <w:right w:type="dxa" w:w="100"/>
            </w:tcMar>
          </w:tcPr>
          <w:p>
            <w:r>
              <w:rPr>
                <w:b w:val="false"/>
                <w:bCs w:val="false"/>
                <w:sz w:val="20"/>
                <w:szCs w:val="20"/>
              </w:rPr>
              <w:t xml:space="preserve">Predict daily sales for a 90-day horizon</w:t>
            </w:r>
          </w:p>
        </w:tc>
      </w:tr>
      <w:tr>
        <w:tc>
          <w:tcPr>
            <w:tcW w:type="dxa" w:w="700"/>
            <w:tcMar>
              <w:top w:type="dxa" w:w="80"/>
              <w:left w:type="dxa" w:w="100"/>
              <w:bottom w:type="dxa" w:w="80"/>
              <w:right w:type="dxa" w:w="100"/>
            </w:tcMar>
          </w:tcPr>
          <w:p>
            <w:r>
              <w:rPr>
                <w:b w:val="false"/>
                <w:bCs w:val="false"/>
                <w:sz w:val="20"/>
                <w:szCs w:val="20"/>
              </w:rPr>
              <w:t xml:space="preserve">F5</w:t>
            </w:r>
          </w:p>
        </w:tc>
        <w:tc>
          <w:tcPr>
            <w:tcW w:type="dxa" w:w="2300"/>
            <w:tcMar>
              <w:top w:type="dxa" w:w="80"/>
              <w:left w:type="dxa" w:w="100"/>
              <w:bottom w:type="dxa" w:w="80"/>
              <w:right w:type="dxa" w:w="100"/>
            </w:tcMar>
          </w:tcPr>
          <w:p>
            <w:r>
              <w:rPr>
                <w:b w:val="false"/>
                <w:bCs w:val="false"/>
                <w:sz w:val="20"/>
                <w:szCs w:val="20"/>
              </w:rPr>
              <w:t xml:space="preserve">Churn Prediction</w:t>
            </w:r>
          </w:p>
        </w:tc>
        <w:tc>
          <w:tcPr>
            <w:tcW w:type="dxa" w:w="6000"/>
            <w:tcMar>
              <w:top w:type="dxa" w:w="80"/>
              <w:left w:type="dxa" w:w="100"/>
              <w:bottom w:type="dxa" w:w="80"/>
              <w:right w:type="dxa" w:w="100"/>
            </w:tcMar>
          </w:tcPr>
          <w:p>
            <w:r>
              <w:rPr>
                <w:b w:val="false"/>
                <w:bCs w:val="false"/>
                <w:sz w:val="20"/>
                <w:szCs w:val="20"/>
              </w:rPr>
              <w:t xml:space="preserve">Score each customer's probability of churn</w:t>
            </w:r>
          </w:p>
        </w:tc>
      </w:tr>
      <w:tr>
        <w:tc>
          <w:tcPr>
            <w:tcW w:type="dxa" w:w="700"/>
            <w:shd w:fill="F2F2F2" w:val="clear"/>
            <w:tcMar>
              <w:top w:type="dxa" w:w="80"/>
              <w:left w:type="dxa" w:w="100"/>
              <w:bottom w:type="dxa" w:w="80"/>
              <w:right w:type="dxa" w:w="100"/>
            </w:tcMar>
          </w:tcPr>
          <w:p>
            <w:r>
              <w:rPr>
                <w:b w:val="false"/>
                <w:bCs w:val="false"/>
                <w:sz w:val="20"/>
                <w:szCs w:val="20"/>
              </w:rPr>
              <w:t xml:space="preserve">F6</w:t>
            </w:r>
          </w:p>
        </w:tc>
        <w:tc>
          <w:tcPr>
            <w:tcW w:type="dxa" w:w="2300"/>
            <w:shd w:fill="F2F2F2" w:val="clear"/>
            <w:tcMar>
              <w:top w:type="dxa" w:w="80"/>
              <w:left w:type="dxa" w:w="100"/>
              <w:bottom w:type="dxa" w:w="80"/>
              <w:right w:type="dxa" w:w="100"/>
            </w:tcMar>
          </w:tcPr>
          <w:p>
            <w:r>
              <w:rPr>
                <w:b w:val="false"/>
                <w:bCs w:val="false"/>
                <w:sz w:val="20"/>
                <w:szCs w:val="20"/>
              </w:rPr>
              <w:t xml:space="preserve">Customer Segmentation</w:t>
            </w:r>
          </w:p>
        </w:tc>
        <w:tc>
          <w:tcPr>
            <w:tcW w:type="dxa" w:w="6000"/>
            <w:shd w:fill="F2F2F2" w:val="clear"/>
            <w:tcMar>
              <w:top w:type="dxa" w:w="80"/>
              <w:left w:type="dxa" w:w="100"/>
              <w:bottom w:type="dxa" w:w="80"/>
              <w:right w:type="dxa" w:w="100"/>
            </w:tcMar>
          </w:tcPr>
          <w:p>
            <w:r>
              <w:rPr>
                <w:b w:val="false"/>
                <w:bCs w:val="false"/>
                <w:sz w:val="20"/>
                <w:szCs w:val="20"/>
              </w:rPr>
              <w:t xml:space="preserve">Group customers into actionable RFM-based segments</w:t>
            </w:r>
          </w:p>
        </w:tc>
      </w:tr>
      <w:tr>
        <w:tc>
          <w:tcPr>
            <w:tcW w:type="dxa" w:w="700"/>
            <w:tcMar>
              <w:top w:type="dxa" w:w="80"/>
              <w:left w:type="dxa" w:w="100"/>
              <w:bottom w:type="dxa" w:w="80"/>
              <w:right w:type="dxa" w:w="100"/>
            </w:tcMar>
          </w:tcPr>
          <w:p>
            <w:r>
              <w:rPr>
                <w:b w:val="false"/>
                <w:bCs w:val="false"/>
                <w:sz w:val="20"/>
                <w:szCs w:val="20"/>
              </w:rPr>
              <w:t xml:space="preserve">F7</w:t>
            </w:r>
          </w:p>
        </w:tc>
        <w:tc>
          <w:tcPr>
            <w:tcW w:type="dxa" w:w="2300"/>
            <w:tcMar>
              <w:top w:type="dxa" w:w="80"/>
              <w:left w:type="dxa" w:w="100"/>
              <w:bottom w:type="dxa" w:w="80"/>
              <w:right w:type="dxa" w:w="100"/>
            </w:tcMar>
          </w:tcPr>
          <w:p>
            <w:r>
              <w:rPr>
                <w:b w:val="false"/>
                <w:bCs w:val="false"/>
                <w:sz w:val="20"/>
                <w:szCs w:val="20"/>
              </w:rPr>
              <w:t xml:space="preserve">BI Visualization</w:t>
            </w:r>
          </w:p>
        </w:tc>
        <w:tc>
          <w:tcPr>
            <w:tcW w:type="dxa" w:w="6000"/>
            <w:tcMar>
              <w:top w:type="dxa" w:w="80"/>
              <w:left w:type="dxa" w:w="100"/>
              <w:bottom w:type="dxa" w:w="80"/>
              <w:right w:type="dxa" w:w="100"/>
            </w:tcMar>
          </w:tcPr>
          <w:p>
            <w:r>
              <w:rPr>
                <w:b w:val="false"/>
                <w:bCs w:val="false"/>
                <w:sz w:val="20"/>
                <w:szCs w:val="20"/>
              </w:rPr>
              <w:t xml:space="preserve">Present all outputs through an interactive Power BI dashboard</w:t>
            </w:r>
          </w:p>
        </w:tc>
      </w:tr>
      <w:tr>
        <w:tc>
          <w:tcPr>
            <w:tcW w:type="dxa" w:w="700"/>
            <w:shd w:fill="F2F2F2" w:val="clear"/>
            <w:tcMar>
              <w:top w:type="dxa" w:w="80"/>
              <w:left w:type="dxa" w:w="100"/>
              <w:bottom w:type="dxa" w:w="80"/>
              <w:right w:type="dxa" w:w="100"/>
            </w:tcMar>
          </w:tcPr>
          <w:p>
            <w:r>
              <w:rPr>
                <w:b w:val="false"/>
                <w:bCs w:val="false"/>
                <w:sz w:val="20"/>
                <w:szCs w:val="20"/>
              </w:rPr>
              <w:t xml:space="preserve">F8</w:t>
            </w:r>
          </w:p>
        </w:tc>
        <w:tc>
          <w:tcPr>
            <w:tcW w:type="dxa" w:w="2300"/>
            <w:shd w:fill="F2F2F2" w:val="clear"/>
            <w:tcMar>
              <w:top w:type="dxa" w:w="80"/>
              <w:left w:type="dxa" w:w="100"/>
              <w:bottom w:type="dxa" w:w="80"/>
              <w:right w:type="dxa" w:w="100"/>
            </w:tcMar>
          </w:tcPr>
          <w:p>
            <w:r>
              <w:rPr>
                <w:b w:val="false"/>
                <w:bCs w:val="false"/>
                <w:sz w:val="20"/>
                <w:szCs w:val="20"/>
              </w:rPr>
              <w:t xml:space="preserve">Automation</w:t>
            </w:r>
          </w:p>
        </w:tc>
        <w:tc>
          <w:tcPr>
            <w:tcW w:type="dxa" w:w="6000"/>
            <w:shd w:fill="F2F2F2" w:val="clear"/>
            <w:tcMar>
              <w:top w:type="dxa" w:w="80"/>
              <w:left w:type="dxa" w:w="100"/>
              <w:bottom w:type="dxa" w:w="80"/>
              <w:right w:type="dxa" w:w="100"/>
            </w:tcMar>
          </w:tcPr>
          <w:p>
            <w:r>
              <w:rPr>
                <w:b w:val="false"/>
                <w:bCs w:val="false"/>
                <w:sz w:val="20"/>
                <w:szCs w:val="20"/>
              </w:rPr>
              <w:t xml:space="preserve">Orchestrate the full pipeline with one command; validate via CI/CD</w:t>
            </w:r>
          </w:p>
        </w:tc>
      </w:tr>
    </w:tbl>
    <w:p>
      <w:pPr>
        <w:pStyle w:val="Heading2"/>
        <w:spacing w:after="120" w:before="28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User Class</w:t>
            </w:r>
          </w:p>
        </w:tc>
        <w:tc>
          <w:tcPr>
            <w:tcW w:type="dxa" w:w="4500"/>
            <w:shd w:fill="1F3864" w:val="clear"/>
            <w:tcMar>
              <w:top w:type="dxa" w:w="80"/>
              <w:left w:type="dxa" w:w="100"/>
              <w:bottom w:type="dxa" w:w="80"/>
              <w:right w:type="dxa" w:w="100"/>
            </w:tcMar>
          </w:tcPr>
          <w:p>
            <w:r>
              <w:rPr>
                <w:b/>
                <w:bCs/>
                <w:color w:val="FFFFFF"/>
                <w:sz w:val="20"/>
                <w:szCs w:val="20"/>
              </w:rPr>
              <w:t xml:space="preserve">Description</w:t>
            </w:r>
          </w:p>
        </w:tc>
        <w:tc>
          <w:tcPr>
            <w:tcW w:type="dxa" w:w="2300"/>
            <w:shd w:fill="1F3864" w:val="clear"/>
            <w:tcMar>
              <w:top w:type="dxa" w:w="80"/>
              <w:left w:type="dxa" w:w="100"/>
              <w:bottom w:type="dxa" w:w="80"/>
              <w:right w:type="dxa" w:w="100"/>
            </w:tcMar>
          </w:tcPr>
          <w:p>
            <w:r>
              <w:rPr>
                <w:b/>
                <w:bCs/>
                <w:color w:val="FFFFFF"/>
                <w:sz w:val="20"/>
                <w:szCs w:val="20"/>
              </w:rPr>
              <w:t xml:space="preserve">Technical Level</w:t>
            </w:r>
          </w:p>
        </w:tc>
      </w:tr>
      <w:tr>
        <w:tc>
          <w:tcPr>
            <w:tcW w:type="dxa" w:w="2200"/>
            <w:tcMar>
              <w:top w:type="dxa" w:w="80"/>
              <w:left w:type="dxa" w:w="100"/>
              <w:bottom w:type="dxa" w:w="80"/>
              <w:right w:type="dxa" w:w="100"/>
            </w:tcMar>
          </w:tcPr>
          <w:p>
            <w:r>
              <w:rPr>
                <w:b w:val="false"/>
                <w:bCs w:val="false"/>
                <w:sz w:val="20"/>
                <w:szCs w:val="20"/>
              </w:rPr>
              <w:t xml:space="preserve">Data Analyst</w:t>
            </w:r>
          </w:p>
        </w:tc>
        <w:tc>
          <w:tcPr>
            <w:tcW w:type="dxa" w:w="4500"/>
            <w:tcMar>
              <w:top w:type="dxa" w:w="80"/>
              <w:left w:type="dxa" w:w="100"/>
              <w:bottom w:type="dxa" w:w="80"/>
              <w:right w:type="dxa" w:w="100"/>
            </w:tcMar>
          </w:tcPr>
          <w:p>
            <w:r>
              <w:rPr>
                <w:b w:val="false"/>
                <w:bCs w:val="false"/>
                <w:sz w:val="20"/>
                <w:szCs w:val="20"/>
              </w:rPr>
              <w:t xml:space="preserve">Consumes the Power BI dashboard and SQL views for reporting</w:t>
            </w:r>
          </w:p>
        </w:tc>
        <w:tc>
          <w:tcPr>
            <w:tcW w:type="dxa" w:w="2300"/>
            <w:tcMar>
              <w:top w:type="dxa" w:w="80"/>
              <w:left w:type="dxa" w:w="100"/>
              <w:bottom w:type="dxa" w:w="80"/>
              <w:right w:type="dxa" w:w="100"/>
            </w:tcMar>
          </w:tcPr>
          <w:p>
            <w:r>
              <w:rPr>
                <w:b w:val="false"/>
                <w:bCs w:val="false"/>
                <w:sz w:val="20"/>
                <w:szCs w:val="20"/>
              </w:rPr>
              <w:t xml:space="preserve">Low–Medium</w:t>
            </w:r>
          </w:p>
        </w:tc>
      </w:tr>
      <w:tr>
        <w:tc>
          <w:tcPr>
            <w:tcW w:type="dxa" w:w="2200"/>
            <w:shd w:fill="F2F2F2" w:val="clear"/>
            <w:tcMar>
              <w:top w:type="dxa" w:w="80"/>
              <w:left w:type="dxa" w:w="100"/>
              <w:bottom w:type="dxa" w:w="80"/>
              <w:right w:type="dxa" w:w="100"/>
            </w:tcMar>
          </w:tcPr>
          <w:p>
            <w:r>
              <w:rPr>
                <w:b w:val="false"/>
                <w:bCs w:val="false"/>
                <w:sz w:val="20"/>
                <w:szCs w:val="20"/>
              </w:rPr>
              <w:t xml:space="preserve">Data Scientist / ML Engineer</w:t>
            </w:r>
          </w:p>
        </w:tc>
        <w:tc>
          <w:tcPr>
            <w:tcW w:type="dxa" w:w="4500"/>
            <w:shd w:fill="F2F2F2" w:val="clear"/>
            <w:tcMar>
              <w:top w:type="dxa" w:w="80"/>
              <w:left w:type="dxa" w:w="100"/>
              <w:bottom w:type="dxa" w:w="80"/>
              <w:right w:type="dxa" w:w="100"/>
            </w:tcMar>
          </w:tcPr>
          <w:p>
            <w:r>
              <w:rPr>
                <w:b w:val="false"/>
                <w:bCs w:val="false"/>
                <w:sz w:val="20"/>
                <w:szCs w:val="20"/>
              </w:rPr>
              <w:t xml:space="preserve">Maintains and extends the forecasting, churn, and segmentation models</w:t>
            </w:r>
          </w:p>
        </w:tc>
        <w:tc>
          <w:tcPr>
            <w:tcW w:type="dxa" w:w="2300"/>
            <w:shd w:fill="F2F2F2" w:val="clear"/>
            <w:tcMar>
              <w:top w:type="dxa" w:w="80"/>
              <w:left w:type="dxa" w:w="100"/>
              <w:bottom w:type="dxa" w:w="80"/>
              <w:right w:type="dxa" w:w="100"/>
            </w:tcMar>
          </w:tcPr>
          <w:p>
            <w:r>
              <w:rPr>
                <w:b w:val="false"/>
                <w:bCs w:val="false"/>
                <w:sz w:val="20"/>
                <w:szCs w:val="20"/>
              </w:rPr>
              <w:t xml:space="preserve">High</w:t>
            </w:r>
          </w:p>
        </w:tc>
      </w:tr>
      <w:tr>
        <w:tc>
          <w:tcPr>
            <w:tcW w:type="dxa" w:w="2200"/>
            <w:tcMar>
              <w:top w:type="dxa" w:w="80"/>
              <w:left w:type="dxa" w:w="100"/>
              <w:bottom w:type="dxa" w:w="80"/>
              <w:right w:type="dxa" w:w="100"/>
            </w:tcMar>
          </w:tcPr>
          <w:p>
            <w:r>
              <w:rPr>
                <w:b w:val="false"/>
                <w:bCs w:val="false"/>
                <w:sz w:val="20"/>
                <w:szCs w:val="20"/>
              </w:rPr>
              <w:t xml:space="preserve">Business Stakeholder</w:t>
            </w:r>
          </w:p>
        </w:tc>
        <w:tc>
          <w:tcPr>
            <w:tcW w:type="dxa" w:w="4500"/>
            <w:tcMar>
              <w:top w:type="dxa" w:w="80"/>
              <w:left w:type="dxa" w:w="100"/>
              <w:bottom w:type="dxa" w:w="80"/>
              <w:right w:type="dxa" w:w="100"/>
            </w:tcMar>
          </w:tcPr>
          <w:p>
            <w:r>
              <w:rPr>
                <w:b w:val="false"/>
                <w:bCs w:val="false"/>
                <w:sz w:val="20"/>
                <w:szCs w:val="20"/>
              </w:rPr>
              <w:t xml:space="preserve">Reviews dashboard KPIs for decision-making</w:t>
            </w:r>
          </w:p>
        </w:tc>
        <w:tc>
          <w:tcPr>
            <w:tcW w:type="dxa" w:w="2300"/>
            <w:tcMar>
              <w:top w:type="dxa" w:w="80"/>
              <w:left w:type="dxa" w:w="100"/>
              <w:bottom w:type="dxa" w:w="80"/>
              <w:right w:type="dxa" w:w="100"/>
            </w:tcMar>
          </w:tcPr>
          <w:p>
            <w:r>
              <w:rPr>
                <w:b w:val="false"/>
                <w:bCs w:val="false"/>
                <w:sz w:val="20"/>
                <w:szCs w:val="20"/>
              </w:rPr>
              <w:t xml:space="preserve">Low</w:t>
            </w:r>
          </w:p>
        </w:tc>
      </w:tr>
      <w:tr>
        <w:tc>
          <w:tcPr>
            <w:tcW w:type="dxa" w:w="2200"/>
            <w:shd w:fill="F2F2F2" w:val="clear"/>
            <w:tcMar>
              <w:top w:type="dxa" w:w="80"/>
              <w:left w:type="dxa" w:w="100"/>
              <w:bottom w:type="dxa" w:w="80"/>
              <w:right w:type="dxa" w:w="100"/>
            </w:tcMar>
          </w:tcPr>
          <w:p>
            <w:r>
              <w:rPr>
                <w:b w:val="false"/>
                <w:bCs w:val="false"/>
                <w:sz w:val="20"/>
                <w:szCs w:val="20"/>
              </w:rPr>
              <w:t xml:space="preserve">Recruiter / Technical Reviewer</w:t>
            </w:r>
          </w:p>
        </w:tc>
        <w:tc>
          <w:tcPr>
            <w:tcW w:type="dxa" w:w="4500"/>
            <w:shd w:fill="F2F2F2" w:val="clear"/>
            <w:tcMar>
              <w:top w:type="dxa" w:w="80"/>
              <w:left w:type="dxa" w:w="100"/>
              <w:bottom w:type="dxa" w:w="80"/>
              <w:right w:type="dxa" w:w="100"/>
            </w:tcMar>
          </w:tcPr>
          <w:p>
            <w:r>
              <w:rPr>
                <w:b w:val="false"/>
                <w:bCs w:val="false"/>
                <w:sz w:val="20"/>
                <w:szCs w:val="20"/>
              </w:rPr>
              <w:t xml:space="preserve">Evaluates the project's code quality, architecture, and results</w:t>
            </w:r>
          </w:p>
        </w:tc>
        <w:tc>
          <w:tcPr>
            <w:tcW w:type="dxa" w:w="2300"/>
            <w:shd w:fill="F2F2F2" w:val="clear"/>
            <w:tcMar>
              <w:top w:type="dxa" w:w="80"/>
              <w:left w:type="dxa" w:w="100"/>
              <w:bottom w:type="dxa" w:w="80"/>
              <w:right w:type="dxa" w:w="100"/>
            </w:tcMar>
          </w:tcPr>
          <w:p>
            <w:r>
              <w:rPr>
                <w:b w:val="false"/>
                <w:bCs w:val="false"/>
                <w:sz w:val="20"/>
                <w:szCs w:val="20"/>
              </w:rPr>
              <w:t xml:space="preserve">Medium–High</w:t>
            </w:r>
          </w:p>
        </w:tc>
      </w:tr>
    </w:tbl>
    <w:p>
      <w:pPr>
        <w:pStyle w:val="Heading2"/>
        <w:spacing w:after="120" w:before="280"/>
      </w:pPr>
      <w:r>
        <w:t xml:space="preserve">2.4 Operating Environment</w:t>
      </w:r>
    </w:p>
    <w:p>
      <w:pPr>
        <w:pStyle w:val="ListParagraph"/>
        <w:numPr>
          <w:ilvl w:val="0"/>
          <w:numId w:val="2"/>
        </w:numPr>
        <w:spacing w:after="80"/>
      </w:pPr>
      <w:r>
        <w:t xml:space="preserve">OS: Cross-platform (Linux, macOS, Windows) via Python 3.12+ and Docker</w:t>
      </w:r>
    </w:p>
    <w:p>
      <w:pPr>
        <w:pStyle w:val="ListParagraph"/>
        <w:numPr>
          <w:ilvl w:val="0"/>
          <w:numId w:val="2"/>
        </w:numPr>
        <w:spacing w:after="80"/>
      </w:pPr>
      <w:r>
        <w:t xml:space="preserve">Database: SQLite (default, portable); designed for drop-in replacement with SQL Server or PostgreSQL</w:t>
      </w:r>
    </w:p>
    <w:p>
      <w:pPr>
        <w:pStyle w:val="ListParagraph"/>
        <w:numPr>
          <w:ilvl w:val="0"/>
          <w:numId w:val="2"/>
        </w:numPr>
        <w:spacing w:after="80"/>
      </w:pPr>
      <w:r>
        <w:t xml:space="preserve">BI Tool: Microsoft Power BI Desktop (Windows) or Power BI Service</w:t>
      </w:r>
    </w:p>
    <w:p>
      <w:pPr>
        <w:pStyle w:val="ListParagraph"/>
        <w:numPr>
          <w:ilvl w:val="0"/>
          <w:numId w:val="2"/>
        </w:numPr>
        <w:spacing w:after="80"/>
      </w:pPr>
      <w:r>
        <w:t xml:space="preserve">CI/CD: GitHub Actions (Ubuntu-latest runner)</w:t>
      </w:r>
    </w:p>
    <w:p>
      <w:pPr>
        <w:pStyle w:val="Heading2"/>
        <w:spacing w:after="120" w:before="280"/>
      </w:pPr>
      <w:r>
        <w:t xml:space="preserve">2.5 Design and Implementation Constraints</w:t>
      </w:r>
    </w:p>
    <w:p>
      <w:pPr>
        <w:pStyle w:val="ListParagraph"/>
        <w:numPr>
          <w:ilvl w:val="0"/>
          <w:numId w:val="2"/>
        </w:numPr>
        <w:spacing w:after="80"/>
      </w:pPr>
      <w:r>
        <w:t xml:space="preserve">The reference implementation uses SQLite to guarantee zero-install reproducibility; this trades off concurrent-write scalability, which a production deployment would address via SQL Server/PostgreSQL</w:t>
      </w:r>
    </w:p>
    <w:p>
      <w:pPr>
        <w:pStyle w:val="ListParagraph"/>
        <w:numPr>
          <w:ilvl w:val="0"/>
          <w:numId w:val="2"/>
        </w:numPr>
        <w:spacing w:after="80"/>
      </w:pPr>
      <w:r>
        <w:t xml:space="preserve">Power BI Desktop has no native SQLite connector; connection requires ODBC driver installation or CSV export (both provided)</w:t>
      </w:r>
    </w:p>
    <w:p>
      <w:pPr>
        <w:pStyle w:val="ListParagraph"/>
        <w:numPr>
          <w:ilvl w:val="0"/>
          <w:numId w:val="2"/>
        </w:numPr>
        <w:spacing w:after="80"/>
      </w:pPr>
      <w:r>
        <w:t xml:space="preserve">Machine learning models are trained in-process (no external model-serving infrastructure) as this is outside the project's defined scope</w:t>
      </w:r>
    </w:p>
    <w:p>
      <w:pPr>
        <w:pStyle w:val="Heading2"/>
        <w:spacing w:after="120" w:before="280"/>
      </w:pPr>
      <w:r>
        <w:t xml:space="preserve">2.6 Assumptions and Dependencies</w:t>
      </w:r>
    </w:p>
    <w:p>
      <w:pPr>
        <w:pStyle w:val="ListParagraph"/>
        <w:numPr>
          <w:ilvl w:val="0"/>
          <w:numId w:val="2"/>
        </w:numPr>
        <w:spacing w:after="80"/>
      </w:pPr>
      <w:r>
        <w:t xml:space="preserve">Python 3.12+ and pip-installable packages (numpy, pandas, scikit-learn, xgboost) are available in the runtime environment</w:t>
      </w:r>
    </w:p>
    <w:p>
      <w:pPr>
        <w:pStyle w:val="ListParagraph"/>
        <w:numPr>
          <w:ilvl w:val="0"/>
          <w:numId w:val="2"/>
        </w:numPr>
        <w:spacing w:after="80"/>
      </w:pPr>
      <w:r>
        <w:t xml:space="preserve">The synthetic dataset is representative enough of real retail patterns (seasonality, promotions, churn behavior) to validate model logic; production use requires retraining on real data</w:t>
      </w:r>
    </w:p>
    <w:p>
      <w:pPr>
        <w:pStyle w:val="ListParagraph"/>
        <w:numPr>
          <w:ilvl w:val="0"/>
          <w:numId w:val="2"/>
        </w:numPr>
        <w:spacing w:after="80"/>
      </w:pPr>
      <w:r>
        <w:t xml:space="preserve">Power BI Desktop is available to the end user for dashboard construction; the dashboard definition itself is provided as a specification (DAX measures, page layout), not a pre-built .pbix file</w:t>
      </w:r>
    </w:p>
    <w:p>
      <w:r>
        <w:br w:type="page"/>
      </w:r>
    </w:p>
    <w:p>
      <w:pPr>
        <w:pStyle w:val="Heading1"/>
        <w:spacing w:after="160" w:before="360"/>
      </w:pPr>
      <w:r>
        <w:t xml:space="preserve">3. System Architecture</w:t>
      </w:r>
    </w:p>
    <w:p>
      <w:pPr>
        <w:spacing w:after="160"/>
      </w:pPr>
      <w:r>
        <w:t xml:space="preserve">The system follows a five-stage pipeline architecture:</w:t>
      </w:r>
    </w:p>
    <w:p>
      <w:pPr>
        <w:pStyle w:val="ListParagraph"/>
        <w:numPr>
          <w:ilvl w:val="0"/>
          <w:numId w:val="2"/>
        </w:numPr>
        <w:spacing w:after="80"/>
      </w:pPr>
      <w:r>
        <w:t xml:space="preserve">Stage 1 — Data Generation: produces raw CSV files with realistic seasonality, promotions, and customer lifecycle/churn patterns, including intentional data quality issues (nulls, duplicates, invalid rows)</w:t>
      </w:r>
    </w:p>
    <w:p>
      <w:pPr>
        <w:pStyle w:val="ListParagraph"/>
        <w:numPr>
          <w:ilvl w:val="0"/>
          <w:numId w:val="2"/>
        </w:numPr>
        <w:spacing w:after="80"/>
      </w:pPr>
      <w:r>
        <w:t xml:space="preserve">Stage 2 — ETL &amp; Warehousing: cleans and loads data into a star schema (1 fact table, 4 dimension tables) in SQL</w:t>
      </w:r>
    </w:p>
    <w:p>
      <w:pPr>
        <w:pStyle w:val="ListParagraph"/>
        <w:numPr>
          <w:ilvl w:val="0"/>
          <w:numId w:val="2"/>
        </w:numPr>
        <w:spacing w:after="80"/>
      </w:pPr>
      <w:r>
        <w:t xml:space="preserve">Stage 3 — SQL Analytics: provides reusable views and parameterized queries using window functions and CTEs</w:t>
      </w:r>
    </w:p>
    <w:p>
      <w:pPr>
        <w:pStyle w:val="ListParagraph"/>
        <w:numPr>
          <w:ilvl w:val="0"/>
          <w:numId w:val="2"/>
        </w:numPr>
        <w:spacing w:after="80"/>
      </w:pPr>
      <w:r>
        <w:t xml:space="preserve">Stage 4 — Machine Learning: three independent models read from and write predictions back to the SQL warehouse</w:t>
      </w:r>
    </w:p>
    <w:p>
      <w:pPr>
        <w:pStyle w:val="ListParagraph"/>
        <w:numPr>
          <w:ilvl w:val="0"/>
          <w:numId w:val="2"/>
        </w:numPr>
        <w:spacing w:after="80"/>
      </w:pPr>
      <w:r>
        <w:t xml:space="preserve">Stage 5 — Visualization: Power BI connects directly to the warehouse (or CSV exports) to render the dashboard</w:t>
      </w:r>
    </w:p>
    <w:p>
      <w:pPr>
        <w:spacing w:after="160"/>
      </w:pPr>
      <w:r>
        <w:rPr>
          <w:i/>
          <w:iCs/>
        </w:rPr>
        <w:t xml:space="preserve">Each stage is independently runnable and testable, and the full pipeline is orchestrated by a single entry-point script (run_pipeline.py) so the system can be rebuilt end-to-end deterministically.</w:t>
      </w:r>
    </w:p>
    <w:p>
      <w:pPr>
        <w:pStyle w:val="Heading1"/>
        <w:spacing w:after="160" w:before="360"/>
      </w:pPr>
      <w:r>
        <w:t xml:space="preserve">4. Functional Requirements</w:t>
      </w:r>
    </w:p>
    <w:p>
      <w:pPr>
        <w:pStyle w:val="Heading2"/>
        <w:spacing w:after="120" w:before="280"/>
      </w:pPr>
      <w:r>
        <w:t xml:space="preserve">4.1 Data Generation Module (FR-1.x)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FR-1.1</w:t>
            </w:r>
          </w:p>
        </w:tc>
        <w:tc>
          <w:tcPr>
            <w:tcW w:type="dxa" w:w="6000"/>
            <w:tcMar>
              <w:top w:type="dxa" w:w="80"/>
              <w:left w:type="dxa" w:w="100"/>
              <w:bottom w:type="dxa" w:w="80"/>
              <w:right w:type="dxa" w:w="100"/>
            </w:tcMar>
          </w:tcPr>
          <w:p>
            <w:r>
              <w:rPr>
                <w:b w:val="false"/>
                <w:bCs w:val="false"/>
                <w:sz w:val="20"/>
                <w:szCs w:val="20"/>
              </w:rPr>
              <w:t xml:space="preserve">The system shall generate synthetic customer, product, store, and transaction data covering a 3-year period.</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FR-1.2</w:t>
            </w:r>
          </w:p>
        </w:tc>
        <w:tc>
          <w:tcPr>
            <w:tcW w:type="dxa" w:w="6000"/>
            <w:shd w:fill="F2F2F2" w:val="clear"/>
            <w:tcMar>
              <w:top w:type="dxa" w:w="80"/>
              <w:left w:type="dxa" w:w="100"/>
              <w:bottom w:type="dxa" w:w="80"/>
              <w:right w:type="dxa" w:w="100"/>
            </w:tcMar>
          </w:tcPr>
          <w:p>
            <w:r>
              <w:rPr>
                <w:b w:val="false"/>
                <w:bCs w:val="false"/>
                <w:sz w:val="20"/>
                <w:szCs w:val="20"/>
              </w:rPr>
              <w:t xml:space="preserve">The system shall model per-customer purchase lifecycles, including a churn point for a configurable subset of customers.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FR-1.3</w:t>
            </w:r>
          </w:p>
        </w:tc>
        <w:tc>
          <w:tcPr>
            <w:tcW w:type="dxa" w:w="6000"/>
            <w:tcMar>
              <w:top w:type="dxa" w:w="80"/>
              <w:left w:type="dxa" w:w="100"/>
              <w:bottom w:type="dxa" w:w="80"/>
              <w:right w:type="dxa" w:w="100"/>
            </w:tcMar>
          </w:tcPr>
          <w:p>
            <w:r>
              <w:rPr>
                <w:b w:val="false"/>
                <w:bCs w:val="false"/>
                <w:sz w:val="20"/>
                <w:szCs w:val="20"/>
              </w:rPr>
              <w:t xml:space="preserve">The system shall inject realistic data quality issues (null values, duplicate records, invalid quantities) to validate the ETL layer.</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1200"/>
            <w:shd w:fill="F2F2F2" w:val="clear"/>
            <w:tcMar>
              <w:top w:type="dxa" w:w="80"/>
              <w:left w:type="dxa" w:w="100"/>
              <w:bottom w:type="dxa" w:w="80"/>
              <w:right w:type="dxa" w:w="100"/>
            </w:tcMar>
          </w:tcPr>
          <w:p>
            <w:r>
              <w:rPr>
                <w:b w:val="false"/>
                <w:bCs w:val="false"/>
                <w:sz w:val="20"/>
                <w:szCs w:val="20"/>
              </w:rPr>
              <w:t xml:space="preserve">FR-1.4</w:t>
            </w:r>
          </w:p>
        </w:tc>
        <w:tc>
          <w:tcPr>
            <w:tcW w:type="dxa" w:w="6000"/>
            <w:shd w:fill="F2F2F2" w:val="clear"/>
            <w:tcMar>
              <w:top w:type="dxa" w:w="80"/>
              <w:left w:type="dxa" w:w="100"/>
              <w:bottom w:type="dxa" w:w="80"/>
              <w:right w:type="dxa" w:w="100"/>
            </w:tcMar>
          </w:tcPr>
          <w:p>
            <w:r>
              <w:rPr>
                <w:b w:val="false"/>
                <w:bCs w:val="false"/>
                <w:sz w:val="20"/>
                <w:szCs w:val="20"/>
              </w:rPr>
              <w:t xml:space="preserve">Generated data shall exhibit seasonal (yearly and weekly) demand patterns and promotional discount events.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bl>
    <w:p>
      <w:pPr>
        <w:pStyle w:val="Heading2"/>
        <w:spacing w:after="120" w:before="280"/>
      </w:pPr>
      <w:r>
        <w:t xml:space="preserve">4.2 Data Warehousing Module (FR-2.x)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FR-2.1</w:t>
            </w:r>
          </w:p>
        </w:tc>
        <w:tc>
          <w:tcPr>
            <w:tcW w:type="dxa" w:w="6000"/>
            <w:tcMar>
              <w:top w:type="dxa" w:w="80"/>
              <w:left w:type="dxa" w:w="100"/>
              <w:bottom w:type="dxa" w:w="80"/>
              <w:right w:type="dxa" w:w="100"/>
            </w:tcMar>
          </w:tcPr>
          <w:p>
            <w:r>
              <w:rPr>
                <w:b w:val="false"/>
                <w:bCs w:val="false"/>
                <w:sz w:val="20"/>
                <w:szCs w:val="20"/>
              </w:rPr>
              <w:t xml:space="preserve">The system shall implement a star schema with fact_sales as the central fact table and dim_date, dim_customer, dim_product, dim_store as dimension tables.</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FR-2.2</w:t>
            </w:r>
          </w:p>
        </w:tc>
        <w:tc>
          <w:tcPr>
            <w:tcW w:type="dxa" w:w="6000"/>
            <w:shd w:fill="F2F2F2" w:val="clear"/>
            <w:tcMar>
              <w:top w:type="dxa" w:w="80"/>
              <w:left w:type="dxa" w:w="100"/>
              <w:bottom w:type="dxa" w:w="80"/>
              <w:right w:type="dxa" w:w="100"/>
            </w:tcMar>
          </w:tcPr>
          <w:p>
            <w:r>
              <w:rPr>
                <w:b w:val="false"/>
                <w:bCs w:val="false"/>
                <w:sz w:val="20"/>
                <w:szCs w:val="20"/>
              </w:rPr>
              <w:t xml:space="preserve">The ETL process shall remove duplicate records and invalid rows (negative quantities, null sales amounts) before loading.</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FR-2.3</w:t>
            </w:r>
          </w:p>
        </w:tc>
        <w:tc>
          <w:tcPr>
            <w:tcW w:type="dxa" w:w="6000"/>
            <w:tcMar>
              <w:top w:type="dxa" w:w="80"/>
              <w:left w:type="dxa" w:w="100"/>
              <w:bottom w:type="dxa" w:w="80"/>
              <w:right w:type="dxa" w:w="100"/>
            </w:tcMar>
          </w:tcPr>
          <w:p>
            <w:r>
              <w:rPr>
                <w:b w:val="false"/>
                <w:bCs w:val="false"/>
                <w:sz w:val="20"/>
                <w:szCs w:val="20"/>
              </w:rPr>
              <w:t xml:space="preserve">The system shall derive calculated attributes during load (e.g., customer age band, product margin percentage).</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1200"/>
            <w:shd w:fill="F2F2F2" w:val="clear"/>
            <w:tcMar>
              <w:top w:type="dxa" w:w="80"/>
              <w:left w:type="dxa" w:w="100"/>
              <w:bottom w:type="dxa" w:w="80"/>
              <w:right w:type="dxa" w:w="100"/>
            </w:tcMar>
          </w:tcPr>
          <w:p>
            <w:r>
              <w:rPr>
                <w:b w:val="false"/>
                <w:bCs w:val="false"/>
                <w:sz w:val="20"/>
                <w:szCs w:val="20"/>
              </w:rPr>
              <w:t xml:space="preserve">FR-2.4</w:t>
            </w:r>
          </w:p>
        </w:tc>
        <w:tc>
          <w:tcPr>
            <w:tcW w:type="dxa" w:w="6000"/>
            <w:shd w:fill="F2F2F2" w:val="clear"/>
            <w:tcMar>
              <w:top w:type="dxa" w:w="80"/>
              <w:left w:type="dxa" w:w="100"/>
              <w:bottom w:type="dxa" w:w="80"/>
              <w:right w:type="dxa" w:w="100"/>
            </w:tcMar>
          </w:tcPr>
          <w:p>
            <w:r>
              <w:rPr>
                <w:b w:val="false"/>
                <w:bCs w:val="false"/>
                <w:sz w:val="20"/>
                <w:szCs w:val="20"/>
              </w:rPr>
              <w:t xml:space="preserve">The warehouse shall maintain referential integrity between the fact table and all dimension tables.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FR-2.5</w:t>
            </w:r>
          </w:p>
        </w:tc>
        <w:tc>
          <w:tcPr>
            <w:tcW w:type="dxa" w:w="6000"/>
            <w:tcMar>
              <w:top w:type="dxa" w:w="80"/>
              <w:left w:type="dxa" w:w="100"/>
              <w:bottom w:type="dxa" w:w="80"/>
              <w:right w:type="dxa" w:w="100"/>
            </w:tcMar>
          </w:tcPr>
          <w:p>
            <w:r>
              <w:rPr>
                <w:b w:val="false"/>
                <w:bCs w:val="false"/>
                <w:sz w:val="20"/>
                <w:szCs w:val="20"/>
              </w:rPr>
              <w:t xml:space="preserve">The system shall index foreign key columns on the fact table to support query performance.</w:t>
            </w:r>
          </w:p>
        </w:tc>
        <w:tc>
          <w:tcPr>
            <w:tcW w:type="dxa" w:w="1800"/>
            <w:tcMar>
              <w:top w:type="dxa" w:w="80"/>
              <w:left w:type="dxa" w:w="100"/>
              <w:bottom w:type="dxa" w:w="80"/>
              <w:right w:type="dxa" w:w="100"/>
            </w:tcMar>
          </w:tcPr>
          <w:p>
            <w:r>
              <w:rPr>
                <w:b w:val="false"/>
                <w:bCs w:val="false"/>
                <w:sz w:val="20"/>
                <w:szCs w:val="20"/>
              </w:rPr>
              <w:t xml:space="preserve">Medium</w:t>
            </w:r>
          </w:p>
        </w:tc>
      </w:tr>
    </w:tbl>
    <w:p>
      <w:pPr>
        <w:pStyle w:val="Heading2"/>
        <w:spacing w:after="120" w:before="280"/>
      </w:pPr>
      <w:r>
        <w:t xml:space="preserve">4.3 SQL Analytics Module (FR-3.x)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FR-3.1</w:t>
            </w:r>
          </w:p>
        </w:tc>
        <w:tc>
          <w:tcPr>
            <w:tcW w:type="dxa" w:w="6000"/>
            <w:tcMar>
              <w:top w:type="dxa" w:w="80"/>
              <w:left w:type="dxa" w:w="100"/>
              <w:bottom w:type="dxa" w:w="80"/>
              <w:right w:type="dxa" w:w="100"/>
            </w:tcMar>
          </w:tcPr>
          <w:p>
            <w:r>
              <w:rPr>
                <w:b w:val="false"/>
                <w:bCs w:val="false"/>
                <w:sz w:val="20"/>
                <w:szCs w:val="20"/>
              </w:rPr>
              <w:t xml:space="preserve">The system shall provide a query computing monthly sales with running year-to-date totals using window functions.</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FR-3.2</w:t>
            </w:r>
          </w:p>
        </w:tc>
        <w:tc>
          <w:tcPr>
            <w:tcW w:type="dxa" w:w="6000"/>
            <w:shd w:fill="F2F2F2" w:val="clear"/>
            <w:tcMar>
              <w:top w:type="dxa" w:w="80"/>
              <w:left w:type="dxa" w:w="100"/>
              <w:bottom w:type="dxa" w:w="80"/>
              <w:right w:type="dxa" w:w="100"/>
            </w:tcMar>
          </w:tcPr>
          <w:p>
            <w:r>
              <w:rPr>
                <w:b w:val="false"/>
                <w:bCs w:val="false"/>
                <w:sz w:val="20"/>
                <w:szCs w:val="20"/>
              </w:rPr>
              <w:t xml:space="preserve">The system shall provide a year-over-year growth comparison query by product category.</w:t>
            </w:r>
          </w:p>
        </w:tc>
        <w:tc>
          <w:tcPr>
            <w:tcW w:type="dxa" w:w="1800"/>
            <w:shd w:fill="F2F2F2" w:val="clear"/>
            <w:tcMar>
              <w:top w:type="dxa" w:w="80"/>
              <w:left w:type="dxa" w:w="100"/>
              <w:bottom w:type="dxa" w:w="80"/>
              <w:right w:type="dxa" w:w="100"/>
            </w:tcMar>
          </w:tcPr>
          <w:p>
            <w:r>
              <w:rPr>
                <w:b w:val="false"/>
                <w:bCs w:val="false"/>
                <w:sz w:val="20"/>
                <w:szCs w:val="20"/>
              </w:rPr>
              <w:t xml:space="preserve">Medium</w:t>
            </w:r>
          </w:p>
        </w:tc>
      </w:tr>
      <w:tr>
        <w:tc>
          <w:tcPr>
            <w:tcW w:type="dxa" w:w="1200"/>
            <w:tcMar>
              <w:top w:type="dxa" w:w="80"/>
              <w:left w:type="dxa" w:w="100"/>
              <w:bottom w:type="dxa" w:w="80"/>
              <w:right w:type="dxa" w:w="100"/>
            </w:tcMar>
          </w:tcPr>
          <w:p>
            <w:r>
              <w:rPr>
                <w:b w:val="false"/>
                <w:bCs w:val="false"/>
                <w:sz w:val="20"/>
                <w:szCs w:val="20"/>
              </w:rPr>
              <w:t xml:space="preserve">FR-3.3</w:t>
            </w:r>
          </w:p>
        </w:tc>
        <w:tc>
          <w:tcPr>
            <w:tcW w:type="dxa" w:w="6000"/>
            <w:tcMar>
              <w:top w:type="dxa" w:w="80"/>
              <w:left w:type="dxa" w:w="100"/>
              <w:bottom w:type="dxa" w:w="80"/>
              <w:right w:type="dxa" w:w="100"/>
            </w:tcMar>
          </w:tcPr>
          <w:p>
            <w:r>
              <w:rPr>
                <w:b w:val="false"/>
                <w:bCs w:val="false"/>
                <w:sz w:val="20"/>
                <w:szCs w:val="20"/>
              </w:rPr>
              <w:t xml:space="preserve">The system shall provide a top-N ranking query (top 3 products per store by revenue).</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1200"/>
            <w:shd w:fill="F2F2F2" w:val="clear"/>
            <w:tcMar>
              <w:top w:type="dxa" w:w="80"/>
              <w:left w:type="dxa" w:w="100"/>
              <w:bottom w:type="dxa" w:w="80"/>
              <w:right w:type="dxa" w:w="100"/>
            </w:tcMar>
          </w:tcPr>
          <w:p>
            <w:r>
              <w:rPr>
                <w:b w:val="false"/>
                <w:bCs w:val="false"/>
                <w:sz w:val="20"/>
                <w:szCs w:val="20"/>
              </w:rPr>
              <w:t xml:space="preserve">FR-3.4</w:t>
            </w:r>
          </w:p>
        </w:tc>
        <w:tc>
          <w:tcPr>
            <w:tcW w:type="dxa" w:w="6000"/>
            <w:shd w:fill="F2F2F2" w:val="clear"/>
            <w:tcMar>
              <w:top w:type="dxa" w:w="80"/>
              <w:left w:type="dxa" w:w="100"/>
              <w:bottom w:type="dxa" w:w="80"/>
              <w:right w:type="dxa" w:w="100"/>
            </w:tcMar>
          </w:tcPr>
          <w:p>
            <w:r>
              <w:rPr>
                <w:b w:val="false"/>
                <w:bCs w:val="false"/>
                <w:sz w:val="20"/>
                <w:szCs w:val="20"/>
              </w:rPr>
              <w:t xml:space="preserve">The system shall expose a reusable view (vw_monthly_kpi_summary) for BI consumption.</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bl>
    <w:p>
      <w:pPr>
        <w:pStyle w:val="Heading2"/>
        <w:spacing w:after="120" w:before="280"/>
      </w:pPr>
      <w:r>
        <w:t xml:space="preserve">4.4 Sales Forecasting Module (FR-4.x)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FR-4.1</w:t>
            </w:r>
          </w:p>
        </w:tc>
        <w:tc>
          <w:tcPr>
            <w:tcW w:type="dxa" w:w="6000"/>
            <w:tcMar>
              <w:top w:type="dxa" w:w="80"/>
              <w:left w:type="dxa" w:w="100"/>
              <w:bottom w:type="dxa" w:w="80"/>
              <w:right w:type="dxa" w:w="100"/>
            </w:tcMar>
          </w:tcPr>
          <w:p>
            <w:r>
              <w:rPr>
                <w:b w:val="false"/>
                <w:bCs w:val="false"/>
                <w:sz w:val="20"/>
                <w:szCs w:val="20"/>
              </w:rPr>
              <w:t xml:space="preserve">The system shall forecast total daily sales for a 90-day horizon beyond the latest available data.</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FR-4.2</w:t>
            </w:r>
          </w:p>
        </w:tc>
        <w:tc>
          <w:tcPr>
            <w:tcW w:type="dxa" w:w="6000"/>
            <w:shd w:fill="F2F2F2" w:val="clear"/>
            <w:tcMar>
              <w:top w:type="dxa" w:w="80"/>
              <w:left w:type="dxa" w:w="100"/>
              <w:bottom w:type="dxa" w:w="80"/>
              <w:right w:type="dxa" w:w="100"/>
            </w:tcMar>
          </w:tcPr>
          <w:p>
            <w:r>
              <w:rPr>
                <w:b w:val="false"/>
                <w:bCs w:val="false"/>
                <w:sz w:val="20"/>
                <w:szCs w:val="20"/>
              </w:rPr>
              <w:t xml:space="preserve">The forecasting model shall be evaluated via backtesting against a held-out period of at least 60 days.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FR-4.3</w:t>
            </w:r>
          </w:p>
        </w:tc>
        <w:tc>
          <w:tcPr>
            <w:tcW w:type="dxa" w:w="6000"/>
            <w:tcMar>
              <w:top w:type="dxa" w:w="80"/>
              <w:left w:type="dxa" w:w="100"/>
              <w:bottom w:type="dxa" w:w="80"/>
              <w:right w:type="dxa" w:w="100"/>
            </w:tcMar>
          </w:tcPr>
          <w:p>
            <w:r>
              <w:rPr>
                <w:b w:val="false"/>
                <w:bCs w:val="false"/>
                <w:sz w:val="20"/>
                <w:szCs w:val="20"/>
              </w:rPr>
              <w:t xml:space="preserve">The system shall report forecast accuracy (MAPE, MAE) against naive, seasonal-naive, and moving-average baselines.</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FR-4.4</w:t>
            </w:r>
          </w:p>
        </w:tc>
        <w:tc>
          <w:tcPr>
            <w:tcW w:type="dxa" w:w="6000"/>
            <w:shd w:fill="F2F2F2" w:val="clear"/>
            <w:tcMar>
              <w:top w:type="dxa" w:w="80"/>
              <w:left w:type="dxa" w:w="100"/>
              <w:bottom w:type="dxa" w:w="80"/>
              <w:right w:type="dxa" w:w="100"/>
            </w:tcMar>
          </w:tcPr>
          <w:p>
            <w:r>
              <w:rPr>
                <w:b w:val="false"/>
                <w:bCs w:val="false"/>
                <w:sz w:val="20"/>
                <w:szCs w:val="20"/>
              </w:rPr>
              <w:t xml:space="preserve">The system shall produce an uncertainty interval (lower/upper bound) for each forecasted value.</w:t>
            </w:r>
          </w:p>
        </w:tc>
        <w:tc>
          <w:tcPr>
            <w:tcW w:type="dxa" w:w="1800"/>
            <w:shd w:fill="F2F2F2" w:val="clear"/>
            <w:tcMar>
              <w:top w:type="dxa" w:w="80"/>
              <w:left w:type="dxa" w:w="100"/>
              <w:bottom w:type="dxa" w:w="80"/>
              <w:right w:type="dxa" w:w="100"/>
            </w:tcMar>
          </w:tcPr>
          <w:p>
            <w:r>
              <w:rPr>
                <w:b w:val="false"/>
                <w:bCs w:val="false"/>
                <w:sz w:val="20"/>
                <w:szCs w:val="20"/>
              </w:rPr>
              <w:t xml:space="preserve">Medium</w:t>
            </w:r>
          </w:p>
        </w:tc>
      </w:tr>
      <w:tr>
        <w:tc>
          <w:tcPr>
            <w:tcW w:type="dxa" w:w="1200"/>
            <w:tcMar>
              <w:top w:type="dxa" w:w="80"/>
              <w:left w:type="dxa" w:w="100"/>
              <w:bottom w:type="dxa" w:w="80"/>
              <w:right w:type="dxa" w:w="100"/>
            </w:tcMar>
          </w:tcPr>
          <w:p>
            <w:r>
              <w:rPr>
                <w:b w:val="false"/>
                <w:bCs w:val="false"/>
                <w:sz w:val="20"/>
                <w:szCs w:val="20"/>
              </w:rPr>
              <w:t xml:space="preserve">FR-4.5</w:t>
            </w:r>
          </w:p>
        </w:tc>
        <w:tc>
          <w:tcPr>
            <w:tcW w:type="dxa" w:w="6000"/>
            <w:tcMar>
              <w:top w:type="dxa" w:w="80"/>
              <w:left w:type="dxa" w:w="100"/>
              <w:bottom w:type="dxa" w:w="80"/>
              <w:right w:type="dxa" w:w="100"/>
            </w:tcMar>
          </w:tcPr>
          <w:p>
            <w:r>
              <w:rPr>
                <w:b w:val="false"/>
                <w:bCs w:val="false"/>
                <w:sz w:val="20"/>
                <w:szCs w:val="20"/>
              </w:rPr>
              <w:t xml:space="preserve">Forecast output shall be written to a dedicated SQL table (ml_sales_forecast) accessible to the BI layer.</w:t>
            </w:r>
          </w:p>
        </w:tc>
        <w:tc>
          <w:tcPr>
            <w:tcW w:type="dxa" w:w="1800"/>
            <w:tcMar>
              <w:top w:type="dxa" w:w="80"/>
              <w:left w:type="dxa" w:w="100"/>
              <w:bottom w:type="dxa" w:w="80"/>
              <w:right w:type="dxa" w:w="100"/>
            </w:tcMar>
          </w:tcPr>
          <w:p>
            <w:r>
              <w:rPr>
                <w:b w:val="false"/>
                <w:bCs w:val="false"/>
                <w:sz w:val="20"/>
                <w:szCs w:val="20"/>
              </w:rPr>
              <w:t xml:space="preserve">High</w:t>
            </w:r>
          </w:p>
        </w:tc>
      </w:tr>
    </w:tbl>
    <w:p>
      <w:pPr>
        <w:pStyle w:val="Heading2"/>
        <w:spacing w:after="120" w:before="280"/>
      </w:pPr>
      <w:r>
        <w:t xml:space="preserve">4.5 Customer Churn Prediction Module (FR-5.x)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FR-5.1</w:t>
            </w:r>
          </w:p>
        </w:tc>
        <w:tc>
          <w:tcPr>
            <w:tcW w:type="dxa" w:w="6000"/>
            <w:tcMar>
              <w:top w:type="dxa" w:w="80"/>
              <w:left w:type="dxa" w:w="100"/>
              <w:bottom w:type="dxa" w:w="80"/>
              <w:right w:type="dxa" w:w="100"/>
            </w:tcMar>
          </w:tcPr>
          <w:p>
            <w:r>
              <w:rPr>
                <w:b w:val="false"/>
                <w:bCs w:val="false"/>
                <w:sz w:val="20"/>
                <w:szCs w:val="20"/>
              </w:rPr>
              <w:t xml:space="preserve">The system shall define churn as no purchase activity within a configurable trailing window (default 90 days).</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FR-5.2</w:t>
            </w:r>
          </w:p>
        </w:tc>
        <w:tc>
          <w:tcPr>
            <w:tcW w:type="dxa" w:w="6000"/>
            <w:shd w:fill="F2F2F2" w:val="clear"/>
            <w:tcMar>
              <w:top w:type="dxa" w:w="80"/>
              <w:left w:type="dxa" w:w="100"/>
              <w:bottom w:type="dxa" w:w="80"/>
              <w:right w:type="dxa" w:w="100"/>
            </w:tcMar>
          </w:tcPr>
          <w:p>
            <w:r>
              <w:rPr>
                <w:b w:val="false"/>
                <w:bCs w:val="false"/>
                <w:sz w:val="20"/>
                <w:szCs w:val="20"/>
              </w:rPr>
              <w:t xml:space="preserve">Churn features shall be derived exclusively from data preceding the label determination cutoff to prevent leakage.</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FR-5.3</w:t>
            </w:r>
          </w:p>
        </w:tc>
        <w:tc>
          <w:tcPr>
            <w:tcW w:type="dxa" w:w="6000"/>
            <w:tcMar>
              <w:top w:type="dxa" w:w="80"/>
              <w:left w:type="dxa" w:w="100"/>
              <w:bottom w:type="dxa" w:w="80"/>
              <w:right w:type="dxa" w:w="100"/>
            </w:tcMar>
          </w:tcPr>
          <w:p>
            <w:r>
              <w:rPr>
                <w:b w:val="false"/>
                <w:bCs w:val="false"/>
                <w:sz w:val="20"/>
                <w:szCs w:val="20"/>
              </w:rPr>
              <w:t xml:space="preserve">The system shall output a churn probability and a categorical risk band (Low/Medium/High) per customer.</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FR-5.4</w:t>
            </w:r>
          </w:p>
        </w:tc>
        <w:tc>
          <w:tcPr>
            <w:tcW w:type="dxa" w:w="6000"/>
            <w:shd w:fill="F2F2F2" w:val="clear"/>
            <w:tcMar>
              <w:top w:type="dxa" w:w="80"/>
              <w:left w:type="dxa" w:w="100"/>
              <w:bottom w:type="dxa" w:w="80"/>
              <w:right w:type="dxa" w:w="100"/>
            </w:tcMar>
          </w:tcPr>
          <w:p>
            <w:r>
              <w:rPr>
                <w:b w:val="false"/>
                <w:bCs w:val="false"/>
                <w:sz w:val="20"/>
                <w:szCs w:val="20"/>
              </w:rPr>
              <w:t xml:space="preserve">The model shall report AUC-ROC and classification metrics on a held-out test set.</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FR-5.5</w:t>
            </w:r>
          </w:p>
        </w:tc>
        <w:tc>
          <w:tcPr>
            <w:tcW w:type="dxa" w:w="6000"/>
            <w:tcMar>
              <w:top w:type="dxa" w:w="80"/>
              <w:left w:type="dxa" w:w="100"/>
              <w:bottom w:type="dxa" w:w="80"/>
              <w:right w:type="dxa" w:w="100"/>
            </w:tcMar>
          </w:tcPr>
          <w:p>
            <w:r>
              <w:rPr>
                <w:b w:val="false"/>
                <w:bCs w:val="false"/>
                <w:sz w:val="20"/>
                <w:szCs w:val="20"/>
              </w:rPr>
              <w:t xml:space="preserve">The system shall rank and report the top features driving churn predictions.</w:t>
            </w:r>
          </w:p>
        </w:tc>
        <w:tc>
          <w:tcPr>
            <w:tcW w:type="dxa" w:w="1800"/>
            <w:tcMar>
              <w:top w:type="dxa" w:w="80"/>
              <w:left w:type="dxa" w:w="100"/>
              <w:bottom w:type="dxa" w:w="80"/>
              <w:right w:type="dxa" w:w="100"/>
            </w:tcMar>
          </w:tcPr>
          <w:p>
            <w:r>
              <w:rPr>
                <w:b w:val="false"/>
                <w:bCs w:val="false"/>
                <w:sz w:val="20"/>
                <w:szCs w:val="20"/>
              </w:rPr>
              <w:t xml:space="preserve">Medium</w:t>
            </w:r>
          </w:p>
        </w:tc>
      </w:tr>
    </w:tbl>
    <w:p>
      <w:pPr>
        <w:pStyle w:val="Heading2"/>
        <w:spacing w:after="120" w:before="280"/>
      </w:pPr>
      <w:r>
        <w:t xml:space="preserve">4.6 Customer Segmentation Module (FR-6.x)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FR-6.1</w:t>
            </w:r>
          </w:p>
        </w:tc>
        <w:tc>
          <w:tcPr>
            <w:tcW w:type="dxa" w:w="6000"/>
            <w:tcMar>
              <w:top w:type="dxa" w:w="80"/>
              <w:left w:type="dxa" w:w="100"/>
              <w:bottom w:type="dxa" w:w="80"/>
              <w:right w:type="dxa" w:w="100"/>
            </w:tcMar>
          </w:tcPr>
          <w:p>
            <w:r>
              <w:rPr>
                <w:b w:val="false"/>
                <w:bCs w:val="false"/>
                <w:sz w:val="20"/>
                <w:szCs w:val="20"/>
              </w:rPr>
              <w:t xml:space="preserve">The system shall compute Recency, Frequency, and Monetary (RFM) metrics for every customer.</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FR-6.2</w:t>
            </w:r>
          </w:p>
        </w:tc>
        <w:tc>
          <w:tcPr>
            <w:tcW w:type="dxa" w:w="6000"/>
            <w:shd w:fill="F2F2F2" w:val="clear"/>
            <w:tcMar>
              <w:top w:type="dxa" w:w="80"/>
              <w:left w:type="dxa" w:w="100"/>
              <w:bottom w:type="dxa" w:w="80"/>
              <w:right w:type="dxa" w:w="100"/>
            </w:tcMar>
          </w:tcPr>
          <w:p>
            <w:r>
              <w:rPr>
                <w:b w:val="false"/>
                <w:bCs w:val="false"/>
                <w:sz w:val="20"/>
                <w:szCs w:val="20"/>
              </w:rPr>
              <w:t xml:space="preserve">The system shall cluster customers using an unsupervised algorithm (K-Means) on standardized RFM features.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FR-6.3</w:t>
            </w:r>
          </w:p>
        </w:tc>
        <w:tc>
          <w:tcPr>
            <w:tcW w:type="dxa" w:w="6000"/>
            <w:tcMar>
              <w:top w:type="dxa" w:w="80"/>
              <w:left w:type="dxa" w:w="100"/>
              <w:bottom w:type="dxa" w:w="80"/>
              <w:right w:type="dxa" w:w="100"/>
            </w:tcMar>
          </w:tcPr>
          <w:p>
            <w:r>
              <w:rPr>
                <w:b w:val="false"/>
                <w:bCs w:val="false"/>
                <w:sz w:val="20"/>
                <w:szCs w:val="20"/>
              </w:rPr>
              <w:t xml:space="preserve">The system shall assign each customer a business-readable segment label (e.g., Champions, At Risk, Lost).</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FR-6.4</w:t>
            </w:r>
          </w:p>
        </w:tc>
        <w:tc>
          <w:tcPr>
            <w:tcW w:type="dxa" w:w="6000"/>
            <w:shd w:fill="F2F2F2" w:val="clear"/>
            <w:tcMar>
              <w:top w:type="dxa" w:w="80"/>
              <w:left w:type="dxa" w:w="100"/>
              <w:bottom w:type="dxa" w:w="80"/>
              <w:right w:type="dxa" w:w="100"/>
            </w:tcMar>
          </w:tcPr>
          <w:p>
            <w:r>
              <w:rPr>
                <w:b w:val="false"/>
                <w:bCs w:val="false"/>
                <w:sz w:val="20"/>
                <w:szCs w:val="20"/>
              </w:rPr>
              <w:t xml:space="preserve">Segment output shall be written to a dedicated SQL table (ml_customer_segments).</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bl>
    <w:p>
      <w:pPr>
        <w:pStyle w:val="Heading2"/>
        <w:spacing w:after="120" w:before="280"/>
      </w:pPr>
      <w:r>
        <w:t xml:space="preserve">4.7 Visualization Module (FR-7.x)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FR-7.1</w:t>
            </w:r>
          </w:p>
        </w:tc>
        <w:tc>
          <w:tcPr>
            <w:tcW w:type="dxa" w:w="6000"/>
            <w:tcMar>
              <w:top w:type="dxa" w:w="80"/>
              <w:left w:type="dxa" w:w="100"/>
              <w:bottom w:type="dxa" w:w="80"/>
              <w:right w:type="dxa" w:w="100"/>
            </w:tcMar>
          </w:tcPr>
          <w:p>
            <w:r>
              <w:rPr>
                <w:b w:val="false"/>
                <w:bCs w:val="false"/>
                <w:sz w:val="20"/>
                <w:szCs w:val="20"/>
              </w:rPr>
              <w:t xml:space="preserve">The system shall provide a documented method for Power BI to connect to the warehouse (ODBC or CSV export).</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FR-7.2</w:t>
            </w:r>
          </w:p>
        </w:tc>
        <w:tc>
          <w:tcPr>
            <w:tcW w:type="dxa" w:w="6000"/>
            <w:shd w:fill="F2F2F2" w:val="clear"/>
            <w:tcMar>
              <w:top w:type="dxa" w:w="80"/>
              <w:left w:type="dxa" w:w="100"/>
              <w:bottom w:type="dxa" w:w="80"/>
              <w:right w:type="dxa" w:w="100"/>
            </w:tcMar>
          </w:tcPr>
          <w:p>
            <w:r>
              <w:rPr>
                <w:b w:val="false"/>
                <w:bCs w:val="false"/>
                <w:sz w:val="20"/>
                <w:szCs w:val="20"/>
              </w:rPr>
              <w:t xml:space="preserve">The system shall export all fact, dimension, and ML output tables as CSV files for import.</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FR-7.3</w:t>
            </w:r>
          </w:p>
        </w:tc>
        <w:tc>
          <w:tcPr>
            <w:tcW w:type="dxa" w:w="6000"/>
            <w:tcMar>
              <w:top w:type="dxa" w:w="80"/>
              <w:left w:type="dxa" w:w="100"/>
              <w:bottom w:type="dxa" w:w="80"/>
              <w:right w:type="dxa" w:w="100"/>
            </w:tcMar>
          </w:tcPr>
          <w:p>
            <w:r>
              <w:rPr>
                <w:b w:val="false"/>
                <w:bCs w:val="false"/>
                <w:sz w:val="20"/>
                <w:szCs w:val="20"/>
              </w:rPr>
              <w:t xml:space="preserve">The system shall document a DAX measure library covering revenue, growth, and risk KPIs.</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1200"/>
            <w:shd w:fill="F2F2F2" w:val="clear"/>
            <w:tcMar>
              <w:top w:type="dxa" w:w="80"/>
              <w:left w:type="dxa" w:w="100"/>
              <w:bottom w:type="dxa" w:w="80"/>
              <w:right w:type="dxa" w:w="100"/>
            </w:tcMar>
          </w:tcPr>
          <w:p>
            <w:r>
              <w:rPr>
                <w:b w:val="false"/>
                <w:bCs w:val="false"/>
                <w:sz w:val="20"/>
                <w:szCs w:val="20"/>
              </w:rPr>
              <w:t xml:space="preserve">FR-7.4</w:t>
            </w:r>
          </w:p>
        </w:tc>
        <w:tc>
          <w:tcPr>
            <w:tcW w:type="dxa" w:w="6000"/>
            <w:shd w:fill="F2F2F2" w:val="clear"/>
            <w:tcMar>
              <w:top w:type="dxa" w:w="80"/>
              <w:left w:type="dxa" w:w="100"/>
              <w:bottom w:type="dxa" w:w="80"/>
              <w:right w:type="dxa" w:w="100"/>
            </w:tcMar>
          </w:tcPr>
          <w:p>
            <w:r>
              <w:rPr>
                <w:b w:val="false"/>
                <w:bCs w:val="false"/>
                <w:sz w:val="20"/>
                <w:szCs w:val="20"/>
              </w:rPr>
              <w:t xml:space="preserve">The dashboard specification shall define at least 4 pages: Executive Overview, Sales Forecast, Customer Analytics, Product Performance.</w:t>
            </w:r>
          </w:p>
        </w:tc>
        <w:tc>
          <w:tcPr>
            <w:tcW w:type="dxa" w:w="1800"/>
            <w:shd w:fill="F2F2F2" w:val="clear"/>
            <w:tcMar>
              <w:top w:type="dxa" w:w="80"/>
              <w:left w:type="dxa" w:w="100"/>
              <w:bottom w:type="dxa" w:w="80"/>
              <w:right w:type="dxa" w:w="100"/>
            </w:tcMar>
          </w:tcPr>
          <w:p>
            <w:r>
              <w:rPr>
                <w:b w:val="false"/>
                <w:bCs w:val="false"/>
                <w:sz w:val="20"/>
                <w:szCs w:val="20"/>
              </w:rPr>
              <w:t xml:space="preserve">Medium</w:t>
            </w:r>
          </w:p>
        </w:tc>
      </w:tr>
    </w:tbl>
    <w:p>
      <w:pPr>
        <w:pStyle w:val="Heading2"/>
        <w:spacing w:after="120" w:before="280"/>
      </w:pPr>
      <w:r>
        <w:t xml:space="preserve">4.8 Automation &amp; Orchestration Module (FR-8.x)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000"/>
            <w:shd w:fill="1F3864" w:val="clear"/>
            <w:tcMar>
              <w:top w:type="dxa" w:w="80"/>
              <w:left w:type="dxa" w:w="100"/>
              <w:bottom w:type="dxa" w:w="80"/>
              <w:right w:type="dxa" w:w="100"/>
            </w:tcMar>
          </w:tcPr>
          <w:p>
            <w:r>
              <w:rPr>
                <w:b/>
                <w:bCs/>
                <w:color w:val="FFFFFF"/>
                <w:sz w:val="20"/>
                <w:szCs w:val="20"/>
              </w:rPr>
              <w:t xml:space="preserve">Requirement</w:t>
            </w:r>
          </w:p>
        </w:tc>
        <w:tc>
          <w:tcPr>
            <w:tcW w:type="dxa" w:w="1800"/>
            <w:shd w:fill="1F3864"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FR-8.1</w:t>
            </w:r>
          </w:p>
        </w:tc>
        <w:tc>
          <w:tcPr>
            <w:tcW w:type="dxa" w:w="6000"/>
            <w:tcMar>
              <w:top w:type="dxa" w:w="80"/>
              <w:left w:type="dxa" w:w="100"/>
              <w:bottom w:type="dxa" w:w="80"/>
              <w:right w:type="dxa" w:w="100"/>
            </w:tcMar>
          </w:tcPr>
          <w:p>
            <w:r>
              <w:rPr>
                <w:b w:val="false"/>
                <w:bCs w:val="false"/>
                <w:sz w:val="20"/>
                <w:szCs w:val="20"/>
              </w:rPr>
              <w:t xml:space="preserve">The system shall provide a single entry-point script that executes all pipeline stages in the correct order.</w:t>
            </w:r>
          </w:p>
        </w:tc>
        <w:tc>
          <w:tcPr>
            <w:tcW w:type="dxa" w:w="1800"/>
            <w:tcMar>
              <w:top w:type="dxa" w:w="80"/>
              <w:left w:type="dxa" w:w="100"/>
              <w:bottom w:type="dxa" w:w="80"/>
              <w:right w:type="dxa" w:w="100"/>
            </w:tcMar>
          </w:tcPr>
          <w:p>
            <w:r>
              <w:rPr>
                <w:b w:val="false"/>
                <w:bCs w:val="false"/>
                <w:sz w:val="20"/>
                <w:szCs w:val="20"/>
              </w:rPr>
              <w:t xml:space="preserve">High</w:t>
            </w:r>
          </w:p>
        </w:tc>
      </w:tr>
      <w:tr>
        <w:tc>
          <w:tcPr>
            <w:tcW w:type="dxa" w:w="1200"/>
            <w:shd w:fill="F2F2F2" w:val="clear"/>
            <w:tcMar>
              <w:top w:type="dxa" w:w="80"/>
              <w:left w:type="dxa" w:w="100"/>
              <w:bottom w:type="dxa" w:w="80"/>
              <w:right w:type="dxa" w:w="100"/>
            </w:tcMar>
          </w:tcPr>
          <w:p>
            <w:r>
              <w:rPr>
                <w:b w:val="false"/>
                <w:bCs w:val="false"/>
                <w:sz w:val="20"/>
                <w:szCs w:val="20"/>
              </w:rPr>
              <w:t xml:space="preserve">FR-8.2</w:t>
            </w:r>
          </w:p>
        </w:tc>
        <w:tc>
          <w:tcPr>
            <w:tcW w:type="dxa" w:w="6000"/>
            <w:shd w:fill="F2F2F2" w:val="clear"/>
            <w:tcMar>
              <w:top w:type="dxa" w:w="80"/>
              <w:left w:type="dxa" w:w="100"/>
              <w:bottom w:type="dxa" w:w="80"/>
              <w:right w:type="dxa" w:w="100"/>
            </w:tcMar>
          </w:tcPr>
          <w:p>
            <w:r>
              <w:rPr>
                <w:b w:val="false"/>
                <w:bCs w:val="false"/>
                <w:sz w:val="20"/>
                <w:szCs w:val="20"/>
              </w:rPr>
              <w:t xml:space="preserve">The system shall validate data integrity and model output sanity through an automated test suite.</w:t>
            </w:r>
          </w:p>
        </w:tc>
        <w:tc>
          <w:tcPr>
            <w:tcW w:type="dxa" w:w="1800"/>
            <w:shd w:fill="F2F2F2" w:val="clear"/>
            <w:tcMar>
              <w:top w:type="dxa" w:w="80"/>
              <w:left w:type="dxa" w:w="100"/>
              <w:bottom w:type="dxa" w:w="80"/>
              <w:right w:type="dxa" w:w="100"/>
            </w:tcMar>
          </w:tcPr>
          <w:p>
            <w:r>
              <w:rPr>
                <w:b w:val="false"/>
                <w:bCs w:val="false"/>
                <w:sz w:val="20"/>
                <w:szCs w:val="20"/>
              </w:rPr>
              <w:t xml:space="preserve">High</w:t>
            </w:r>
          </w:p>
        </w:tc>
      </w:tr>
      <w:tr>
        <w:tc>
          <w:tcPr>
            <w:tcW w:type="dxa" w:w="1200"/>
            <w:tcMar>
              <w:top w:type="dxa" w:w="80"/>
              <w:left w:type="dxa" w:w="100"/>
              <w:bottom w:type="dxa" w:w="80"/>
              <w:right w:type="dxa" w:w="100"/>
            </w:tcMar>
          </w:tcPr>
          <w:p>
            <w:r>
              <w:rPr>
                <w:b w:val="false"/>
                <w:bCs w:val="false"/>
                <w:sz w:val="20"/>
                <w:szCs w:val="20"/>
              </w:rPr>
              <w:t xml:space="preserve">FR-8.3</w:t>
            </w:r>
          </w:p>
        </w:tc>
        <w:tc>
          <w:tcPr>
            <w:tcW w:type="dxa" w:w="6000"/>
            <w:tcMar>
              <w:top w:type="dxa" w:w="80"/>
              <w:left w:type="dxa" w:w="100"/>
              <w:bottom w:type="dxa" w:w="80"/>
              <w:right w:type="dxa" w:w="100"/>
            </w:tcMar>
          </w:tcPr>
          <w:p>
            <w:r>
              <w:rPr>
                <w:b w:val="false"/>
                <w:bCs w:val="false"/>
                <w:sz w:val="20"/>
                <w:szCs w:val="20"/>
              </w:rPr>
              <w:t xml:space="preserve">The system shall run the full pipeline and test suite automatically via CI/CD on every code push.</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1200"/>
            <w:shd w:fill="F2F2F2" w:val="clear"/>
            <w:tcMar>
              <w:top w:type="dxa" w:w="80"/>
              <w:left w:type="dxa" w:w="100"/>
              <w:bottom w:type="dxa" w:w="80"/>
              <w:right w:type="dxa" w:w="100"/>
            </w:tcMar>
          </w:tcPr>
          <w:p>
            <w:r>
              <w:rPr>
                <w:b w:val="false"/>
                <w:bCs w:val="false"/>
                <w:sz w:val="20"/>
                <w:szCs w:val="20"/>
              </w:rPr>
              <w:t xml:space="preserve">FR-8.4</w:t>
            </w:r>
          </w:p>
        </w:tc>
        <w:tc>
          <w:tcPr>
            <w:tcW w:type="dxa" w:w="6000"/>
            <w:shd w:fill="F2F2F2" w:val="clear"/>
            <w:tcMar>
              <w:top w:type="dxa" w:w="80"/>
              <w:left w:type="dxa" w:w="100"/>
              <w:bottom w:type="dxa" w:w="80"/>
              <w:right w:type="dxa" w:w="100"/>
            </w:tcMar>
          </w:tcPr>
          <w:p>
            <w:r>
              <w:rPr>
                <w:b w:val="false"/>
                <w:bCs w:val="false"/>
                <w:sz w:val="20"/>
                <w:szCs w:val="20"/>
              </w:rPr>
              <w:t xml:space="preserve">The system shall be containerized to allow execution without local dependency installation.</w:t>
            </w:r>
          </w:p>
        </w:tc>
        <w:tc>
          <w:tcPr>
            <w:tcW w:type="dxa" w:w="1800"/>
            <w:shd w:fill="F2F2F2" w:val="clear"/>
            <w:tcMar>
              <w:top w:type="dxa" w:w="80"/>
              <w:left w:type="dxa" w:w="100"/>
              <w:bottom w:type="dxa" w:w="80"/>
              <w:right w:type="dxa" w:w="100"/>
            </w:tcMar>
          </w:tcPr>
          <w:p>
            <w:r>
              <w:rPr>
                <w:b w:val="false"/>
                <w:bCs w:val="false"/>
                <w:sz w:val="20"/>
                <w:szCs w:val="20"/>
              </w:rPr>
              <w:t xml:space="preserve">Medium</w:t>
            </w:r>
          </w:p>
        </w:tc>
      </w:tr>
    </w:tbl>
    <w:p>
      <w:r>
        <w:br w:type="page"/>
      </w:r>
    </w:p>
    <w:p>
      <w:pPr>
        <w:pStyle w:val="Heading1"/>
        <w:spacing w:after="160" w:before="360"/>
      </w:pPr>
      <w:r>
        <w:t xml:space="preserve">5. Non-Functional Requirements</w:t>
      </w:r>
    </w:p>
    <w:p>
      <w:pPr>
        <w:pStyle w:val="Heading2"/>
        <w:spacing w:after="120" w:before="280"/>
      </w:pPr>
      <w:r>
        <w:t xml:space="preserve">5.1 Performance</w:t>
      </w:r>
    </w:p>
    <w:p>
      <w:pPr>
        <w:pStyle w:val="ListParagraph"/>
        <w:numPr>
          <w:ilvl w:val="0"/>
          <w:numId w:val="2"/>
        </w:numPr>
        <w:spacing w:after="80"/>
      </w:pPr>
      <w:r>
        <w:t xml:space="preserve">The full pipeline (data generation through Power BI export) shall complete in under 60 seconds on a standard development machine for the reference dataset size (~78,000 transactions).</w:t>
      </w:r>
    </w:p>
    <w:p>
      <w:pPr>
        <w:pStyle w:val="ListParagraph"/>
        <w:numPr>
          <w:ilvl w:val="0"/>
          <w:numId w:val="2"/>
        </w:numPr>
        <w:spacing w:after="80"/>
      </w:pPr>
      <w:r>
        <w:t xml:space="preserve">SQL analytical queries shall return results in under 2 seconds on the reference dataset.</w:t>
      </w:r>
    </w:p>
    <w:p>
      <w:pPr>
        <w:pStyle w:val="Heading2"/>
        <w:spacing w:after="120" w:before="280"/>
      </w:pPr>
      <w:r>
        <w:t xml:space="preserve">5.2 Reliability</w:t>
      </w:r>
    </w:p>
    <w:p>
      <w:pPr>
        <w:pStyle w:val="ListParagraph"/>
        <w:numPr>
          <w:ilvl w:val="0"/>
          <w:numId w:val="2"/>
        </w:numPr>
        <w:spacing w:after="80"/>
      </w:pPr>
      <w:r>
        <w:t xml:space="preserve">The pipeline shall be idempotent: re-running it from a clean state shall always reproduce a consistent schema and comparable data volumes.</w:t>
      </w:r>
    </w:p>
    <w:p>
      <w:pPr>
        <w:pStyle w:val="ListParagraph"/>
        <w:numPr>
          <w:ilvl w:val="0"/>
          <w:numId w:val="2"/>
        </w:numPr>
        <w:spacing w:after="80"/>
      </w:pPr>
      <w:r>
        <w:t xml:space="preserve">All pipeline stages shall fail loudly (non-zero exit code, logged error) rather than silently producing incomplete output.</w:t>
      </w:r>
    </w:p>
    <w:p>
      <w:pPr>
        <w:pStyle w:val="Heading2"/>
        <w:spacing w:after="120" w:before="280"/>
      </w:pPr>
      <w:r>
        <w:t xml:space="preserve">5.3 Maintainability</w:t>
      </w:r>
    </w:p>
    <w:p>
      <w:pPr>
        <w:pStyle w:val="ListParagraph"/>
        <w:numPr>
          <w:ilvl w:val="0"/>
          <w:numId w:val="2"/>
        </w:numPr>
        <w:spacing w:after="80"/>
      </w:pPr>
      <w:r>
        <w:t xml:space="preserve">Each module (data generation, ETL, each ML model) shall be independently runnable and testable.</w:t>
      </w:r>
    </w:p>
    <w:p>
      <w:pPr>
        <w:pStyle w:val="ListParagraph"/>
        <w:numPr>
          <w:ilvl w:val="0"/>
          <w:numId w:val="2"/>
        </w:numPr>
        <w:spacing w:after="80"/>
      </w:pPr>
      <w:r>
        <w:t xml:space="preserve">Database connection logic shall be centralized in a single module (db_connector.py) so the underlying database engine can be swapped with a one-line change.</w:t>
      </w:r>
    </w:p>
    <w:p>
      <w:pPr>
        <w:pStyle w:val="Heading2"/>
        <w:spacing w:after="120" w:before="280"/>
      </w:pPr>
      <w:r>
        <w:t xml:space="preserve">5.4 Portability</w:t>
      </w:r>
    </w:p>
    <w:p>
      <w:pPr>
        <w:pStyle w:val="ListParagraph"/>
        <w:numPr>
          <w:ilvl w:val="0"/>
          <w:numId w:val="2"/>
        </w:numPr>
        <w:spacing w:after="80"/>
      </w:pPr>
      <w:r>
        <w:t xml:space="preserve">The reference implementation shall run without any external service dependencies (no cloud account, no paid database required).</w:t>
      </w:r>
    </w:p>
    <w:p>
      <w:pPr>
        <w:pStyle w:val="ListParagraph"/>
        <w:numPr>
          <w:ilvl w:val="0"/>
          <w:numId w:val="2"/>
        </w:numPr>
        <w:spacing w:after="80"/>
      </w:pPr>
      <w:r>
        <w:t xml:space="preserve">The system shall be packaged with a Dockerfile enabling execution in any container-capable environment.</w:t>
      </w:r>
    </w:p>
    <w:p>
      <w:pPr>
        <w:pStyle w:val="Heading2"/>
        <w:spacing w:after="120" w:before="280"/>
      </w:pPr>
      <w:r>
        <w:t xml:space="preserve">5.5 Testability</w:t>
      </w:r>
    </w:p>
    <w:p>
      <w:pPr>
        <w:pStyle w:val="ListParagraph"/>
        <w:numPr>
          <w:ilvl w:val="0"/>
          <w:numId w:val="2"/>
        </w:numPr>
        <w:spacing w:after="80"/>
      </w:pPr>
      <w:r>
        <w:t xml:space="preserve">The system shall include automated tests covering: schema existence, referential integrity, data validity constraints, and ML output value ranges.</w:t>
      </w:r>
    </w:p>
    <w:p>
      <w:pPr>
        <w:pStyle w:val="Heading2"/>
        <w:spacing w:after="120" w:before="280"/>
      </w:pPr>
      <w:r>
        <w:t xml:space="preserve">5.6 Data Quality</w:t>
      </w:r>
    </w:p>
    <w:p>
      <w:pPr>
        <w:pStyle w:val="ListParagraph"/>
        <w:numPr>
          <w:ilvl w:val="0"/>
          <w:numId w:val="2"/>
        </w:numPr>
        <w:spacing w:after="80"/>
      </w:pPr>
      <w:r>
        <w:t xml:space="preserve">The ETL layer shall detect and remove duplicate records and invalid values (negative quantities, null required fields) prior to warehouse load.</w:t>
      </w:r>
    </w:p>
    <w:p>
      <w:pPr>
        <w:pStyle w:val="Heading1"/>
        <w:spacing w:after="160" w:before="360"/>
      </w:pPr>
      <w:r>
        <w:t xml:space="preserve">6. Data Requirements</w:t>
      </w:r>
    </w:p>
    <w:p>
      <w:pPr>
        <w:pStyle w:val="Heading2"/>
        <w:spacing w:after="120" w:before="280"/>
      </w:pPr>
      <w:r>
        <w:t xml:space="preserve">6.1 Core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Entity</w:t>
            </w:r>
          </w:p>
        </w:tc>
        <w:tc>
          <w:tcPr>
            <w:tcW w:type="dxa" w:w="4600"/>
            <w:shd w:fill="1F3864" w:val="clear"/>
            <w:tcMar>
              <w:top w:type="dxa" w:w="80"/>
              <w:left w:type="dxa" w:w="100"/>
              <w:bottom w:type="dxa" w:w="80"/>
              <w:right w:type="dxa" w:w="100"/>
            </w:tcMar>
          </w:tcPr>
          <w:p>
            <w:r>
              <w:rPr>
                <w:b/>
                <w:bCs/>
                <w:color w:val="FFFFFF"/>
                <w:sz w:val="20"/>
                <w:szCs w:val="20"/>
              </w:rPr>
              <w:t xml:space="preserve">Key Attributes</w:t>
            </w:r>
          </w:p>
        </w:tc>
        <w:tc>
          <w:tcPr>
            <w:tcW w:type="dxa" w:w="2400"/>
            <w:shd w:fill="1F3864" w:val="clear"/>
            <w:tcMar>
              <w:top w:type="dxa" w:w="80"/>
              <w:left w:type="dxa" w:w="100"/>
              <w:bottom w:type="dxa" w:w="80"/>
              <w:right w:type="dxa" w:w="100"/>
            </w:tcMar>
          </w:tcPr>
          <w:p>
            <w:r>
              <w:rPr>
                <w:b/>
                <w:bCs/>
                <w:color w:val="FFFFFF"/>
                <w:sz w:val="20"/>
                <w:szCs w:val="20"/>
              </w:rPr>
              <w:t xml:space="preserve">Approx. Volume</w:t>
            </w:r>
          </w:p>
        </w:tc>
      </w:tr>
      <w:tr>
        <w:tc>
          <w:tcPr>
            <w:tcW w:type="dxa" w:w="2000"/>
            <w:tcMar>
              <w:top w:type="dxa" w:w="80"/>
              <w:left w:type="dxa" w:w="100"/>
              <w:bottom w:type="dxa" w:w="80"/>
              <w:right w:type="dxa" w:w="100"/>
            </w:tcMar>
          </w:tcPr>
          <w:p>
            <w:r>
              <w:rPr>
                <w:b w:val="false"/>
                <w:bCs w:val="false"/>
                <w:sz w:val="20"/>
                <w:szCs w:val="20"/>
              </w:rPr>
              <w:t xml:space="preserve">Customer</w:t>
            </w:r>
          </w:p>
        </w:tc>
        <w:tc>
          <w:tcPr>
            <w:tcW w:type="dxa" w:w="4600"/>
            <w:tcMar>
              <w:top w:type="dxa" w:w="80"/>
              <w:left w:type="dxa" w:w="100"/>
              <w:bottom w:type="dxa" w:w="80"/>
              <w:right w:type="dxa" w:w="100"/>
            </w:tcMar>
          </w:tcPr>
          <w:p>
            <w:r>
              <w:rPr>
                <w:b w:val="false"/>
                <w:bCs w:val="false"/>
                <w:sz w:val="20"/>
                <w:szCs w:val="20"/>
              </w:rPr>
              <w:t xml:space="preserve">customer_id, region, age, signup_date</w:t>
            </w:r>
          </w:p>
        </w:tc>
        <w:tc>
          <w:tcPr>
            <w:tcW w:type="dxa" w:w="2400"/>
            <w:tcMar>
              <w:top w:type="dxa" w:w="80"/>
              <w:left w:type="dxa" w:w="100"/>
              <w:bottom w:type="dxa" w:w="80"/>
              <w:right w:type="dxa" w:w="100"/>
            </w:tcMar>
          </w:tcPr>
          <w:p>
            <w:r>
              <w:rPr>
                <w:b w:val="false"/>
                <w:bCs w:val="false"/>
                <w:sz w:val="20"/>
                <w:szCs w:val="20"/>
              </w:rPr>
              <w:t xml:space="preserve">2,000 records</w:t>
            </w:r>
          </w:p>
        </w:tc>
      </w:tr>
      <w:tr>
        <w:tc>
          <w:tcPr>
            <w:tcW w:type="dxa" w:w="2000"/>
            <w:shd w:fill="F2F2F2" w:val="clear"/>
            <w:tcMar>
              <w:top w:type="dxa" w:w="80"/>
              <w:left w:type="dxa" w:w="100"/>
              <w:bottom w:type="dxa" w:w="80"/>
              <w:right w:type="dxa" w:w="100"/>
            </w:tcMar>
          </w:tcPr>
          <w:p>
            <w:r>
              <w:rPr>
                <w:b w:val="false"/>
                <w:bCs w:val="false"/>
                <w:sz w:val="20"/>
                <w:szCs w:val="20"/>
              </w:rPr>
              <w:t xml:space="preserve">Product</w:t>
            </w:r>
          </w:p>
        </w:tc>
        <w:tc>
          <w:tcPr>
            <w:tcW w:type="dxa" w:w="4600"/>
            <w:shd w:fill="F2F2F2" w:val="clear"/>
            <w:tcMar>
              <w:top w:type="dxa" w:w="80"/>
              <w:left w:type="dxa" w:w="100"/>
              <w:bottom w:type="dxa" w:w="80"/>
              <w:right w:type="dxa" w:w="100"/>
            </w:tcMar>
          </w:tcPr>
          <w:p>
            <w:r>
              <w:rPr>
                <w:b w:val="false"/>
                <w:bCs w:val="false"/>
                <w:sz w:val="20"/>
                <w:szCs w:val="20"/>
              </w:rPr>
              <w:t xml:space="preserve">product_id, category, unit_cost, unit_price</w:t>
            </w:r>
          </w:p>
        </w:tc>
        <w:tc>
          <w:tcPr>
            <w:tcW w:type="dxa" w:w="2400"/>
            <w:shd w:fill="F2F2F2" w:val="clear"/>
            <w:tcMar>
              <w:top w:type="dxa" w:w="80"/>
              <w:left w:type="dxa" w:w="100"/>
              <w:bottom w:type="dxa" w:w="80"/>
              <w:right w:type="dxa" w:w="100"/>
            </w:tcMar>
          </w:tcPr>
          <w:p>
            <w:r>
              <w:rPr>
                <w:b w:val="false"/>
                <w:bCs w:val="false"/>
                <w:sz w:val="20"/>
                <w:szCs w:val="20"/>
              </w:rPr>
              <w:t xml:space="preserve">60 records</w:t>
            </w:r>
          </w:p>
        </w:tc>
      </w:tr>
      <w:tr>
        <w:tc>
          <w:tcPr>
            <w:tcW w:type="dxa" w:w="2000"/>
            <w:tcMar>
              <w:top w:type="dxa" w:w="80"/>
              <w:left w:type="dxa" w:w="100"/>
              <w:bottom w:type="dxa" w:w="80"/>
              <w:right w:type="dxa" w:w="100"/>
            </w:tcMar>
          </w:tcPr>
          <w:p>
            <w:r>
              <w:rPr>
                <w:b w:val="false"/>
                <w:bCs w:val="false"/>
                <w:sz w:val="20"/>
                <w:szCs w:val="20"/>
              </w:rPr>
              <w:t xml:space="preserve">Store</w:t>
            </w:r>
          </w:p>
        </w:tc>
        <w:tc>
          <w:tcPr>
            <w:tcW w:type="dxa" w:w="4600"/>
            <w:tcMar>
              <w:top w:type="dxa" w:w="80"/>
              <w:left w:type="dxa" w:w="100"/>
              <w:bottom w:type="dxa" w:w="80"/>
              <w:right w:type="dxa" w:w="100"/>
            </w:tcMar>
          </w:tcPr>
          <w:p>
            <w:r>
              <w:rPr>
                <w:b w:val="false"/>
                <w:bCs w:val="false"/>
                <w:sz w:val="20"/>
                <w:szCs w:val="20"/>
              </w:rPr>
              <w:t xml:space="preserve">store_id, region, city</w:t>
            </w:r>
          </w:p>
        </w:tc>
        <w:tc>
          <w:tcPr>
            <w:tcW w:type="dxa" w:w="2400"/>
            <w:tcMar>
              <w:top w:type="dxa" w:w="80"/>
              <w:left w:type="dxa" w:w="100"/>
              <w:bottom w:type="dxa" w:w="80"/>
              <w:right w:type="dxa" w:w="100"/>
            </w:tcMar>
          </w:tcPr>
          <w:p>
            <w:r>
              <w:rPr>
                <w:b w:val="false"/>
                <w:bCs w:val="false"/>
                <w:sz w:val="20"/>
                <w:szCs w:val="20"/>
              </w:rPr>
              <w:t xml:space="preserve">12 records</w:t>
            </w:r>
          </w:p>
        </w:tc>
      </w:tr>
      <w:tr>
        <w:tc>
          <w:tcPr>
            <w:tcW w:type="dxa" w:w="2000"/>
            <w:shd w:fill="F2F2F2" w:val="clear"/>
            <w:tcMar>
              <w:top w:type="dxa" w:w="80"/>
              <w:left w:type="dxa" w:w="100"/>
              <w:bottom w:type="dxa" w:w="80"/>
              <w:right w:type="dxa" w:w="100"/>
            </w:tcMar>
          </w:tcPr>
          <w:p>
            <w:r>
              <w:rPr>
                <w:b w:val="false"/>
                <w:bCs w:val="false"/>
                <w:sz w:val="20"/>
                <w:szCs w:val="20"/>
              </w:rPr>
              <w:t xml:space="preserve">Sales (Fact)</w:t>
            </w:r>
          </w:p>
        </w:tc>
        <w:tc>
          <w:tcPr>
            <w:tcW w:type="dxa" w:w="4600"/>
            <w:shd w:fill="F2F2F2" w:val="clear"/>
            <w:tcMar>
              <w:top w:type="dxa" w:w="80"/>
              <w:left w:type="dxa" w:w="100"/>
              <w:bottom w:type="dxa" w:w="80"/>
              <w:right w:type="dxa" w:w="100"/>
            </w:tcMar>
          </w:tcPr>
          <w:p>
            <w:r>
              <w:rPr>
                <w:b w:val="false"/>
                <w:bCs w:val="false"/>
                <w:sz w:val="20"/>
                <w:szCs w:val="20"/>
              </w:rPr>
              <w:t xml:space="preserve">order_id, date, customer, product, store, quantity, amount</w:t>
            </w:r>
          </w:p>
        </w:tc>
        <w:tc>
          <w:tcPr>
            <w:tcW w:type="dxa" w:w="2400"/>
            <w:shd w:fill="F2F2F2" w:val="clear"/>
            <w:tcMar>
              <w:top w:type="dxa" w:w="80"/>
              <w:left w:type="dxa" w:w="100"/>
              <w:bottom w:type="dxa" w:w="80"/>
              <w:right w:type="dxa" w:w="100"/>
            </w:tcMar>
          </w:tcPr>
          <w:p>
            <w:r>
              <w:rPr>
                <w:b w:val="false"/>
                <w:bCs w:val="false"/>
                <w:sz w:val="20"/>
                <w:szCs w:val="20"/>
              </w:rPr>
              <w:t xml:space="preserve">~78,000 records</w:t>
            </w:r>
          </w:p>
        </w:tc>
      </w:tr>
    </w:tbl>
    <w:p>
      <w:pPr>
        <w:pStyle w:val="Heading2"/>
        <w:spacing w:after="120" w:before="280"/>
      </w:pPr>
      <w:r>
        <w:t xml:space="preserve">6.2 Machine Learning Output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Table</w:t>
            </w:r>
          </w:p>
        </w:tc>
        <w:tc>
          <w:tcPr>
            <w:tcW w:type="dxa" w:w="4400"/>
            <w:shd w:fill="1F3864" w:val="clear"/>
            <w:tcMar>
              <w:top w:type="dxa" w:w="80"/>
              <w:left w:type="dxa" w:w="100"/>
              <w:bottom w:type="dxa" w:w="80"/>
              <w:right w:type="dxa" w:w="100"/>
            </w:tcMar>
          </w:tcPr>
          <w:p>
            <w:r>
              <w:rPr>
                <w:b/>
                <w:bCs/>
                <w:color w:val="FFFFFF"/>
                <w:sz w:val="20"/>
                <w:szCs w:val="20"/>
              </w:rPr>
              <w:t xml:space="preserve">Key Attributes</w:t>
            </w:r>
          </w:p>
        </w:tc>
        <w:tc>
          <w:tcPr>
            <w:tcW w:type="dxa" w:w="2000"/>
            <w:shd w:fill="1F3864" w:val="clear"/>
            <w:tcMar>
              <w:top w:type="dxa" w:w="80"/>
              <w:left w:type="dxa" w:w="100"/>
              <w:bottom w:type="dxa" w:w="80"/>
              <w:right w:type="dxa" w:w="100"/>
            </w:tcMar>
          </w:tcPr>
          <w:p>
            <w:r>
              <w:rPr>
                <w:b/>
                <w:bCs/>
                <w:color w:val="FFFFFF"/>
                <w:sz w:val="20"/>
                <w:szCs w:val="20"/>
              </w:rPr>
              <w:t xml:space="preserve">Written By</w:t>
            </w:r>
          </w:p>
        </w:tc>
      </w:tr>
      <w:tr>
        <w:tc>
          <w:tcPr>
            <w:tcW w:type="dxa" w:w="2600"/>
            <w:tcMar>
              <w:top w:type="dxa" w:w="80"/>
              <w:left w:type="dxa" w:w="100"/>
              <w:bottom w:type="dxa" w:w="80"/>
              <w:right w:type="dxa" w:w="100"/>
            </w:tcMar>
          </w:tcPr>
          <w:p>
            <w:r>
              <w:rPr>
                <w:b w:val="false"/>
                <w:bCs w:val="false"/>
                <w:sz w:val="20"/>
                <w:szCs w:val="20"/>
              </w:rPr>
              <w:t xml:space="preserve">ml_sales_forecast</w:t>
            </w:r>
          </w:p>
        </w:tc>
        <w:tc>
          <w:tcPr>
            <w:tcW w:type="dxa" w:w="4400"/>
            <w:tcMar>
              <w:top w:type="dxa" w:w="80"/>
              <w:left w:type="dxa" w:w="100"/>
              <w:bottom w:type="dxa" w:w="80"/>
              <w:right w:type="dxa" w:w="100"/>
            </w:tcMar>
          </w:tcPr>
          <w:p>
            <w:r>
              <w:rPr>
                <w:b w:val="false"/>
                <w:bCs w:val="false"/>
                <w:sz w:val="20"/>
                <w:szCs w:val="20"/>
              </w:rPr>
              <w:t xml:space="preserve">forecast_date, predicted_sales, lower_bound, upper_bound</w:t>
            </w:r>
          </w:p>
        </w:tc>
        <w:tc>
          <w:tcPr>
            <w:tcW w:type="dxa" w:w="2000"/>
            <w:tcMar>
              <w:top w:type="dxa" w:w="80"/>
              <w:left w:type="dxa" w:w="100"/>
              <w:bottom w:type="dxa" w:w="80"/>
              <w:right w:type="dxa" w:w="100"/>
            </w:tcMar>
          </w:tcPr>
          <w:p>
            <w:r>
              <w:rPr>
                <w:b w:val="false"/>
                <w:bCs w:val="false"/>
                <w:sz w:val="20"/>
                <w:szCs w:val="20"/>
              </w:rPr>
              <w:t xml:space="preserve">Forecasting Module</w:t>
            </w:r>
          </w:p>
        </w:tc>
      </w:tr>
      <w:tr>
        <w:tc>
          <w:tcPr>
            <w:tcW w:type="dxa" w:w="2600"/>
            <w:shd w:fill="F2F2F2" w:val="clear"/>
            <w:tcMar>
              <w:top w:type="dxa" w:w="80"/>
              <w:left w:type="dxa" w:w="100"/>
              <w:bottom w:type="dxa" w:w="80"/>
              <w:right w:type="dxa" w:w="100"/>
            </w:tcMar>
          </w:tcPr>
          <w:p>
            <w:r>
              <w:rPr>
                <w:b w:val="false"/>
                <w:bCs w:val="false"/>
                <w:sz w:val="20"/>
                <w:szCs w:val="20"/>
              </w:rPr>
              <w:t xml:space="preserve">ml_customer_churn</w:t>
            </w:r>
          </w:p>
        </w:tc>
        <w:tc>
          <w:tcPr>
            <w:tcW w:type="dxa" w:w="4400"/>
            <w:shd w:fill="F2F2F2" w:val="clear"/>
            <w:tcMar>
              <w:top w:type="dxa" w:w="80"/>
              <w:left w:type="dxa" w:w="100"/>
              <w:bottom w:type="dxa" w:w="80"/>
              <w:right w:type="dxa" w:w="100"/>
            </w:tcMar>
          </w:tcPr>
          <w:p>
            <w:r>
              <w:rPr>
                <w:b w:val="false"/>
                <w:bCs w:val="false"/>
                <w:sz w:val="20"/>
                <w:szCs w:val="20"/>
              </w:rPr>
              <w:t xml:space="preserve">customer_id, churn_probability, churn_risk_band</w:t>
            </w:r>
          </w:p>
        </w:tc>
        <w:tc>
          <w:tcPr>
            <w:tcW w:type="dxa" w:w="2000"/>
            <w:shd w:fill="F2F2F2" w:val="clear"/>
            <w:tcMar>
              <w:top w:type="dxa" w:w="80"/>
              <w:left w:type="dxa" w:w="100"/>
              <w:bottom w:type="dxa" w:w="80"/>
              <w:right w:type="dxa" w:w="100"/>
            </w:tcMar>
          </w:tcPr>
          <w:p>
            <w:r>
              <w:rPr>
                <w:b w:val="false"/>
                <w:bCs w:val="false"/>
                <w:sz w:val="20"/>
                <w:szCs w:val="20"/>
              </w:rPr>
              <w:t xml:space="preserve">Churn Module</w:t>
            </w:r>
          </w:p>
        </w:tc>
      </w:tr>
      <w:tr>
        <w:tc>
          <w:tcPr>
            <w:tcW w:type="dxa" w:w="2600"/>
            <w:tcMar>
              <w:top w:type="dxa" w:w="80"/>
              <w:left w:type="dxa" w:w="100"/>
              <w:bottom w:type="dxa" w:w="80"/>
              <w:right w:type="dxa" w:w="100"/>
            </w:tcMar>
          </w:tcPr>
          <w:p>
            <w:r>
              <w:rPr>
                <w:b w:val="false"/>
                <w:bCs w:val="false"/>
                <w:sz w:val="20"/>
                <w:szCs w:val="20"/>
              </w:rPr>
              <w:t xml:space="preserve">ml_customer_segments</w:t>
            </w:r>
          </w:p>
        </w:tc>
        <w:tc>
          <w:tcPr>
            <w:tcW w:type="dxa" w:w="4400"/>
            <w:tcMar>
              <w:top w:type="dxa" w:w="80"/>
              <w:left w:type="dxa" w:w="100"/>
              <w:bottom w:type="dxa" w:w="80"/>
              <w:right w:type="dxa" w:w="100"/>
            </w:tcMar>
          </w:tcPr>
          <w:p>
            <w:r>
              <w:rPr>
                <w:b w:val="false"/>
                <w:bCs w:val="false"/>
                <w:sz w:val="20"/>
                <w:szCs w:val="20"/>
              </w:rPr>
              <w:t xml:space="preserve">customer_id, recency, frequency, monetary, rfm_segment</w:t>
            </w:r>
          </w:p>
        </w:tc>
        <w:tc>
          <w:tcPr>
            <w:tcW w:type="dxa" w:w="2000"/>
            <w:tcMar>
              <w:top w:type="dxa" w:w="80"/>
              <w:left w:type="dxa" w:w="100"/>
              <w:bottom w:type="dxa" w:w="80"/>
              <w:right w:type="dxa" w:w="100"/>
            </w:tcMar>
          </w:tcPr>
          <w:p>
            <w:r>
              <w:rPr>
                <w:b w:val="false"/>
                <w:bCs w:val="false"/>
                <w:sz w:val="20"/>
                <w:szCs w:val="20"/>
              </w:rPr>
              <w:t xml:space="preserve">Segmentation Module</w:t>
            </w:r>
          </w:p>
        </w:tc>
      </w:tr>
    </w:tbl>
    <w:p>
      <w:pPr>
        <w:pStyle w:val="Heading1"/>
        <w:spacing w:after="160" w:before="360"/>
      </w:pPr>
      <w:r>
        <w:t xml:space="preserve">7. External Interface Requirements</w:t>
      </w:r>
    </w:p>
    <w:p>
      <w:pPr>
        <w:pStyle w:val="Heading2"/>
        <w:spacing w:after="120" w:before="280"/>
      </w:pPr>
      <w:r>
        <w:t xml:space="preserve">7.1 Database Interface</w:t>
      </w:r>
    </w:p>
    <w:p>
      <w:pPr>
        <w:spacing w:after="160"/>
      </w:pPr>
      <w:r>
        <w:t xml:space="preserve">All modules interact with the warehouse exclusively through the shared db_connector module, which exposes read_query() and write_table() functions. This is the sole integration point for swapping the underlying database engine.</w:t>
      </w:r>
    </w:p>
    <w:p>
      <w:pPr>
        <w:pStyle w:val="Heading2"/>
        <w:spacing w:after="120" w:before="280"/>
      </w:pPr>
      <w:r>
        <w:t xml:space="preserve">7.2 Power BI Interface</w:t>
      </w:r>
    </w:p>
    <w:p>
      <w:pPr>
        <w:spacing w:after="160"/>
      </w:pPr>
      <w:r>
        <w:t xml:space="preserve">Power BI connects either via ODBC (SQLite driver, DirectQuery-capable) or by importing CSV exports produced by the export_for_powerbi.py script. Both paths expose the identical set of fact, dimension, and ML output tables.</w:t>
      </w:r>
    </w:p>
    <w:p>
      <w:pPr>
        <w:pStyle w:val="Heading2"/>
        <w:spacing w:after="120" w:before="280"/>
      </w:pPr>
      <w:r>
        <w:t xml:space="preserve">7.3 Command-Line Interface</w:t>
      </w:r>
    </w:p>
    <w:p>
      <w:pPr>
        <w:spacing w:after="160"/>
      </w:pPr>
      <w:r>
        <w:t xml:space="preserve">The system exposes a single command-line entry point (python run_pipeline.py) with no required arguments, executing all stages sequentially and logging progress to stdout.</w:t>
      </w:r>
    </w:p>
    <w:p>
      <w:pPr>
        <w:pStyle w:val="Heading1"/>
        <w:spacing w:after="160" w:before="360"/>
      </w:pPr>
      <w:r>
        <w:t xml:space="preserve">8. Acceptance Criteria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4200"/>
      </w:tblGrid>
      <w:tr>
        <w:trPr>
          <w:tblHeader/>
        </w:trPr>
        <w:tc>
          <w:tcPr>
            <w:tcW w:type="dxa" w:w="4400"/>
            <w:shd w:fill="1F3864" w:val="clear"/>
            <w:tcMar>
              <w:top w:type="dxa" w:w="80"/>
              <w:left w:type="dxa" w:w="100"/>
              <w:bottom w:type="dxa" w:w="80"/>
              <w:right w:type="dxa" w:w="100"/>
            </w:tcMar>
          </w:tcPr>
          <w:p>
            <w:r>
              <w:rPr>
                <w:b/>
                <w:bCs/>
                <w:color w:val="FFFFFF"/>
                <w:sz w:val="20"/>
                <w:szCs w:val="20"/>
              </w:rPr>
              <w:t xml:space="preserve">Criterion</w:t>
            </w:r>
          </w:p>
        </w:tc>
        <w:tc>
          <w:tcPr>
            <w:tcW w:type="dxa" w:w="4200"/>
            <w:shd w:fill="1F3864" w:val="clear"/>
            <w:tcMar>
              <w:top w:type="dxa" w:w="80"/>
              <w:left w:type="dxa" w:w="100"/>
              <w:bottom w:type="dxa" w:w="80"/>
              <w:right w:type="dxa" w:w="100"/>
            </w:tcMar>
          </w:tcPr>
          <w:p>
            <w:r>
              <w:rPr>
                <w:b/>
                <w:bCs/>
                <w:color w:val="FFFFFF"/>
                <w:sz w:val="20"/>
                <w:szCs w:val="20"/>
              </w:rPr>
              <w:t xml:space="preserve">Target</w:t>
            </w:r>
          </w:p>
        </w:tc>
      </w:tr>
      <w:tr>
        <w:tc>
          <w:tcPr>
            <w:tcW w:type="dxa" w:w="4400"/>
            <w:tcMar>
              <w:top w:type="dxa" w:w="80"/>
              <w:left w:type="dxa" w:w="100"/>
              <w:bottom w:type="dxa" w:w="80"/>
              <w:right w:type="dxa" w:w="100"/>
            </w:tcMar>
          </w:tcPr>
          <w:p>
            <w:r>
              <w:rPr>
                <w:b w:val="false"/>
                <w:bCs w:val="false"/>
                <w:sz w:val="20"/>
                <w:szCs w:val="20"/>
              </w:rPr>
              <w:t xml:space="preserve">Full pipeline execution</w:t>
            </w:r>
          </w:p>
        </w:tc>
        <w:tc>
          <w:tcPr>
            <w:tcW w:type="dxa" w:w="4200"/>
            <w:tcMar>
              <w:top w:type="dxa" w:w="80"/>
              <w:left w:type="dxa" w:w="100"/>
              <w:bottom w:type="dxa" w:w="80"/>
              <w:right w:type="dxa" w:w="100"/>
            </w:tcMar>
          </w:tcPr>
          <w:p>
            <w:r>
              <w:rPr>
                <w:b w:val="false"/>
                <w:bCs w:val="false"/>
                <w:sz w:val="20"/>
                <w:szCs w:val="20"/>
              </w:rPr>
              <w:t xml:space="preserve">Completes with exit code 0 from a clean state</w:t>
            </w:r>
          </w:p>
        </w:tc>
      </w:tr>
      <w:tr>
        <w:tc>
          <w:tcPr>
            <w:tcW w:type="dxa" w:w="4400"/>
            <w:shd w:fill="F2F2F2" w:val="clear"/>
            <w:tcMar>
              <w:top w:type="dxa" w:w="80"/>
              <w:left w:type="dxa" w:w="100"/>
              <w:bottom w:type="dxa" w:w="80"/>
              <w:right w:type="dxa" w:w="100"/>
            </w:tcMar>
          </w:tcPr>
          <w:p>
            <w:r>
              <w:rPr>
                <w:b w:val="false"/>
                <w:bCs w:val="false"/>
                <w:sz w:val="20"/>
                <w:szCs w:val="20"/>
              </w:rPr>
              <w:t xml:space="preserve">Automated test suite</w:t>
            </w:r>
          </w:p>
        </w:tc>
        <w:tc>
          <w:tcPr>
            <w:tcW w:type="dxa" w:w="4200"/>
            <w:shd w:fill="F2F2F2" w:val="clear"/>
            <w:tcMar>
              <w:top w:type="dxa" w:w="80"/>
              <w:left w:type="dxa" w:w="100"/>
              <w:bottom w:type="dxa" w:w="80"/>
              <w:right w:type="dxa" w:w="100"/>
            </w:tcMar>
          </w:tcPr>
          <w:p>
            <w:r>
              <w:rPr>
                <w:b w:val="false"/>
                <w:bCs w:val="false"/>
                <w:sz w:val="20"/>
                <w:szCs w:val="20"/>
              </w:rPr>
              <w:t xml:space="preserve">100% pass rate (data integrity + model sanity checks)</w:t>
            </w:r>
          </w:p>
        </w:tc>
      </w:tr>
      <w:tr>
        <w:tc>
          <w:tcPr>
            <w:tcW w:type="dxa" w:w="4400"/>
            <w:tcMar>
              <w:top w:type="dxa" w:w="80"/>
              <w:left w:type="dxa" w:w="100"/>
              <w:bottom w:type="dxa" w:w="80"/>
              <w:right w:type="dxa" w:w="100"/>
            </w:tcMar>
          </w:tcPr>
          <w:p>
            <w:r>
              <w:rPr>
                <w:b w:val="false"/>
                <w:bCs w:val="false"/>
                <w:sz w:val="20"/>
                <w:szCs w:val="20"/>
              </w:rPr>
              <w:t xml:space="preserve">Forecast model performance</w:t>
            </w:r>
          </w:p>
        </w:tc>
        <w:tc>
          <w:tcPr>
            <w:tcW w:type="dxa" w:w="4200"/>
            <w:tcMar>
              <w:top w:type="dxa" w:w="80"/>
              <w:left w:type="dxa" w:w="100"/>
              <w:bottom w:type="dxa" w:w="80"/>
              <w:right w:type="dxa" w:w="100"/>
            </w:tcMar>
          </w:tcPr>
          <w:p>
            <w:r>
              <w:rPr>
                <w:b w:val="false"/>
                <w:bCs w:val="false"/>
                <w:sz w:val="20"/>
                <w:szCs w:val="20"/>
              </w:rPr>
              <w:t xml:space="preserve">Backtested MAPE reported and compared against naive baseline</w:t>
            </w:r>
          </w:p>
        </w:tc>
      </w:tr>
      <w:tr>
        <w:tc>
          <w:tcPr>
            <w:tcW w:type="dxa" w:w="4400"/>
            <w:shd w:fill="F2F2F2" w:val="clear"/>
            <w:tcMar>
              <w:top w:type="dxa" w:w="80"/>
              <w:left w:type="dxa" w:w="100"/>
              <w:bottom w:type="dxa" w:w="80"/>
              <w:right w:type="dxa" w:w="100"/>
            </w:tcMar>
          </w:tcPr>
          <w:p>
            <w:r>
              <w:rPr>
                <w:b w:val="false"/>
                <w:bCs w:val="false"/>
                <w:sz w:val="20"/>
                <w:szCs w:val="20"/>
              </w:rPr>
              <w:t xml:space="preserve">Churn model performance</w:t>
            </w:r>
          </w:p>
        </w:tc>
        <w:tc>
          <w:tcPr>
            <w:tcW w:type="dxa" w:w="4200"/>
            <w:shd w:fill="F2F2F2" w:val="clear"/>
            <w:tcMar>
              <w:top w:type="dxa" w:w="80"/>
              <w:left w:type="dxa" w:w="100"/>
              <w:bottom w:type="dxa" w:w="80"/>
              <w:right w:type="dxa" w:w="100"/>
            </w:tcMar>
          </w:tcPr>
          <w:p>
            <w:r>
              <w:rPr>
                <w:b w:val="false"/>
                <w:bCs w:val="false"/>
                <w:sz w:val="20"/>
                <w:szCs w:val="20"/>
              </w:rPr>
              <w:t xml:space="preserve">AUC-ROC ≥ 0.80 on held-out test set</w:t>
            </w:r>
          </w:p>
        </w:tc>
      </w:tr>
      <w:tr>
        <w:tc>
          <w:tcPr>
            <w:tcW w:type="dxa" w:w="4400"/>
            <w:tcMar>
              <w:top w:type="dxa" w:w="80"/>
              <w:left w:type="dxa" w:w="100"/>
              <w:bottom w:type="dxa" w:w="80"/>
              <w:right w:type="dxa" w:w="100"/>
            </w:tcMar>
          </w:tcPr>
          <w:p>
            <w:r>
              <w:rPr>
                <w:b w:val="false"/>
                <w:bCs w:val="false"/>
                <w:sz w:val="20"/>
                <w:szCs w:val="20"/>
              </w:rPr>
              <w:t xml:space="preserve">Segmentation coverage</w:t>
            </w:r>
          </w:p>
        </w:tc>
        <w:tc>
          <w:tcPr>
            <w:tcW w:type="dxa" w:w="4200"/>
            <w:tcMar>
              <w:top w:type="dxa" w:w="80"/>
              <w:left w:type="dxa" w:w="100"/>
              <w:bottom w:type="dxa" w:w="80"/>
              <w:right w:type="dxa" w:w="100"/>
            </w:tcMar>
          </w:tcPr>
          <w:p>
            <w:r>
              <w:rPr>
                <w:b w:val="false"/>
                <w:bCs w:val="false"/>
                <w:sz w:val="20"/>
                <w:szCs w:val="20"/>
              </w:rPr>
              <w:t xml:space="preserve">100% of active customers assigned exactly one segment label</w:t>
            </w:r>
          </w:p>
        </w:tc>
      </w:tr>
      <w:tr>
        <w:tc>
          <w:tcPr>
            <w:tcW w:type="dxa" w:w="4400"/>
            <w:shd w:fill="F2F2F2" w:val="clear"/>
            <w:tcMar>
              <w:top w:type="dxa" w:w="80"/>
              <w:left w:type="dxa" w:w="100"/>
              <w:bottom w:type="dxa" w:w="80"/>
              <w:right w:type="dxa" w:w="100"/>
            </w:tcMar>
          </w:tcPr>
          <w:p>
            <w:r>
              <w:rPr>
                <w:b w:val="false"/>
                <w:bCs w:val="false"/>
                <w:sz w:val="20"/>
                <w:szCs w:val="20"/>
              </w:rPr>
              <w:t xml:space="preserve">CI/CD</w:t>
            </w:r>
          </w:p>
        </w:tc>
        <w:tc>
          <w:tcPr>
            <w:tcW w:type="dxa" w:w="4200"/>
            <w:shd w:fill="F2F2F2" w:val="clear"/>
            <w:tcMar>
              <w:top w:type="dxa" w:w="80"/>
              <w:left w:type="dxa" w:w="100"/>
              <w:bottom w:type="dxa" w:w="80"/>
              <w:right w:type="dxa" w:w="100"/>
            </w:tcMar>
          </w:tcPr>
          <w:p>
            <w:r>
              <w:rPr>
                <w:b w:val="false"/>
                <w:bCs w:val="false"/>
                <w:sz w:val="20"/>
                <w:szCs w:val="20"/>
              </w:rPr>
              <w:t xml:space="preserve">Pipeline and tests pass automatically on every push to main branch</w:t>
            </w:r>
          </w:p>
        </w:tc>
      </w:tr>
    </w:tbl>
    <w:p>
      <w:pPr>
        <w:pStyle w:val="Heading1"/>
        <w:spacing w:after="160" w:before="360"/>
      </w:pPr>
      <w:r>
        <w:t xml:space="preserve">9. Future Enhancements</w:t>
      </w:r>
    </w:p>
    <w:p>
      <w:pPr>
        <w:pStyle w:val="ListParagraph"/>
        <w:numPr>
          <w:ilvl w:val="0"/>
          <w:numId w:val="2"/>
        </w:numPr>
        <w:spacing w:after="80"/>
      </w:pPr>
      <w:r>
        <w:t xml:space="preserve">Migrate warehouse from SQLite to SQL Server or PostgreSQL for concurrent multi-user access</w:t>
      </w:r>
    </w:p>
    <w:p>
      <w:pPr>
        <w:pStyle w:val="ListParagraph"/>
        <w:numPr>
          <w:ilvl w:val="0"/>
          <w:numId w:val="2"/>
        </w:numPr>
        <w:spacing w:after="80"/>
      </w:pPr>
      <w:r>
        <w:t xml:space="preserve">Add a FastAPI serving layer to expose model predictions as a real-time REST endpoint</w:t>
      </w:r>
    </w:p>
    <w:p>
      <w:pPr>
        <w:pStyle w:val="ListParagraph"/>
        <w:numPr>
          <w:ilvl w:val="0"/>
          <w:numId w:val="2"/>
        </w:numPr>
        <w:spacing w:after="80"/>
      </w:pPr>
      <w:r>
        <w:t xml:space="preserve">Incorporate real holiday and promotional calendars to improve forecast accuracy</w:t>
      </w:r>
    </w:p>
    <w:p>
      <w:pPr>
        <w:pStyle w:val="ListParagraph"/>
        <w:numPr>
          <w:ilvl w:val="0"/>
          <w:numId w:val="2"/>
        </w:numPr>
        <w:spacing w:after="80"/>
      </w:pPr>
      <w:r>
        <w:t xml:space="preserve">Add model monitoring for data/prediction drift (e.g., Evidently AI)</w:t>
      </w:r>
    </w:p>
    <w:p>
      <w:pPr>
        <w:pStyle w:val="ListParagraph"/>
        <w:numPr>
          <w:ilvl w:val="0"/>
          <w:numId w:val="2"/>
        </w:numPr>
        <w:spacing w:after="80"/>
      </w:pPr>
      <w:r>
        <w:t xml:space="preserve">Publish a pre-built Power BI (.pbix) file alongside the CSV/DAX specification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2026-09-30T17:14:23.932Z</dcterms:created>
  <dcterms:modified xsi:type="dcterms:W3CDTF">2026-09-30T17:14:23.932Z</dcterms:modified>
</cp:coreProperties>
</file>

<file path=docProps/custom.xml><?xml version="1.0" encoding="utf-8"?>
<Properties xmlns="http://schemas.openxmlformats.org/officeDocument/2006/custom-properties" xmlns:vt="http://schemas.openxmlformats.org/officeDocument/2006/docPropsVTypes"/>
</file>