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maps and reconstructions are often edited long after capture. A small physical change can still force broad recomputation because geometry, Gaussian state, GPU records, and temporal history depend on one another. We present</w:t>
      </w:r>
      <w:r>
        <w:t xml:space="preserve"> </w:t>
      </w:r>
      <w:r>
        <w:rPr>
          <w:iCs/>
          <w:i/>
        </w:rPr>
        <w:t xml:space="preserve">Criticality-Bounded Revision Cones</w:t>
      </w:r>
      <w:r>
        <w:t xml:space="preserve"> </w:t>
      </w:r>
      <w:r>
        <w:t xml:space="preserve">(CBRC), a fail-closed rule for deciding when a revision may remain local. For a candidate repair, CBRC closes structural dependencies exactly, bounds the output effect of state left untouched, and compares the repair’s calibrated work with a frozen full-rebuild baseline. If a protected output exceeds tolerance, an analytic assumption is unsupported, or locality ceases to be cheaper, the system selects</w:t>
      </w:r>
      <w:r>
        <w:t xml:space="preserve"> </w:t>
      </w:r>
      <w:r>
        <w:rPr>
          <w:smallCaps/>
        </w:rPr>
        <w:t xml:space="preserve">Full</w:t>
      </w:r>
      <w:r>
        <w:t xml:space="preserve">.</w:t>
      </w:r>
    </w:p>
    <w:p>
      <w:pPr>
        <w:pStyle w:val="BodyText"/>
      </w:pPr>
      <w:r>
        <w:t xml:space="preserve">We evaluate CBRC in MAVEB, a research prototype built on the AETHER C++23 persistent-world stack. The broad campaign contains 1,275 revisions over 85 scenes from 3RScan, ARKitScenes, Bonn RGB-D Dynamic, and pinned trained GraphDECO 3DGS. It produces 935 certified</w:t>
      </w:r>
      <w:r>
        <w:t xml:space="preserve"> </w:t>
      </w:r>
      <w:r>
        <w:rPr>
          <w:smallCaps/>
        </w:rPr>
        <w:t xml:space="preserve">Local</w:t>
      </w:r>
      <w:r>
        <w:t xml:space="preserve"> </w:t>
      </w:r>
      <w:r>
        <w:t xml:space="preserve">repairs and 340 automatic</w:t>
      </w:r>
      <w:r>
        <w:t xml:space="preserve"> </w:t>
      </w:r>
      <w:r>
        <w:rPr>
          <w:smallCaps/>
        </w:rPr>
        <w:t xml:space="preserve">Full</w:t>
      </w:r>
      <w:r>
        <w:t xml:space="preserve"> </w:t>
      </w:r>
      <w:r>
        <w:t xml:space="preserve">fallbacks with no observed certificate violation. Median calibrated selected work is 0.474 of</w:t>
      </w:r>
      <w:r>
        <w:t xml:space="preserve"> </w:t>
      </w:r>
      <w:r>
        <w:rPr>
          <w:smallCaps/>
        </w:rPr>
        <w:t xml:space="preserve">Full</w:t>
      </w:r>
      <w:r>
        <w:t xml:space="preserve">, or 52.6% lower on the frozen work scale; dataset medians range from 0.341 to 0.519. This is a heterogeneous work metric rather than a wall-clock speedup claim. Every selected output matches an independently generated</w:t>
      </w:r>
      <w:r>
        <w:t xml:space="preserve"> </w:t>
      </w:r>
      <w:r>
        <w:rPr>
          <w:smallCaps/>
        </w:rPr>
        <w:t xml:space="preserve">Full</w:t>
      </w:r>
      <w:r>
        <w:t xml:space="preserve">-after raster at the audited 8-bit precision.</w:t>
      </w:r>
    </w:p>
    <w:p>
      <w:pPr>
        <w:pStyle w:val="BodyText"/>
      </w:pPr>
      <w:r>
        <w:t xml:space="preserve">The exact broad campaign cannot show whether a useful non-zero residual can still be certified. We therefore freeze a separate residual-sensitive sequence. Its first diagnostic shows that the original display bound rejects every non-zero residual. An opacity-only, delta-sensitive bound then restores certified non-zero locality, and an outcome-blind confirmation repeats the unchanged mechanism on 20 independently selected scenes. Non-zero opacity locality and tolerance crossover occur in all 20 confirmatory scenes while the translation control remains at zero; the paired scene-level difference is 0.477 with a dataset-stratified bootstrap 95% interval of [0.432, 0.517]. The resulting claim is deliberately bounded: selective maintenance reduces measured work when the untouched exterior can be certified, while unsupported cases automatically expand to full recomputation.</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Captured 3D worlds rarely stay frozen. Furniture moves after a room scan, an AR map is revisited after objects appear or disappear, and a digital twin is updated after a local intervention. The stored world is also more than geometry: observations feed reconstruction, reconstructed state determines Gaussian support and appearance, GPU records mirror persistent entities, and temporal filters reuse earlier screen-space history. A small physical edit can therefore spread through several kinds of derived state.</w:t>
      </w:r>
    </w:p>
    <w:p>
      <w:pPr>
        <w:pStyle w:val="BodyText"/>
      </w:pPr>
      <w:r>
        <w:t xml:space="preserve">A full rebuild is the simplest safe response because it recomputes every dependent quantity from the revised input. Classical reconstruction systems make that reference behavior easy to define</w:t>
      </w:r>
      <w:r>
        <w:t xml:space="preserve"> </w:t>
      </w:r>
      <w:r>
        <w:t xml:space="preserve">(Curless and Levoy 1996; Newcombe et al. 2011; Dai et al. 2017)</w:t>
      </w:r>
      <w:r>
        <w:t xml:space="preserve">. It is also unnecessarily expensive when most of the world is unaffected. Explicit Gaussian and hybrid representations make this mismatch visible because the changed primitives and their downstream state can often be identified directly</w:t>
      </w:r>
      <w:r>
        <w:t xml:space="preserve"> </w:t>
      </w:r>
      <w:r>
        <w:t xml:space="preserve">(Kerbl et al. 2023; Keetha et al. 2024; Matsuki et al. 2024)</w:t>
      </w:r>
      <w:r>
        <w:t xml:space="preserve">. Continual Gaussian systems already exploit locality to focus optimization or manage stale observations</w:t>
      </w:r>
      <w:r>
        <w:t xml:space="preserve"> </w:t>
      </w:r>
      <w:r>
        <w:t xml:space="preserve">(Ackermann et al. 2025; Zeng et al. 2025; Yugay et al. 2026)</w:t>
      </w:r>
      <w:r>
        <w:t xml:space="preserve">. The remaining systems question is whether the state left untouched can be justified rather than merely assumed safe.</w:t>
      </w:r>
    </w:p>
    <w:p>
      <w:pPr>
        <w:pStyle w:val="BodyText"/>
      </w:pPr>
      <w:r>
        <w:t xml:space="preserve">This paper asks one concrete question:</w:t>
      </w:r>
      <w:r>
        <w:t xml:space="preserve"> </w:t>
      </w:r>
      <w:r>
        <w:rPr>
          <w:iCs/>
          <w:i/>
        </w:rPr>
        <w:t xml:space="preserve">when may a persistent captured world repair less than the whole scene while keeping an explicit output-error contract?</w:t>
      </w:r>
      <w:r>
        <w:t xml:space="preserve"> </w:t>
      </w:r>
      <w:r>
        <w:t xml:space="preserve">Structural dependencies such as ownership, persistent identity, publication, or unstable temporal invalidation require exact recomputation. Other effects have finite influence that can be bounded. A useful revision rule therefore needs both exact closure and conservative error accounting, followed by a full fallback whenever either argument breaks.</w:t>
      </w:r>
    </w:p>
    <w:p>
      <w:pPr>
        <w:pStyle w:val="BodyText"/>
      </w:pPr>
      <w:r>
        <w:rPr>
          <w:iCs/>
          <w:i/>
        </w:rPr>
        <w:t xml:space="preserve">Criticality-Bounded Revision Cones</w:t>
      </w:r>
      <w:r>
        <w:t xml:space="preserve"> </w:t>
      </w:r>
      <w:r>
        <w:t xml:space="preserve">(CBRC) implement that rule on a typed dependency graph.</w:t>
      </w:r>
      <w:r>
        <w:t xml:space="preserve"> </w:t>
      </w:r>
      <w:r>
        <w:rPr>
          <w:smallCaps/>
        </w:rPr>
        <w:t xml:space="preserve">Hard</w:t>
      </w:r>
      <w:r>
        <w:t xml:space="preserve"> </w:t>
      </w:r>
      <w:r>
        <w:t xml:space="preserve">edges are exact requirements.</w:t>
      </w:r>
      <w:r>
        <w:t xml:space="preserve"> </w:t>
      </w:r>
      <w:r>
        <w:rPr>
          <w:smallCaps/>
        </w:rPr>
        <w:t xml:space="preserve">Analytic</w:t>
      </w:r>
      <w:r>
        <w:t xml:space="preserve"> </w:t>
      </w:r>
      <w:r>
        <w:t xml:space="preserve">edges carry conservative finite-change bounds.</w:t>
      </w:r>
      <w:r>
        <w:t xml:space="preserve"> </w:t>
      </w:r>
      <w:r>
        <w:rPr>
          <w:smallCaps/>
        </w:rPr>
        <w:t xml:space="preserve">Empirical</w:t>
      </w:r>
      <w:r>
        <w:t xml:space="preserve"> </w:t>
      </w:r>
      <w:r>
        <w:t xml:space="preserve">information may prioritize which candidate cone to try first, but it never certifies safety. For a proposed repair cone</w:t>
      </w:r>
      <w:r>
        <w:t xml:space="preserve"> </w:t>
      </w:r>
      <m:oMath>
        <m:r>
          <m:t>C</m:t>
        </m:r>
      </m:oMath>
      <w:r>
        <w:t xml:space="preserve">, the system bounds the residual effect of the unrepaired exterior on declared output quantities and compares that bound with an explicit tolerance. It also compares the calibrated work of the local repair with a separately measured</w:t>
      </w:r>
      <w:r>
        <w:t xml:space="preserve"> </w:t>
      </w:r>
      <w:r>
        <w:rPr>
          <w:smallCaps/>
        </w:rPr>
        <w:t xml:space="preserve">Full</w:t>
      </w:r>
      <w:r>
        <w:t xml:space="preserve"> </w:t>
      </w:r>
      <w:r>
        <w:t xml:space="preserve">baseline. A local result is published only when both tests pass.</w:t>
      </w:r>
    </w:p>
    <w:p>
      <w:pPr>
        <w:pStyle w:val="BodyText"/>
      </w:pPr>
      <w:r>
        <w:t xml:space="preserve">The individual mathematical tools are established: graph closure, non-negative influence propagation, norm bounds, Neumann-series reasoning, greedy search, and goal-oriented error control all have prior foundations. The contribution here is the captured-world revision contract that makes those tools participate in one executable decision. Exact structural closure, bounded exterior influence, output tolerances, work crossover, automatic</w:t>
      </w:r>
      <w:r>
        <w:t xml:space="preserve"> </w:t>
      </w:r>
      <w:r>
        <w:rPr>
          <w:smallCaps/>
        </w:rPr>
        <w:t xml:space="preserve">Full</w:t>
      </w:r>
      <w:r>
        <w:t xml:space="preserve"> </w:t>
      </w:r>
      <w:r>
        <w:t xml:space="preserve">fallback, immutable evidence, and independent full-after falsification are evaluated together rather than as separate mechanisms.</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The broad campaign spans four dataset families, seeded and trained Gaussian representations, and four edit types; it exercises both</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outcomes and validates every selected result against independent full-after replay. Detailed counts, confidence intervals, and work ratios appear in Section 7. The central behavior is that stronger coupling increasingly drives the fail-closed path while selected outputs remain consistent with the independent reference.</w:t>
      </w:r>
    </w:p>
    <w:p>
      <w:pPr>
        <w:pStyle w:val="BodyText"/>
      </w:pPr>
      <w:r>
        <w:t xml:space="preserve">The broad campaign deliberately uses exact selected-to-full agreement, which leaves bounded non-zero residuals untested. A second frozen experiment line addresses that question: a diagnostic identifies the original certificate bottleneck, a mechanism study changes only the opacity residual certificate while retaining translation as a control, and a final confirmatory study repeats the unchanged mechanism on independently ranked scenes from the same four dataset families. This staging separates diagnosis, mechanism change, and confirmation and prevents the same campaign from serving as both tuning and evidence.</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captured-world revision contract that closes exact structural dependencies and bounds the output effect of state left outside a candidate repair;</w:t>
      </w:r>
    </w:p>
    <w:p>
      <w:pPr>
        <w:numPr>
          <w:ilvl w:val="0"/>
          <w:numId w:val="1001"/>
        </w:numPr>
      </w:pPr>
      <w:r>
        <w:t xml:space="preserve">output-specific certification for selective Gaussian repair, including a magnitude-sensitive opacity path, with unsupported or unstable cases routed to</w:t>
      </w:r>
      <w:r>
        <w:t xml:space="preserve"> </w:t>
      </w:r>
      <w:r>
        <w:rPr>
          <w:smallCaps/>
        </w:rPr>
        <w:t xml:space="preserve">Full</w:t>
      </w:r>
      <w:r>
        <w:t xml:space="preserve">;</w:t>
      </w:r>
    </w:p>
    <w:p>
      <w:pPr>
        <w:numPr>
          <w:ilvl w:val="0"/>
          <w:numId w:val="1001"/>
        </w:numPr>
      </w:pPr>
      <w:r>
        <w:t xml:space="preserve">a work-aware planner, deterministic evidence records, a dense reference certifier, and an independent full-after oracle that can falsify the selected result; and</w:t>
      </w:r>
    </w:p>
    <w:p>
      <w:pPr>
        <w:numPr>
          <w:ilvl w:val="0"/>
          <w:numId w:val="1001"/>
        </w:numPr>
      </w:pPr>
      <w:r>
        <w:t xml:space="preserve">a staged evaluation over 1,275 revisions and 85 scenes, followed by a separate residual-sensitive diagnostic, mechanism study, and 20-scene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 Correctness labels in the image apply under the declared bound assumptions and revision domain; the figure makes no wall-clock or universal-safety claim.</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instead of a global state norm</w:t>
      </w:r>
      <w:r>
        <w:t xml:space="preserve"> </w:t>
      </w:r>
      <w:r>
        <w:t xml:space="preserve">(Oden and Prudhomme 2001)</w:t>
      </w:r>
      <w:r>
        <w:t xml:space="preserve">. Several ingredients of CBRC come from these traditions. Our novelty claim concerns how they are assembled and enforced for persistent captured-world revision.</w:t>
      </w:r>
    </w:p>
    <w:p>
      <w:pPr>
        <w:pStyle w:val="BodyText"/>
      </w:pPr>
      <w:r>
        <w:t xml:space="preserve">The mathematical components used by CBRC are classical: graph closure, non-negative influence propagation, Neumann-series resolvents, norm bounds, and greedy search. The claimed contribution is a systems contract for captured worlds that brings these components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These tools make the contract executable; the novelty claim concerns their captured-world integration and evidence path.</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The planner checks this condition before execution, and the experiment later checks the stronger independent full-reference contract in Eq. 1.</w:t>
      </w:r>
    </w:p>
    <w:p>
      <w:pPr>
        <w:pStyle w:val="BodyText"/>
      </w:pPr>
      <w:r>
        <w:t xml:space="preserve">A safe local repair is still a poor choice if it costs as much as rebuilding. The planner therefore uses a common calibrated-work scale. If</w:t>
      </w:r>
      <w:r>
        <w:t xml:space="preserve"> </w:t>
      </w:r>
      <m:oMath>
        <m:sSub>
          <m:e>
            <m:r>
              <m:t>n</m:t>
            </m:r>
          </m:e>
          <m:sub>
            <m:r>
              <m:t>d</m:t>
            </m:r>
          </m:sub>
        </m:sSub>
        <m:d>
          <m:dPr>
            <m:begChr m:val="("/>
            <m:endChr m:val=")"/>
            <m:sepChr m:val=""/>
            <m:grow/>
          </m:dPr>
          <m:e>
            <m:r>
              <m:t>C</m:t>
            </m:r>
          </m:e>
        </m:d>
      </m:oMath>
      <w:r>
        <w:t xml:space="preserve"> </w:t>
      </w:r>
      <w:r>
        <w:t xml:space="preserve">is the native work counter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conversion factor for one native unit in that domain, then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In the frozen campaign, the native counters are Gaussian inspections, Gaussian updates, GPU-publication bytes, and temporal-invalidated pixels. The factor</w:t>
      </w:r>
      <w:r>
        <w:t xml:space="preserve"> </w:t>
      </w:r>
      <m:oMath>
        <m:sSub>
          <m:e>
            <m:r>
              <m:t>κ</m:t>
            </m:r>
          </m:e>
          <m:sub>
            <m:r>
              <m:t>d</m:t>
            </m:r>
          </m:sub>
        </m:sSub>
      </m:oMath>
      <w:r>
        <w:t xml:space="preserve"> </w:t>
      </w:r>
      <w:r>
        <w:t xml:space="preserve">converts each counter to the same pre-calibrated work scale; it does not assert that an inspection, a byte transfer, and a pixel invalidation are physically identical operations. Calibration is frozen before the paper-grade campaign so outcome inspection cannot change the relative weights.</w:t>
      </w:r>
    </w:p>
    <w:p>
      <w:pPr>
        <w:pStyle w:val="BodyText"/>
      </w:pPr>
      <w:r>
        <w:t xml:space="preserve">The planner accepts locality only when</w:t>
      </w:r>
      <w:r>
        <w:t xml:space="preserve"> </w:t>
      </w:r>
      <m:oMath>
        <m:r>
          <m:t>W</m:t>
        </m:r>
        <m:d>
          <m:dPr>
            <m:begChr m:val="("/>
            <m:endChr m:val=")"/>
            <m:sepChr m:val=""/>
            <m:grow/>
          </m:dPr>
          <m:e>
            <m:r>
              <m:t>C</m:t>
            </m:r>
          </m:e>
        </m:d>
        <m:r>
          <m:rPr>
            <m:sty m:val="p"/>
          </m:rPr>
          <m:t>&lt;</m:t>
        </m:r>
        <m:sSub>
          <m:e>
            <m:r>
              <m:t>W</m:t>
            </m:r>
          </m:e>
          <m:sub>
            <m:r>
              <m:rPr>
                <m:sty m:val="p"/>
              </m:rPr>
              <m:t>f</m:t>
            </m:r>
            <m:r>
              <m:rPr>
                <m:sty m:val="p"/>
              </m:rPr>
              <m:t>u</m:t>
            </m:r>
            <m:r>
              <m:rPr>
                <m:sty m:val="p"/>
              </m:rPr>
              <m:t>l</m:t>
            </m:r>
            <m:r>
              <m:rPr>
                <m:sty m:val="p"/>
              </m:rPr>
              <m:t>l</m:t>
            </m:r>
          </m:sub>
        </m:sSub>
      </m:oMath>
      <w:r>
        <w:t xml:space="preserve">. A candidate can therefore be output-safe and still return</w:t>
      </w:r>
      <w:r>
        <w:t xml:space="preserve"> </w:t>
      </w:r>
      <w:r>
        <w:rPr>
          <w:smallCaps/>
        </w:rPr>
        <w:t xml:space="preserve">Full</w:t>
      </w:r>
      <w:r>
        <w:t xml:space="preserve"> </w:t>
      </w:r>
      <w:r>
        <w:t xml:space="preserve">because the repair has crossed the work break-even point. Equation 4 is an accounting model for heterogeneous system work. End-to-end wall-clock timing, allocator effects, synchronization, cache behavior, command submission, and pipeline overlap remain outside this metric.</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8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6" w:name="sec:results"/>
    <w:p>
      <w:pPr>
        <w:pStyle w:val="Heading1"/>
      </w:pPr>
      <w:r>
        <w:rPr>
          <w:rStyle w:val="SectionNumber"/>
        </w:rPr>
        <w:t xml:space="preserve">7</w:t>
      </w:r>
      <w:r>
        <w:tab/>
      </w:r>
      <w:r>
        <w:t xml:space="preserve">Results</w:t>
      </w:r>
    </w:p>
    <w:bookmarkStart w:id="66"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 Expressed as work avoided on the same frozen scale, the overall median is 52.55% below</w:t>
      </w:r>
      <w:r>
        <w:t xml:space="preserve"> </w:t>
      </w:r>
      <w:r>
        <w:rPr>
          <w:smallCaps/>
        </w:rPr>
        <w:t xml:space="preserve">Full</w:t>
      </w:r>
      <w:r>
        <w:t xml:space="preserve">. The dataset medians in Table 2 correspond to 65.94% lower calibrated work on 3RScan, 51.68% on ARKitScenes, 52.45% on Bonn RGB-D Dynamic, and 48.09% on trained GraphDECO 3DGS. These percentages quantify work-accounting savings, not wall-clock acceleration.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p>
      <w:pPr>
        <w:pStyle w:val="BodyText"/>
      </w:pPr>
      <w:r>
        <w:t xml:space="preserve">Figure 3 makes the decision behavior concrete on a pinned trained GraphDECO 3DGS scene. The certified local case uses 48.011% of the frozen</w:t>
      </w:r>
      <w:r>
        <w:t xml:space="preserve"> </w:t>
      </w:r>
      <w:r>
        <w:rPr>
          <w:smallCaps/>
        </w:rPr>
        <w:t xml:space="preserve">Full</w:t>
      </w:r>
      <w:r>
        <w:t xml:space="preserve"> </w:t>
      </w:r>
      <w:r>
        <w:t xml:space="preserve">work baseline, whereas the high-coupling case reaches the break-even boundary and selects</w:t>
      </w:r>
      <w:r>
        <w:t xml:space="preserve"> </w:t>
      </w:r>
      <w:r>
        <w:rPr>
          <w:smallCaps/>
        </w:rPr>
        <w:t xml:space="preserve">Full</w:t>
      </w:r>
      <w:r>
        <w:t xml:space="preserve">. In both rows the selected result is compared with an independently rendered</w:t>
      </w:r>
      <w:r>
        <w:t xml:space="preserve"> </w:t>
      </w:r>
      <w:r>
        <w:rPr>
          <w:smallCaps/>
        </w:rPr>
        <w:t xml:space="preserve">Full</w:t>
      </w:r>
      <w:r>
        <w:t xml:space="preserve">-after image.</w:t>
      </w:r>
    </w:p>
    <w:p>
      <w:pPr>
        <w:pStyle w:val="CaptionedFigure"/>
        <w:keepNext/>
      </w:pPr>
      <w:r>
        <w:drawing>
          <wp:inline>
            <wp:extent cx="5334000" cy="3200400"/>
            <wp:effectExtent b="0" l="0" r="0" t="0"/>
            <wp:docPr descr="" title="" id="64" name="Picture"/>
            <a:graphic>
              <a:graphicData uri="http://schemas.openxmlformats.org/drawingml/2006/picture">
                <pic:pic>
                  <pic:nvPicPr>
                    <pic:cNvPr descr="figures/trained_3dgs_qualitative.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trained-3DGS outcomes from the frozen public revision matrix. Top: a certified</w:t>
      </w:r>
      <w:r>
        <w:t xml:space="preserve"> </w:t>
      </w:r>
      <w:r>
        <w:rPr>
          <w:smallCaps/>
        </w:rPr>
        <w:t xml:space="preserve">Local</w:t>
      </w:r>
      <w:r>
        <w:t xml:space="preserve"> </w:t>
      </w:r>
      <w:r>
        <w:t xml:space="preserve">repair leaves the audited output identical to</w:t>
      </w:r>
      <w:r>
        <w:t xml:space="preserve"> </w:t>
      </w:r>
      <w:r>
        <w:rPr>
          <w:smallCaps/>
        </w:rPr>
        <w:t xml:space="preserve">Full</w:t>
      </w:r>
      <w:r>
        <w:t xml:space="preserve">-after while using 48.011% of the calibrated full-rebuild work. Bottom: a high-coupling/unstable revision selects</w:t>
      </w:r>
      <w:r>
        <w:t xml:space="preserve"> </w:t>
      </w:r>
      <w:r>
        <w:rPr>
          <w:smallCaps/>
        </w:rPr>
        <w:t xml:space="preserve">Full</w:t>
      </w:r>
      <w:r>
        <w:t xml:space="preserve"> </w:t>
      </w:r>
      <w:r>
        <w:t xml:space="preserve">and therefore records work/</w:t>
      </w:r>
      <w:r>
        <w:rPr>
          <w:smallCaps/>
        </w:rPr>
        <w:t xml:space="preserve">Full</w:t>
      </w:r>
      <w:r>
        <w:t xml:space="preserve">=1. The visualization demonstrates revision fidelity and fallback behavior within the evaluated representation; it is not a claim about reconstruction accuracy against source photographs.</w:t>
      </w:r>
    </w:p>
    <w:bookmarkEnd w:id="66"/>
    <w:bookmarkStart w:id="68" w:name="coupling-controls-fallback-behavior"/>
    <w:p>
      <w:pPr>
        <w:pStyle w:val="Heading2"/>
      </w:pPr>
      <w:r>
        <w:rPr>
          <w:rStyle w:val="SectionNumber"/>
        </w:rPr>
        <w:t xml:space="preserve">7.2</w:t>
      </w:r>
      <w:r>
        <w:tab/>
      </w:r>
      <w:r>
        <w:t xml:space="preserve">Coupling controls fallback behavior</w:t>
      </w:r>
    </w:p>
    <w:p>
      <w:pPr>
        <w:pStyle w:val="FirstParagraph"/>
      </w:pPr>
      <w:r>
        <w:t xml:space="preserve">Table 3 shows the fail-closed envelope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7"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7"/>
    <w:bookmarkEnd w:id="68"/>
    <w:bookmarkStart w:id="70" w:name="generalization-across-edit-families"/>
    <w:p>
      <w:pPr>
        <w:pStyle w:val="Heading2"/>
      </w:pPr>
      <w:r>
        <w:rPr>
          <w:rStyle w:val="SectionNumber"/>
        </w:rPr>
        <w:t xml:space="preserve">7.3</w:t>
      </w:r>
      <w:r>
        <w:tab/>
      </w:r>
      <w:r>
        <w:t xml:space="preserve">Generalization across edit families</w:t>
      </w:r>
    </w:p>
    <w:p>
      <w:pPr>
        <w:pStyle w:val="FirstParagraph"/>
      </w:pPr>
      <w:r>
        <w:t xml:space="preserve">Table 4 applies the same revision contract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9"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9"/>
    <w:bookmarkEnd w:id="70"/>
    <w:bookmarkStart w:id="71"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71"/>
    <w:bookmarkStart w:id="74"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Table 5 summarizes the frozen residual-sensitive sequence. 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2"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2"/>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3"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3"/>
    <w:bookmarkEnd w:id="74"/>
    <w:bookmarkStart w:id="75"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5"/>
    <w:bookmarkEnd w:id="76"/>
    <w:bookmarkStart w:id="86" w:name="discussion"/>
    <w:p>
      <w:pPr>
        <w:pStyle w:val="Heading1"/>
      </w:pPr>
      <w:r>
        <w:rPr>
          <w:rStyle w:val="SectionNumber"/>
        </w:rPr>
        <w:t xml:space="preserve">8</w:t>
      </w:r>
      <w:r>
        <w:tab/>
      </w:r>
      <w:r>
        <w:t xml:space="preserve">Discussion</w:t>
      </w:r>
    </w:p>
    <w:bookmarkStart w:id="77"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independent replay exercises both local repair and full fallback across four datasets and two representation classes, with work reduction varying by dataset, edit family, and coupling strength. The residual-sensitive sequence answers a different question. V4 shows that a magnitude-insensitive image certificate can erase useful locality even when the repair itself is graded; V5 isolates a certificate change that restores non-zero opacity locality while leaving the translation control unchanged; and V6 tests the same mechanism on a wider frozen scene set. Taken together, the stages separate implementation fidelity, certificate sensitivity, and breadth instead of compressing them into one aggregate success metric.</w:t>
      </w:r>
    </w:p>
    <w:p>
      <w:pPr>
        <w:pStyle w:val="BodyText"/>
      </w:pPr>
      <w:r>
        <w:t xml:space="preserve">The result is best understood as a systems contract built from established dependency and error-estimation ideas. Dependency-aware recomputation, self-adjusting computation, norm bounds, and goal-oriented error estimation provide the underlying traditions.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7"/>
    <w:bookmarkStart w:id="84" w:name="limitations"/>
    <w:p>
      <w:pPr>
        <w:pStyle w:val="Heading2"/>
      </w:pPr>
      <w:r>
        <w:rPr>
          <w:rStyle w:val="SectionNumber"/>
        </w:rPr>
        <w:t xml:space="preserve">8.2</w:t>
      </w:r>
      <w:r>
        <w:tab/>
      </w:r>
      <w:r>
        <w:t xml:space="preserve">Limitations</w:t>
      </w:r>
    </w:p>
    <w:bookmarkStart w:id="78"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8"/>
    <w:bookmarkStart w:id="79"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9"/>
    <w:bookmarkStart w:id="80"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paper-grade performance campaign for that ledger remains future work.</w:t>
      </w:r>
    </w:p>
    <w:bookmarkEnd w:id="80"/>
    <w:bookmarkStart w:id="81"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81"/>
    <w:bookmarkStart w:id="82"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limited influence from them on aggregate real-scene outcomes.</w:t>
      </w:r>
    </w:p>
    <w:bookmarkEnd w:id="82"/>
    <w:bookmarkStart w:id="83"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3"/>
    <w:bookmarkEnd w:id="84"/>
    <w:bookmarkStart w:id="85" w:name="implications"/>
    <w:p>
      <w:pPr>
        <w:pStyle w:val="Heading2"/>
      </w:pPr>
      <w:r>
        <w:rPr>
          <w:rStyle w:val="SectionNumber"/>
        </w:rPr>
        <w:t xml:space="preserve">8.3</w:t>
      </w:r>
      <w:r>
        <w:tab/>
      </w:r>
      <w:r>
        <w:t xml:space="preserve">Implications</w:t>
      </w:r>
    </w:p>
    <w:p>
      <w:pPr>
        <w:pStyle w:val="FirstParagraph"/>
      </w:pPr>
      <w:r>
        <w:t xml:space="preserve">The main practical lesson is to treat locality as a contract instead of a geometric assumption. A small physical edit is a useful starting cue, but the publishable decision depends on the dependency closure, the protected output,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remain admissible when the measured residual stays below both the conservative bound and the declared tolerance. The v4 failure shows that permitting error is insufficient; the certificate must represent residual magnitude. V5 and v6 show that this behavior is repeatable for opacity-only residuals across the tested datasets. The open problem is how far the conservative bound can be tightened while preserving the fail-closed guarantee.</w:t>
      </w:r>
    </w:p>
    <w:bookmarkEnd w:id="85"/>
    <w:bookmarkEnd w:id="86"/>
    <w:bookmarkStart w:id="87"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7"/>
    <w:bookmarkStart w:id="88"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while treating spatial locality as a hypothesis that must earn certification. A repair proceeds only when structural dependencies are closed, the effect left outside the selected region stays within the declared output tolerance, and the work remains worthwhile; otherwise MAVEB rebuilds. In the broad campaign, median calibrated selected work is 0.474 of</w:t>
      </w:r>
      <w:r>
        <w:t xml:space="preserve"> </w:t>
      </w:r>
      <w:r>
        <w:rPr>
          <w:smallCaps/>
        </w:rPr>
        <w:t xml:space="preserve">Full</w:t>
      </w:r>
      <w:r>
        <w:t xml:space="preserve">, with both selective maintenance and fail-closed fallback exercised under independent replay. Stronger coupling progressively reduces the opportunity for reuse.</w:t>
      </w:r>
    </w:p>
    <w:p>
      <w:pPr>
        <w:pStyle w:val="BodyText"/>
      </w:pPr>
      <w:r>
        <w:t xml:space="preserve">The residual-sensitive sequence addresses the broad campaign’s exact-output limitation. V4 exposes the original certificate bottleneck, the opacity-delta refinement restores non-zero locality in v5, and the unchanged mechanism survives the 20-scene v6 confirmation. The paired opacity-minus-translation scene-level difference is 0.477 with 95% interval [0.432, 0.517]. Accepted residuals remain far from the tolerance boundary, making certificate tightness the main unresolved technical issue. The practical result is bounded and testable: recomputation shrinks when the dependency and error model can justify it and expands when that justification disappears.</w:t>
      </w:r>
    </w:p>
    <w:bookmarkEnd w:id="88"/>
    <w:bookmarkStart w:id="89" w:name="ethics-statement"/>
    <w:p>
      <w:pPr>
        <w:pStyle w:val="Heading1"/>
      </w:pPr>
      <w:r>
        <w:t xml:space="preserve">Ethics Statement</w:t>
      </w:r>
    </w:p>
    <w:p>
      <w:pPr>
        <w:pStyle w:val="FirstParagraph"/>
      </w:pPr>
      <w:r>
        <w:t xml:space="preserve">N/A. This work reports software, rendering, and reconstruction experiments and does not recruit human participants or collect personal data from participants. The evaluation uses public research datasets and pretrained research assets under their upstream terms; those upstream assets are cited and are not redistributed by this repository.</w:t>
      </w:r>
    </w:p>
    <w:bookmarkEnd w:id="89"/>
    <w:bookmarkStart w:id="141" w:name="acknowledgments"/>
    <w:p>
      <w:pPr>
        <w:pStyle w:val="Heading1"/>
      </w:pPr>
      <w:r>
        <w:t xml:space="preserve">Acknowledgments</w:t>
      </w:r>
    </w:p>
    <w:bookmarkStart w:id="90"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90"/>
    <w:bookmarkStart w:id="140"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9" w:name="refs"/>
    <w:bookmarkStart w:id="92"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91">
        <w:r>
          <w:rPr>
            <w:rStyle w:val="Hyperlink"/>
          </w:rPr>
          <w:t xml:space="preserve">https://doi.org/10.1017/S0956796813000099</w:t>
        </w:r>
      </w:hyperlink>
      <w:r>
        <w:t xml:space="preserve">.</w:t>
      </w:r>
    </w:p>
    <w:bookmarkEnd w:id="92"/>
    <w:bookmarkStart w:id="93"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3"/>
    <w:bookmarkStart w:id="95"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4">
        <w:r>
          <w:rPr>
            <w:rStyle w:val="Hyperlink"/>
          </w:rPr>
          <w:t xml:space="preserve">https://doi.org/10.2312/EGWR/EGWR99/031-044</w:t>
        </w:r>
      </w:hyperlink>
      <w:r>
        <w:t xml:space="preserve">.</w:t>
      </w:r>
    </w:p>
    <w:bookmarkEnd w:id="95"/>
    <w:bookmarkStart w:id="97"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6">
        <w:r>
          <w:rPr>
            <w:rStyle w:val="Hyperlink"/>
          </w:rPr>
          <w:t xml:space="preserve">https://doi.org/10.1109/CVPR52688.2022.00539</w:t>
        </w:r>
      </w:hyperlink>
      <w:r>
        <w:t xml:space="preserve">.</w:t>
      </w:r>
    </w:p>
    <w:bookmarkEnd w:id="97"/>
    <w:bookmarkStart w:id="98"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8"/>
    <w:bookmarkStart w:id="100"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9">
        <w:r>
          <w:rPr>
            <w:rStyle w:val="Hyperlink"/>
          </w:rPr>
          <w:t xml:space="preserve">https://doi.org/10.1109/CVPR52733.2024.02029</w:t>
        </w:r>
      </w:hyperlink>
      <w:r>
        <w:t xml:space="preserve">.</w:t>
      </w:r>
    </w:p>
    <w:bookmarkEnd w:id="100"/>
    <w:bookmarkStart w:id="101"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101"/>
    <w:bookmarkStart w:id="103"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102">
        <w:r>
          <w:rPr>
            <w:rStyle w:val="Hyperlink"/>
          </w:rPr>
          <w:t xml:space="preserve">https://doi.org/10.1145/3072959.3054739</w:t>
        </w:r>
      </w:hyperlink>
      <w:r>
        <w:t xml:space="preserve">.</w:t>
      </w:r>
    </w:p>
    <w:bookmarkEnd w:id="103"/>
    <w:bookmarkStart w:id="104"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4"/>
    <w:bookmarkStart w:id="105"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5"/>
    <w:bookmarkStart w:id="107"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6">
        <w:r>
          <w:rPr>
            <w:rStyle w:val="Hyperlink"/>
          </w:rPr>
          <w:t xml:space="preserve">https://doi.org/10.1145/3272127.3275084</w:t>
        </w:r>
      </w:hyperlink>
      <w:r>
        <w:t xml:space="preserve">.</w:t>
      </w:r>
    </w:p>
    <w:bookmarkEnd w:id="107"/>
    <w:bookmarkStart w:id="109"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8">
        <w:r>
          <w:rPr>
            <w:rStyle w:val="Hyperlink"/>
          </w:rPr>
          <w:t xml:space="preserve">https://doi.org/10.1109/CVPR52733.2024.00404</w:t>
        </w:r>
      </w:hyperlink>
      <w:r>
        <w:t xml:space="preserve">.</w:t>
      </w:r>
    </w:p>
    <w:bookmarkEnd w:id="109"/>
    <w:bookmarkStart w:id="110"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10"/>
    <w:bookmarkStart w:id="112"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11">
        <w:r>
          <w:rPr>
            <w:rStyle w:val="Hyperlink"/>
          </w:rPr>
          <w:t xml:space="preserve">https://doi.org/10.1145/3592433</w:t>
        </w:r>
      </w:hyperlink>
      <w:r>
        <w:t xml:space="preserve">.</w:t>
      </w:r>
    </w:p>
    <w:bookmarkEnd w:id="112"/>
    <w:bookmarkStart w:id="114"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3">
        <w:r>
          <w:rPr>
            <w:rStyle w:val="Hyperlink"/>
          </w:rPr>
          <w:t xml:space="preserve">https://doi.org/10.1145/3072959.3073599</w:t>
        </w:r>
      </w:hyperlink>
      <w:r>
        <w:t xml:space="preserve">.</w:t>
      </w:r>
    </w:p>
    <w:bookmarkEnd w:id="114"/>
    <w:bookmarkStart w:id="116"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5">
        <w:r>
          <w:rPr>
            <w:rStyle w:val="Hyperlink"/>
          </w:rPr>
          <w:t xml:space="preserve">https://doi.org/10.1109/3DV62453.2024.00044</w:t>
        </w:r>
      </w:hyperlink>
      <w:r>
        <w:t xml:space="preserve">.</w:t>
      </w:r>
    </w:p>
    <w:bookmarkEnd w:id="116"/>
    <w:bookmarkStart w:id="118"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7">
        <w:r>
          <w:rPr>
            <w:rStyle w:val="Hyperlink"/>
          </w:rPr>
          <w:t xml:space="preserve">https://doi.org/10.1109/CVPR52733.2024.01708</w:t>
        </w:r>
      </w:hyperlink>
      <w:r>
        <w:t xml:space="preserve">.</w:t>
      </w:r>
    </w:p>
    <w:bookmarkEnd w:id="118"/>
    <w:bookmarkStart w:id="119"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9"/>
    <w:bookmarkStart w:id="120"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20"/>
    <w:bookmarkStart w:id="122"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21">
        <w:r>
          <w:rPr>
            <w:rStyle w:val="Hyperlink"/>
          </w:rPr>
          <w:t xml:space="preserve">https://doi.org/10.1016/S0898-1221(00)00317-5</w:t>
        </w:r>
      </w:hyperlink>
      <w:r>
        <w:t xml:space="preserve">.</w:t>
      </w:r>
    </w:p>
    <w:bookmarkEnd w:id="122"/>
    <w:bookmarkStart w:id="123"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3"/>
    <w:bookmarkStart w:id="125"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4">
        <w:r>
          <w:rPr>
            <w:rStyle w:val="Hyperlink"/>
          </w:rPr>
          <w:t xml:space="preserve">https://doi.org/10.1145/344779.344936</w:t>
        </w:r>
      </w:hyperlink>
      <w:r>
        <w:t xml:space="preserve">.</w:t>
      </w:r>
    </w:p>
    <w:bookmarkEnd w:id="125"/>
    <w:bookmarkStart w:id="127"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6">
        <w:r>
          <w:rPr>
            <w:rStyle w:val="Hyperlink"/>
          </w:rPr>
          <w:t xml:space="preserve">https://doi.org/10.1109/ICCV48922.2021.00617</w:t>
        </w:r>
      </w:hyperlink>
      <w:r>
        <w:t xml:space="preserve">.</w:t>
      </w:r>
    </w:p>
    <w:bookmarkEnd w:id="127"/>
    <w:bookmarkStart w:id="128"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8"/>
    <w:bookmarkStart w:id="129"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9"/>
    <w:bookmarkStart w:id="131"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30">
        <w:r>
          <w:rPr>
            <w:rStyle w:val="Hyperlink"/>
          </w:rPr>
          <w:t xml:space="preserve">https://doi.org/10.1145/2492045.2492051</w:t>
        </w:r>
      </w:hyperlink>
      <w:r>
        <w:t xml:space="preserve">.</w:t>
      </w:r>
    </w:p>
    <w:bookmarkEnd w:id="131"/>
    <w:bookmarkStart w:id="133"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32">
        <w:r>
          <w:rPr>
            <w:rStyle w:val="Hyperlink"/>
          </w:rPr>
          <w:t xml:space="preserve">https://doi.org/10.1109/CVPR52733.2024.01920</w:t>
        </w:r>
      </w:hyperlink>
      <w:r>
        <w:t xml:space="preserve">.</w:t>
      </w:r>
    </w:p>
    <w:bookmarkEnd w:id="133"/>
    <w:bookmarkStart w:id="134"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4"/>
    <w:bookmarkStart w:id="135"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5"/>
    <w:bookmarkStart w:id="137"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6">
        <w:r>
          <w:rPr>
            <w:rStyle w:val="Hyperlink"/>
          </w:rPr>
          <w:t xml:space="preserve">https://doi.org/10.1109/ICCV51701.2025.02393</w:t>
        </w:r>
      </w:hyperlink>
      <w:r>
        <w:t xml:space="preserve">.</w:t>
      </w:r>
    </w:p>
    <w:bookmarkEnd w:id="137"/>
    <w:bookmarkStart w:id="138"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8"/>
    <w:bookmarkEnd w:id="139"/>
    <w:bookmarkEnd w:id="140"/>
    <w:bookmarkEnd w:id="141"/>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3" Type="http://schemas.openxmlformats.org/officeDocument/2006/relationships/image" Target="media/rId63.png"/><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2026-10-04T15:26:23Z</dcterms:created>
  <dcterms:modified xsi:type="dcterms:W3CDTF">2026-10-04T15:26:23Z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