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captured-world systems rarely contain geometry alone. Over time they collect observations, reconstruction state, explicit surface and appearance data, GPU-published records, and temporal rendering history. A physical change can be small in space and still reach much farther through this computational state. Restricting the update too aggressively risks leaving stale dependencies behind; rebuilding everything avoids that problem, but also throws away locality even when most of the world has no bearing on the output we care about.</w:t>
      </w:r>
    </w:p>
    <w:p>
      <w:pPr>
        <w:pStyle w:val="BodyText"/>
      </w:pPr>
      <w:r>
        <w:t xml:space="preserve">We present</w:t>
      </w:r>
      <w:r>
        <w:t xml:space="preserve"> </w:t>
      </w:r>
      <w:r>
        <w:rPr>
          <w:iCs/>
          <w:i/>
        </w:rPr>
        <w:t xml:space="preserve">Criticality-Bounded Revision Cones</w:t>
      </w:r>
      <w:r>
        <w:t xml:space="preserve"> </w:t>
      </w:r>
      <w:r>
        <w:t xml:space="preserve">(CBRC), implemented in MAVEB. The framework is fail-closed: regional recomputation is allowed only when the unrepaired exterior can be bounded for a stated quantity of interest. CBRC combines exact predecessor closure, conservative finite-change bounds where they are available, an explicit output-error contract, and a frozen work model; otherwise it returns</w:t>
      </w:r>
      <w:r>
        <w:t xml:space="preserve"> </w:t>
      </w:r>
      <w:r>
        <w:rPr>
          <w:smallCaps/>
        </w:rPr>
        <w:t xml:space="preserve">Full</w:t>
      </w:r>
      <w:r>
        <w:t xml:space="preserve">. The selected result is replayed against an independent full-after reference, so we check measured error</w:t>
      </w:r>
      <w:r>
        <w:t xml:space="preserve"> </w:t>
      </w:r>
      <m:oMath>
        <m:r>
          <m:rPr>
            <m:sty m:val="p"/>
          </m:rPr>
          <m:t>≤</m:t>
        </m:r>
      </m:oMath>
      <w:r>
        <w:t xml:space="preserve"> </w:t>
      </w:r>
      <w:r>
        <w:t xml:space="preserve">emitted bound</w:t>
      </w:r>
      <w:r>
        <w:t xml:space="preserve"> </w:t>
      </w:r>
      <m:oMath>
        <m:r>
          <m:rPr>
            <m:sty m:val="p"/>
          </m:rPr>
          <m:t>≤</m:t>
        </m:r>
      </m:oMath>
      <w:r>
        <w:t xml:space="preserve"> </w:t>
      </w:r>
      <w:r>
        <w:t xml:space="preserve">declared tolerance rather than trusting the planner alone.</w:t>
      </w:r>
    </w:p>
    <w:p>
      <w:pPr>
        <w:pStyle w:val="BodyText"/>
      </w:pPr>
      <w:r>
        <w:t xml:space="preserve">On the frozen public campaign of 60 revisions over four RGB/SfM scenes, CBRC chose 44 certified-local repairs and 16 full rebuilds. We observed no certificate violation, and the native and reference planners agreed in every case. Fifty-six source edits were already above the protected RGB tolerance before repair. The calibrated work model gives a median selected ratio of 0.36953 of</w:t>
      </w:r>
      <w:r>
        <w:t xml:space="preserve"> </w:t>
      </w:r>
      <w:r>
        <w:rPr>
          <w:smallCaps/>
        </w:rPr>
        <w:t xml:space="preserve">Full</w:t>
      </w:r>
      <w:r>
        <w:t xml:space="preserve">, or 2.706</w:t>
      </w:r>
      <m:oMath>
        <m:r>
          <m:rPr>
            <m:sty m:val="p"/>
          </m:rPr>
          <m:t>×</m:t>
        </m:r>
      </m:oMath>
      <w:r>
        <w:t xml:space="preserve"> </w:t>
      </w:r>
      <w:r>
        <w:t xml:space="preserve">lower calibrated work. A separate five-case check on a pinned trained 3DGS representation produced four local repairs, one fallback, and no observed violation. The frozen end-to-end path still inspects almost the full Gaussian set, although exact sparse discovery reduces median inspection to 1% in isolation. These results support selective recomputation under the stated assumptions; they do not establish universal safety, global optimality, or wall-clock speedup.</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Many 3D systems now live well beyond the capture session that created them. A reconstructed room may be revisited after furniture has moved; an AR map continues to exist while objects appear and disappear; a digital twin is updated after a small physical intervention. The stored state in these systems is not one uniform representation. Observations feed geometry, geometry determines surface or Gaussian support, materials and textures follow ownership and visibility, GPU records mirror persistent entities, and temporal filters reuse earlier screen-space state. For that reason, an edit that looks local in Euclidean space may not be local at all once it propagates through the system.</w:t>
      </w:r>
    </w:p>
    <w:p>
      <w:pPr>
        <w:pStyle w:val="BodyText"/>
      </w:pPr>
      <w:r>
        <w:t xml:space="preserve">The safest response is still a global rebuild. Classical volumetric fusion and dense reconstruction give a natural full-reference notion of recomputation</w:t>
      </w:r>
      <w:r>
        <w:t xml:space="preserve"> </w:t>
      </w:r>
      <w:r>
        <w:t xml:space="preserve">(Curless and Levoy 1996; Newcombe et al. 2011; Dai et al. 2017)</w:t>
      </w:r>
      <w:r>
        <w:t xml:space="preserve">. That choice is straightforward to reason about, but it becomes wasteful when only a small dependency closure is actually affected. Explicit scene representations make this mismatch particularly visible: large parts of a Gaussian map, or of a neural/hybrid reconstruction, may have no reason to change after a local revision</w:t>
      </w:r>
      <w:r>
        <w:t xml:space="preserve"> </w:t>
      </w:r>
      <w:r>
        <w:t xml:space="preserve">(Kerbl et al. 2023; Keetha et al. 2024; Matsuki et al. 2024)</w:t>
      </w:r>
      <w:r>
        <w:t xml:space="preserve">. Continual Gaussian systems already exploit this fact by focusing optimization on changed regions or by managing stale observations over time</w:t>
      </w:r>
      <w:r>
        <w:t xml:space="preserve"> </w:t>
      </w:r>
      <w:r>
        <w:t xml:space="preserve">(Ackermann et al. 2025; Zeng et al. 2025; Yugay et al. 2026)</w:t>
      </w:r>
      <w:r>
        <w:t xml:space="preserve">. Our concern is slightly different. Those systems mainly decide</w:t>
      </w:r>
      <w:r>
        <w:t xml:space="preserve"> </w:t>
      </w:r>
      <w:r>
        <w:rPr>
          <w:iCs/>
          <w:i/>
        </w:rPr>
        <w:t xml:space="preserve">where to update</w:t>
      </w:r>
      <w:r>
        <w:t xml:space="preserve">; here we ask how much error may safely remain outside the region that was chosen, across several kinds of derived state at once.</w:t>
      </w:r>
    </w:p>
    <w:p>
      <w:pPr>
        <w:pStyle w:val="BodyText"/>
      </w:pPr>
      <w:r>
        <w:t xml:space="preserve">The question is deliberately narrow:</w:t>
      </w:r>
      <w:r>
        <w:t xml:space="preserve"> </w:t>
      </w:r>
      <w:r>
        <w:rPr>
          <w:iCs/>
          <w:i/>
        </w:rPr>
        <w:t xml:space="preserve">when is it defensible to repair less than the whole captured world while keeping an explicit output-error contract?</w:t>
      </w:r>
      <w:r>
        <w:t xml:space="preserve"> </w:t>
      </w:r>
      <w:r>
        <w:t xml:space="preserve">Reachability alone is not enough. Ownership, record identity, publication, and unstable temporal invalidation are structural relations that should not be approximated. Other relations, such as edited Gaussian support or stable temporal blending, have finite influence that can be bounded. The revision policy must distinguish the two and fall back to a full rebuild when the remainder outside a proposed repair region cannot be bounded tightly enough.</w:t>
      </w:r>
    </w:p>
    <w:p>
      <w:pPr>
        <w:pStyle w:val="BodyText"/>
      </w:pPr>
      <w:r>
        <w:t xml:space="preserve">Our answer is</w:t>
      </w:r>
      <w:r>
        <w:t xml:space="preserve"> </w:t>
      </w:r>
      <w:r>
        <w:rPr>
          <w:iCs/>
          <w:i/>
        </w:rPr>
        <w:t xml:space="preserve">Criticality-Bounded Revision Cones</w:t>
      </w:r>
      <w:r>
        <w:t xml:space="preserve"> </w:t>
      </w:r>
      <w:r>
        <w:t xml:space="preserve">(CBRC). A revision is represented on a typed dependency graph with three edge meanings.</w:t>
      </w:r>
      <w:r>
        <w:t xml:space="preserve"> </w:t>
      </w:r>
      <w:r>
        <w:rPr>
          <w:smallCaps/>
        </w:rPr>
        <w:t xml:space="preserve">Hard</w:t>
      </w:r>
      <w:r>
        <w:t xml:space="preserve"> </w:t>
      </w:r>
      <w:r>
        <w:t xml:space="preserve">edges carry exact structural requirements;</w:t>
      </w:r>
      <w:r>
        <w:t xml:space="preserve"> </w:t>
      </w:r>
      <w:r>
        <w:rPr>
          <w:smallCaps/>
        </w:rPr>
        <w:t xml:space="preserve">Analytic</w:t>
      </w:r>
      <w:r>
        <w:t xml:space="preserve"> </w:t>
      </w:r>
      <w:r>
        <w:t xml:space="preserve">edges carry conservative finite-change bounds; and</w:t>
      </w:r>
      <w:r>
        <w:t xml:space="preserve"> </w:t>
      </w:r>
      <w:r>
        <w:rPr>
          <w:smallCaps/>
        </w:rPr>
        <w:t xml:space="preserve">Empirical</w:t>
      </w:r>
      <w:r>
        <w:t xml:space="preserve"> </w:t>
      </w:r>
      <w:r>
        <w:t xml:space="preserve">edges may help decide what to try first, but they never become part of the safety certificate. For a proposed cone</w:t>
      </w:r>
      <w:r>
        <w:t xml:space="preserve"> </w:t>
      </w:r>
      <m:oMath>
        <m:r>
          <m:t>C</m:t>
        </m:r>
      </m:oMath>
      <w:r>
        <w:t xml:space="preserve">, we certify the unrepaired exterior</w:t>
      </w:r>
      <w:r>
        <w:t xml:space="preserve"> </w:t>
      </w:r>
      <m:oMath>
        <m:r>
          <m:t>O</m:t>
        </m:r>
      </m:oMath>
      <w:r>
        <w:t xml:space="preserve"> </w:t>
      </w:r>
      <w:r>
        <w:t xml:space="preserve">against the declared quantities of interest. The worst normalized certificate-to-tolerance ratio is the</w:t>
      </w:r>
      <w:r>
        <w:t xml:space="preserve"> </w:t>
      </w:r>
      <w:r>
        <w:rPr>
          <w:iCs/>
          <w:i/>
        </w:rPr>
        <w:t xml:space="preserve">revision criticality</w:t>
      </w:r>
      <w:r>
        <w:t xml:space="preserve">, with one as the decision boundary. We accept a local result only when exact predecessors are closed, every protected output is at or below that boundary, and the calibrated regional work is below the independently measured full baseline. If the coupling is unsupported, the residual is supercritical, the analytic assumptions are unstable, or locality simply costs too much, the planner returns</w:t>
      </w:r>
      <w:r>
        <w:t xml:space="preserve"> </w:t>
      </w:r>
      <w:r>
        <w:rPr>
          <w:smallCaps/>
        </w:rPr>
        <w:t xml:space="preserve">Full</w:t>
      </w:r>
      <w:r>
        <w:t xml:space="preserve">.</w:t>
      </w:r>
    </w:p>
    <w:p>
      <w:pPr>
        <w:pStyle w:val="BodyText"/>
      </w:pPr>
      <w:r>
        <w:t xml:space="preserve">MAVEB implements this design as a C++23 persistent-world stack, alongside a dense Python reference certifier and an independent full-after Gaussian oracle. Figure 1 summarizes the decision path, while Figure 2 shows the support-selection idea visually. The implementation records immutable before/after revision sidecars, deterministic certificate JSON, per-domain work, and oracle replay. We do not treat the planner’s own prediction as evidence that a repair is safe. Instead, the chosen result is replayed independently against</w:t>
      </w:r>
      <w:r>
        <w:t xml:space="preserve"> </w:t>
      </w:r>
      <w:r>
        <w:rPr>
          <w:smallCaps/>
        </w:rPr>
        <w:t xml:space="preserve">Full</w:t>
      </w:r>
      <w:r>
        <w:t xml:space="preserve"> </w:t>
      </w:r>
      <w:r>
        <w:t xml:space="preserve">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We froze the protocol and claim boundaries before interpreting the final campaign. Among 60 public RGB/SfM revisions, CBRC makes 44 certified-local selections and 16 full rebuilds, with no observed certificate violation and complete native/Python planner agreement. Fifty-six source edits were above RGB tolerance before repair. The frozen calibration gives a median work ratio of 0.36953 of</w:t>
      </w:r>
      <w:r>
        <w:t xml:space="preserve"> </w:t>
      </w:r>
      <w:r>
        <w:rPr>
          <w:smallCaps/>
        </w:rPr>
        <w:t xml:space="preserve">Full</w:t>
      </w:r>
      <w:r>
        <w:t xml:space="preserve">, or 2.706</w:t>
      </w:r>
      <m:oMath>
        <m:r>
          <m:rPr>
            <m:sty m:val="p"/>
          </m:rPr>
          <m:t>×</m:t>
        </m:r>
      </m:oMath>
      <w:r>
        <w:t xml:space="preserve"> </w:t>
      </w:r>
      <w:r>
        <w:t xml:space="preserve">lower calibrated work; this is not a paired wall-clock speedup. On the pinned trained 3DGS representation, four of five revisions stay local and one falls back, again without an observed violation. Candidate discovery, however, is still almost global in the frozen path.</w:t>
      </w:r>
    </w:p>
    <w:p>
      <w:pPr>
        <w:pStyle w:val="BodyText"/>
      </w:pPr>
      <w:r>
        <w:t xml:space="preserve">The contributions are:</w:t>
      </w:r>
    </w:p>
    <w:p>
      <w:pPr>
        <w:numPr>
          <w:ilvl w:val="0"/>
          <w:numId w:val="1001"/>
        </w:numPr>
      </w:pPr>
      <w:r>
        <w:t xml:space="preserve">a fail-closed formulation for revising heterogeneous persistent captured worlds, combining exact dependency closure with conservative finite-change propagation;</w:t>
      </w:r>
    </w:p>
    <w:p>
      <w:pPr>
        <w:numPr>
          <w:ilvl w:val="0"/>
          <w:numId w:val="1001"/>
        </w:numPr>
      </w:pPr>
      <w:r>
        <w:t xml:space="preserve">output-specific certification for local repair, including implementation-backed Gaussian display-space and stable temporal bounds, while unsupported dependencies stay exact;</w:t>
      </w:r>
    </w:p>
    <w:p>
      <w:pPr>
        <w:numPr>
          <w:ilvl w:val="0"/>
          <w:numId w:val="1001"/>
        </w:numPr>
      </w:pPr>
      <w:r>
        <w:t xml:space="preserve">a native work-aware planner with automatic</w:t>
      </w:r>
      <w:r>
        <w:t xml:space="preserve"> </w:t>
      </w:r>
      <w:r>
        <w:rPr>
          <w:smallCaps/>
        </w:rPr>
        <w:t xml:space="preserve">Full</w:t>
      </w:r>
      <w:r>
        <w:t xml:space="preserve"> </w:t>
      </w:r>
      <w:r>
        <w:t xml:space="preserve">fallback, deterministic evidence emission, a dense reference implementation, and an independent full-after falsification path; and</w:t>
      </w:r>
    </w:p>
    <w:p>
      <w:pPr>
        <w:numPr>
          <w:ilvl w:val="0"/>
          <w:numId w:val="1001"/>
        </w:numPr>
      </w:pPr>
      <w:r>
        <w:t xml:space="preserve">frozen evidence on public and trained representations that reports the local/full crossover, calibrated work, sparse-discovery behavior, neutral or negative ablations, and the limitations we actually observed, without relabeling work reduction as speedup.</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final-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result is then replayed against an independent full-after oracle.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not aggregate campaign results. The frozen public headline is 0.36953 of</w:t>
      </w:r>
      <w:r>
        <w:t xml:space="preserve"> </w:t>
      </w:r>
      <w:r>
        <w:rPr>
          <w:smallCaps/>
        </w:rPr>
        <w:t xml:space="preserve">Full</w:t>
      </w:r>
      <w:r>
        <w:t xml:space="preserve"> </w:t>
      </w:r>
      <w:r>
        <w:t xml:space="preserve">(2.706</w:t>
      </w:r>
      <m:oMath>
        <m:r>
          <m:rPr>
            <m:sty m:val="p"/>
          </m:rPr>
          <m:t>×</m:t>
        </m:r>
      </m:oMath>
      <w:r>
        <w:t xml:space="preserve"> </w:t>
      </w:r>
      <w:r>
        <w:t xml:space="preserve">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does not depend on Gaussian state.</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We therefore do not claim the broad idea that changing Gaussian scenes should be updated locally. The distinction in CBRC is the contract: cross-representation exact dependencies and conservative output bounds are checked together, locality is admitted only under Eq. 1, and</w:t>
      </w:r>
      <w:r>
        <w:t xml:space="preserve"> </w:t>
      </w:r>
      <w:r>
        <w:rPr>
          <w:smallCaps/>
        </w:rPr>
        <w:t xml:space="preserve">Full</w:t>
      </w:r>
      <w:r>
        <w:t xml:space="preserve"> </w:t>
      </w:r>
      <w:r>
        <w:t xml:space="preserve">remains an explicit outcome when either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are close enough to our setting that the boundary needs to be explicit: we are not claiming local editing, primitive-level change detection, or persistent identity as new. CBRC starts after a revision has been specified or detected and asks what can safely remain unrepaired for a particular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is not new to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rather than a global state norm</w:t>
      </w:r>
      <w:r>
        <w:t xml:space="preserve"> </w:t>
      </w:r>
      <w:r>
        <w:t xml:space="preserve">(Oden and Prudhomme 2001)</w:t>
      </w:r>
      <w:r>
        <w:t xml:space="preserve">. Several ingredients of CBRC clearly live in these traditions, so we treat them as novelty boundaries rather than background to be glossed over.</w:t>
      </w:r>
    </w:p>
    <w:p>
      <w:pPr>
        <w:pStyle w:val="BodyText"/>
      </w:pPr>
      <w:r>
        <w:t xml:space="preserve">The mathematics used by CBRC is mostly classical. Graph closure, non-negative influence propagation, Neumann-series resolvents, norm bounds, and greedy search are not contributions of this paper. What we claim instead is a systems contract for captured worlds that brings these pieces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 mathematics is the machinery that makes that contract executable, not a standalone novelty claim.</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By contrast, Gaussian-to-image influence and stable temporal blending have implemented</w:t>
      </w:r>
      <w:r>
        <w:t xml:space="preserve"> </w:t>
      </w:r>
      <w:r>
        <w:rPr>
          <w:smallCaps/>
        </w:rPr>
        <w:t xml:space="preserve">Analytic</w:t>
      </w:r>
      <w:r>
        <w:t xml:space="preserve"> </w:t>
      </w:r>
      <w:r>
        <w:t xml:space="preserve">bounds. If we do not have a conservative argument for a relation, we do not soften it simply because doing so would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That is the planner-side requirement. The experiment then asks the harder question by checking the independent full-reference contract in Eq. 1.</w:t>
      </w:r>
    </w:p>
    <w:p>
      <w:pPr>
        <w:pStyle w:val="BodyText"/>
      </w:pPr>
      <w:r>
        <w:t xml:space="preserve">Locality also has to be worth doing. The planner therefore requires regional work to remain below</w:t>
      </w:r>
      <w:r>
        <w:t xml:space="preserve"> </w:t>
      </w:r>
      <w:r>
        <w:rPr>
          <w:smallCaps/>
        </w:rPr>
        <w:t xml:space="preserve">Full</w:t>
      </w:r>
      <w:r>
        <w:t xml:space="preserve">. Because the native counters describe different kinds of work, adding them directly would be meaningless.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calibrated cost of one native unit, the public campaign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The calibration is frozen before the final campaign. We keep this distinction explicit throughout the paper: Eq. 4 models heterogeneous work; it is not an end-to-end timing measurement.</w:t>
      </w:r>
    </w:p>
    <w:bookmarkEnd w:id="37"/>
    <w:bookmarkEnd w:id="38"/>
    <w:bookmarkStart w:id="49"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does not evaluate a general cyclic resolvent. It uses sparse finite propagation on supported DAG exteriors. If an analytic cycle falls outside that supported case, the planner fails closed: either the cone expands until the unsupported exterior disappears, or the result becomes</w:t>
      </w:r>
      <w:r>
        <w:t xml:space="preserve"> </w:t>
      </w:r>
      <w:r>
        <w:rPr>
          <w:smallCaps/>
        </w:rPr>
        <w:t xml:space="preserve">Full</w:t>
      </w:r>
      <w:r>
        <w:t xml:space="preserve">. Equation 8 should therefore be read as the reference formulation, not as a claim that arbitrary cyclic systems are handled in production.</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what the user actually asks us to preserve, rather than to an internal state norm that may or may not correlate with visible error.</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6"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End w:id="46"/>
    <w:bookmarkStart w:id="47"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(14)</w:t>
            </w:r>
          </w:p>
        </w:tc>
      </w:tr>
    </w:tbl>
    <w:p>
      <w:pPr>
        <w:pStyle w:val="FirstParagraph"/>
      </w:pPr>
      <w:r>
        <w:t xml:space="preserve">If validation, reprojection, or disocclusion can itself change, MAVEB does not apply Eq. 14;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7"/>
    <w:bookmarkStart w:id="48"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(15)</w:t>
            </w:r>
          </w:p>
        </w:tc>
      </w:tr>
    </w:tbl>
    <w:p>
      <w:pPr>
        <w:pStyle w:val="FirstParagraph"/>
      </w:pPr>
      <w:r>
        <w:t xml:space="preserve">Each candidate is closed over its exact predecessors before it is certified again. The search ends when it finds a cone that is both certificate-feasible and cheaper than</w:t>
      </w:r>
      <w:r>
        <w:t xml:space="preserve"> </w:t>
      </w:r>
      <w:r>
        <w:rPr>
          <w:smallCaps/>
        </w:rPr>
        <w:t xml:space="preserve">Full</w:t>
      </w:r>
      <w:r>
        <w:t xml:space="preserve">, or when there is no useful local candidate left to try. This procedure gives us a certified feasible cone. We do not claim that it is the globally cheapest safe cone.</w:t>
      </w:r>
    </w:p>
    <w:bookmarkEnd w:id="48"/>
    <w:bookmarkEnd w:id="49"/>
    <w:bookmarkStart w:id="54" w:name="system-implementation"/>
    <w:p>
      <w:pPr>
        <w:pStyle w:val="Heading1"/>
      </w:pPr>
      <w:r>
        <w:rPr>
          <w:rStyle w:val="SectionNumber"/>
        </w:rPr>
        <w:t xml:space="preserve">5</w:t>
      </w:r>
      <w:r>
        <w:tab/>
      </w:r>
      <w:r>
        <w:t xml:space="preserve">System Implementation</w:t>
      </w:r>
    </w:p>
    <w:p>
      <w:pPr>
        <w:pStyle w:val="FirstParagraph"/>
      </w:pPr>
      <w:r>
        <w:t xml:space="preserve">MAVEB keeps the scientific reference path separate from the production-oriented execution path. The dense Python certifier follows the mathematical contract directly and serves as a falsification and regression reference. The native C++23 implementation uses a sparse typed revision graph, sparse analytic propagation over supported DAG exteriors, exact predecessor checks, greedy feasible-cone search, and deterministic certificate serialization. The campaign compares the native planner’s final decisions against the reference planner rather than assuming the two implementations are equivalent.</w:t>
      </w:r>
    </w:p>
    <w:bookmarkStart w:id="50"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0"/>
    <w:bookmarkStart w:id="51"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across observation, TSDF, mesh, texture-page, material, Gaussian, GPU-publication, and temporal domains. Ledger/mesher disagreement is an error. Native counts stay in their own units until the frozen, versioned calibration converts them for the public work model. This prevents a local-looking metric in one subsystem from hiding a full-world stage elsewhere.</w:t>
      </w:r>
    </w:p>
    <w:bookmarkEnd w:id="51"/>
    <w:bookmarkStart w:id="52" w:name="independent-oracle."/>
    <w:p>
      <w:pPr>
        <w:pStyle w:val="Heading4"/>
      </w:pPr>
      <w:r>
        <w:t xml:space="preserve">Independent oracle.</w:t>
      </w:r>
    </w:p>
    <w:p>
      <w:pPr>
        <w:pStyle w:val="FirstParagraph"/>
      </w:pPr>
      <w:r>
        <w:t xml:space="preserve">The Gaussian oracle is deliberately independent of the planner that selected the revision. It evaluates the equivalent full-after state and reports per-pixel measured error next to the emitted bound. The strict evaluator then enforces Eq. 1. If the production and offline certificates disagree, or if measured error exceeds the emitted certificate, we count that as a correctness failure. Evidence bundles are hashed, and the canonical campaign records workflow IDs, artifact hashes, source hashes, and native/reference planner parity.</w:t>
      </w:r>
    </w:p>
    <w:bookmarkEnd w:id="52"/>
    <w:bookmarkStart w:id="53" w:name="representation-scope."/>
    <w:p>
      <w:pPr>
        <w:pStyle w:val="Heading4"/>
      </w:pPr>
      <w:r>
        <w:t xml:space="preserve">Representation scope.</w:t>
      </w:r>
    </w:p>
    <w:p>
      <w:pPr>
        <w:pStyle w:val="FirstParagraph"/>
      </w:pPr>
      <w:r>
        <w:t xml:space="preserve">The public campaign uses four real scenes reconstructed with COLMAP/SfM, from which we seed isotropic Gaussians at the reconstructed points. We do not describe these fields as trained photorealistic 3DGS, and the public coordinates are normalized rather than metric-scale. A second validation path uses a pinned external trained GraphDECO-style PLY and preserves its spherical-harmonic coefficients, opacity, anisotropic scale, and rotation. Ownership in this path is deterministic and spatial; it should not be read as semantic segmentation.</w:t>
      </w:r>
    </w:p>
    <w:bookmarkEnd w:id="53"/>
    <w:bookmarkEnd w:id="54"/>
    <w:bookmarkStart w:id="59" w:name="evaluation"/>
    <w:p>
      <w:pPr>
        <w:pStyle w:val="Heading1"/>
      </w:pPr>
      <w:r>
        <w:rPr>
          <w:rStyle w:val="SectionNumber"/>
        </w:rPr>
        <w:t xml:space="preserve">6</w:t>
      </w:r>
      <w:r>
        <w:tab/>
      </w:r>
      <w:r>
        <w:t xml:space="preserve">Evaluation</w:t>
      </w:r>
    </w:p>
    <w:bookmarkStart w:id="56" w:name="questions-and-protocol"/>
    <w:p>
      <w:pPr>
        <w:pStyle w:val="Heading2"/>
      </w:pPr>
      <w:r>
        <w:rPr>
          <w:rStyle w:val="SectionNumber"/>
        </w:rPr>
        <w:t xml:space="preserve">6.1</w:t>
      </w:r>
      <w:r>
        <w:tab/>
      </w:r>
      <w:r>
        <w:t xml:space="preserve">Questions and protocol</w:t>
      </w:r>
    </w:p>
    <w:p>
      <w:pPr>
        <w:pStyle w:val="FirstParagraph"/>
      </w:pPr>
      <w:r>
        <w:t xml:space="preserve">We structure the evaluation around seven questions. RQ1 asks whether the emitted certificate survives an independent full replay. RQ2 asks when the method chooses</w:t>
      </w:r>
      <w:r>
        <w:t xml:space="preserve"> </w:t>
      </w:r>
      <w:r>
        <w:rPr>
          <w:smallCaps/>
        </w:rPr>
        <w:t xml:space="preserve">Local</w:t>
      </w:r>
      <w:r>
        <w:t xml:space="preserve"> </w:t>
      </w:r>
      <w:r>
        <w:t xml:space="preserve">rather than</w:t>
      </w:r>
      <w:r>
        <w:t xml:space="preserve"> </w:t>
      </w:r>
      <w:r>
        <w:rPr>
          <w:smallCaps/>
        </w:rPr>
        <w:t xml:space="preserve">Full</w:t>
      </w:r>
      <w:r>
        <w:t xml:space="preserve">. RQ3 measures selected calibrated work relative to</w:t>
      </w:r>
      <w:r>
        <w:t xml:space="preserve"> </w:t>
      </w:r>
      <w:r>
        <w:rPr>
          <w:smallCaps/>
        </w:rPr>
        <w:t xml:space="preserve">Full</w:t>
      </w:r>
      <w:r>
        <w:t xml:space="preserve">, and RQ4 looks at which native work domains actually remain local. RQ5 compares exact, radius, changed-fraction, and empirical policies under the same campaign. RQ6 checks whether the safety contract carries over to a trained 3DGS representation. Finally, RQ7 asks whether exact sparse discovery can remove the full-scan Gaussian bottleneck seen in the frozen path.</w:t>
      </w:r>
    </w:p>
    <w:p>
      <w:pPr>
        <w:pStyle w:val="BodyText"/>
      </w:pPr>
      <w:r>
        <w:t xml:space="preserve">The final public v2.1 campaign contains 60 frozen revisions over Tanks &amp; Temples Train/Truck and Deep Blending Dr Johnson/Playroom inputs from the pinned GraphDECO bundle. The repository manifest fixes the source archive size and SHA-256, and the work calibration is frozen before this campaign is run. We also keep an earlier execution in which a requested translation fell below the production effective-edit threshold. Rather than retuning or deleting that case, we preserve it as protocol history; v2.1 enforces the production precondition and records both requested and applied edit deltas.</w:t>
      </w:r>
    </w:p>
    <w:p>
      <w:pPr>
        <w:pStyle w:val="BodyText"/>
      </w:pPr>
      <w:r>
        <w:t xml:space="preserve">For each selected repair, the campaign stores the source edit, chosen cone, local/full decision, certificate, independent full-reference residual, native work, calibrated work, and provenance. Fallbacks stay in the dataset and in the summary statistics; they are part of the method’s behavior, not failed trials to be filtered out.</w:t>
      </w:r>
    </w:p>
    <w:bookmarkStart w:id="55" w:name="runtime-scope."/>
    <w:p>
      <w:pPr>
        <w:pStyle w:val="Heading4"/>
      </w:pPr>
      <w:r>
        <w:t xml:space="preserve">Runtime scope.</w:t>
      </w:r>
    </w:p>
    <w:p>
      <w:pPr>
        <w:pStyle w:val="FirstParagraph"/>
      </w:pPr>
      <w:r>
        <w:t xml:space="preserve">The current campaign does not include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We therefore make no speedup claim. The public headline is a frozen heterogeneous work ratio calibrated from millisecond measurements, whereas the baseline suite reports a different native work-ratio metric. We label the two separately because collapsing them into one number would overstate what was actually measured.</w:t>
      </w:r>
    </w:p>
    <w:bookmarkEnd w:id="55"/>
    <w:bookmarkEnd w:id="56"/>
    <w:bookmarkStart w:id="57" w:name="baselines-and-ablations"/>
    <w:p>
      <w:pPr>
        <w:pStyle w:val="Heading2"/>
      </w:pPr>
      <w:r>
        <w:rPr>
          <w:rStyle w:val="SectionNumber"/>
        </w:rPr>
        <w:t xml:space="preserve">6.2</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fixed-radius policies, a changed-fraction policy, a held-out empirical scheduler, and CBRC. Empirical information may change the order in which candidates are explored, but it is not allowed into the certificate. Structural and analytic ablations remove or replace individual components. Separately, a deterministic mechanism-isolation suite creates stress cases for exact closure, analytic Gaussian influence, temporal influence, quantity-of-interest specialization, hard/soft separation, graph propagation, and fallback behavior.</w:t>
      </w:r>
    </w:p>
    <w:p>
      <w:pPr>
        <w:pStyle w:val="BodyText"/>
      </w:pPr>
      <w:r>
        <w:t xml:space="preserve">We do not retune the real campaign just to make every ablation look different. Several structural ablations are neutral on the frozen matrix, and we report them that way. The synthetic mechanism suite serves a different purpose: it shows that a mechanism can be made consequential in a controlled stress case, not that the same mechanism determines effect size for every real revision.</w:t>
      </w:r>
    </w:p>
    <w:bookmarkEnd w:id="57"/>
    <w:bookmarkStart w:id="58" w:name="metrics"/>
    <w:p>
      <w:pPr>
        <w:pStyle w:val="Heading2"/>
      </w:pPr>
      <w:r>
        <w:rPr>
          <w:rStyle w:val="SectionNumber"/>
        </w:rPr>
        <w:t xml:space="preserve">6.3</w:t>
      </w:r>
      <w:r>
        <w:tab/>
      </w:r>
      <w:r>
        <w:t xml:space="preserve">Metrics</w:t>
      </w:r>
    </w:p>
    <w:p>
      <w:pPr>
        <w:pStyle w:val="FirstParagraph"/>
      </w:pPr>
      <w:r>
        <w:t xml:space="preserve">Our primary correctness metric is the number of violations of Eq. 1. We also report local/fallback counts, native/reference planner agreement, the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is only meaningful when the independent residual is non-zero. When the measured residual is numerically zero, we leave effectivity undefined rather than manufacture a finite value with an arbitrary denominator floor.</w:t>
      </w:r>
    </w:p>
    <w:bookmarkEnd w:id="58"/>
    <w:bookmarkEnd w:id="59"/>
    <w:bookmarkStart w:id="73" w:name="sec:results"/>
    <w:p>
      <w:pPr>
        <w:pStyle w:val="Heading1"/>
      </w:pPr>
      <w:r>
        <w:rPr>
          <w:rStyle w:val="SectionNumber"/>
        </w:rPr>
        <w:t xml:space="preserve">7</w:t>
      </w:r>
      <w:r>
        <w:tab/>
      </w:r>
      <w:r>
        <w:t xml:space="preserve">Results</w:t>
      </w:r>
    </w:p>
    <w:bookmarkStart w:id="60" w:name="public-rgbsfm-campaign"/>
    <w:p>
      <w:pPr>
        <w:pStyle w:val="Heading2"/>
      </w:pPr>
      <w:r>
        <w:rPr>
          <w:rStyle w:val="SectionNumber"/>
        </w:rPr>
        <w:t xml:space="preserve">7.1</w:t>
      </w:r>
      <w:r>
        <w:tab/>
      </w:r>
      <w:r>
        <w:t xml:space="preserve">Public RGB/SfM campaign</w:t>
      </w:r>
    </w:p>
    <w:p>
      <w:pPr>
        <w:pStyle w:val="FirstParagraph"/>
      </w:pPr>
      <w:r>
        <w:t xml:space="preserve">Across the 60 frozen public revisions, CBRC chose a certified local repair 44 times and returned</w:t>
      </w:r>
      <w:r>
        <w:t xml:space="preserve"> </w:t>
      </w:r>
      <w:r>
        <w:rPr>
          <w:smallCaps/>
        </w:rPr>
        <w:t xml:space="preserve">Full</w:t>
      </w:r>
      <w:r>
        <w:t xml:space="preserve"> </w:t>
      </w:r>
      <w:r>
        <w:t xml:space="preserve">16 times. Figure 3 shows examples of both outcomes, and Table 3 collects the aggregate numbers. We observed no certificate violation, and the native and reference planners agreed on every decision. At the reported</w:t>
      </w:r>
      <w:r>
        <w:t xml:space="preserve"> </w:t>
      </w:r>
      <m:oMath>
        <m:sSub>
          <m:e>
            <m:r>
              <m:t>L</m:t>
            </m:r>
          </m:e>
          <m:sub>
            <m:r>
              <m:rPr>
                <m:sty m:val="p"/>
              </m:rPr>
              <m:t>∞</m:t>
            </m:r>
          </m:sub>
        </m:sSub>
      </m:oMath>
      <w:r>
        <w:t xml:space="preserve"> </w:t>
      </w:r>
      <w:r>
        <w:t xml:space="preserve">precision, the largest measured RGB residual after the selected repair was 0; the largest emitted bound among selected cases was</w:t>
      </w:r>
      <w:r>
        <w:t xml:space="preserve"> </w:t>
      </w:r>
      <m:oMath>
        <m:r>
          <m:t>2</m:t>
        </m:r>
        <m:r>
          <m:rPr>
            <m:sty m:val="p"/>
          </m:rPr>
          <m:t>×</m:t>
        </m:r>
        <m:sSup>
          <m:e>
            <m:r>
              <m:t>10</m:t>
            </m:r>
          </m:e>
          <m:sup>
            <m:r>
              <m:rPr>
                <m:sty m:val="p"/>
              </m:rPr>
              <m:t>−</m:t>
            </m:r>
            <m:r>
              <m:t>6</m:t>
            </m:r>
          </m:sup>
        </m:sSup>
      </m:oMath>
      <w:r>
        <w:t xml:space="preserve">.</w:t>
      </w:r>
    </w:p>
    <w:p>
      <w:pPr>
        <w:pStyle w:val="BodyText"/>
      </w:pPr>
      <w:r>
        <w:t xml:space="preserve">A zero selected residual would be less informative if the edits were visually negligible to begin with, so we checked that separately. Before repair, 56 of the 60 source edits were already above the protected RGB tolerance. This rules out the simplest explanation that almost all edits were below the quantity-of-interest threshold anyway.</w:t>
      </w:r>
    </w:p>
    <w:p>
      <w:pPr>
        <w:pStyle w:val="BodyText"/>
      </w:pPr>
      <w:r>
        <w:t xml:space="preserve">The frozen isolated millisecond cost model reports a median selected heterogeneous work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tc>
        <w:tc>
          <w:tcPr>
            <w:tcW w:type="dxa" w:w="5112"/>
          </w:tcPr>
          <w:p>
            <w:pPr>
              <w:jc w:val="right"/>
            </w:pPr>
            <w:r>
              <w:t>(16)</w:t>
            </w:r>
          </w:p>
        </w:tc>
      </w:tr>
    </w:tbl>
    <w:p>
      <w:pPr>
        <w:pStyle w:val="FirstParagraph"/>
      </w:pPr>
      <w:r>
        <w:t xml:space="preserve">which corresponds to 2.706</w:t>
      </w:r>
      <m:oMath>
        <m:r>
          <m:rPr>
            <m:sty m:val="p"/>
          </m:rPr>
          <m:t>×</m:t>
        </m:r>
      </m:oMath>
      <w:r>
        <w:t xml:space="preserve"> </w:t>
      </w:r>
      <w:r>
        <w:t xml:space="preserve">lower calibrated work. We avoid calling this a 2.706</w:t>
      </w:r>
      <m:oMath>
        <m:r>
          <m:rPr>
            <m:sty m:val="p"/>
          </m:rPr>
          <m:t>×</m:t>
        </m:r>
      </m:oMath>
      <w:r>
        <w:t xml:space="preserve"> </w:t>
      </w:r>
      <w:r>
        <w:t xml:space="preserve">speedup. The public scalar is assembled from frozen per-domain microbenchmarks, whereas campaign phase wall times are recorded separately. A speedup claim would require a paired local-versus-full end-to-end timing experiment under the same conditions.</w:t>
      </w:r>
    </w:p>
    <w:bookmarkEnd w:id="60"/>
    <w:bookmarkStart w:id="66" w:name="method-comparison"/>
    <w:p>
      <w:pPr>
        <w:pStyle w:val="Heading2"/>
      </w:pPr>
      <w:r>
        <w:rPr>
          <w:rStyle w:val="SectionNumber"/>
        </w:rPr>
        <w:t xml:space="preserve">7.2</w:t>
      </w:r>
      <w:r>
        <w:tab/>
      </w:r>
      <w:r>
        <w:t xml:space="preserve">Method comparison</w:t>
      </w:r>
    </w:p>
    <w:p>
      <w:pPr>
        <w:pStyle w:val="FirstParagraph"/>
      </w:pPr>
      <w:r>
        <w:t xml:space="preserve">Table 2 compares the method-level baselines on the same 60 frozen cases. Every selected cone is re-certified using the conservative certificate, so</w:t>
      </w:r>
      <w:r>
        <w:t xml:space="preserve"> </w:t>
      </w:r>
      <w:r>
        <w:rPr>
          <w:iCs/>
          <w:i/>
        </w:rPr>
        <w:t xml:space="preserve">certificate pass</w:t>
      </w:r>
      <w:r>
        <w:t xml:space="preserve"> </w:t>
      </w:r>
      <w:r>
        <w:t xml:space="preserve">should not be confused with an independent measured-error metric. The exact-only, radius, and changed-fraction policies often select very little work, but most of those selections do not pass the certificate. The empirical-order baseline uses empirical influence only to decide expansion order; the final candidate is still certified analytically. We discuss the held-out changed-fraction heuristic separately below.</w:t>
      </w:r>
    </w:p>
    <w:bookmarkStart w:id="61" w:name="tab:baselines"/>
    <w:p>
      <w:pPr>
        <w:pStyle w:val="TableCaption"/>
        <w:keepNext/>
      </w:pPr>
      <w:r>
        <w:t xml:space="preserve">Table 2. </w:t>
      </w:r>
      <w:r>
        <w:t xml:space="preserve">Frozen public method comparison. The work column is the baseline suite’s native work-ratio metric and is distinct from the calibrated heterogeneous headline ratio of 0.36953.</w:t>
      </w:r>
      <w:r>
        <w:t xml:space="preserve"> </w:t>
      </w:r>
      <w:r>
        <w:rPr>
          <w:iCs/>
          <w:i/>
        </w:rPr>
        <w:t xml:space="preserve">Uncertified</w:t>
      </w:r>
      <w:r>
        <w:t xml:space="preserve"> </w:t>
      </w:r>
      <w:r>
        <w:t xml:space="preserve">means the selected cone failed the conservative certificate, not that an independent oracle violation was observed. All four tested radius policies produced the same aggregate values on this matrix.</w:t>
      </w:r>
    </w:p>
    <w:tbl>
      <w:tblPr>
        <w:tblW w:type="auto" w:w="0"/>
        <w:tblLayout w:type="fixed"/>
        <w:tblLook w:firstRow="1" w:lastRow="0" w:firstColumn="0" w:lastColumn="0" w:noHBand="0" w:noVBand="0" w:val="0020"/>
        <w:jc w:val="start"/>
        <w:tblCaption w:val="Frozen public method comparison. The work column is the baseline suite’s native work-ratio metric and is distinct from the calibrated heterogeneous headline ratio of 0.36953. Uncertified means the selected cone failed the conservative certificate, not that an independent oracle violation was observed. All four tested radius policies produced the same aggregate values on this matrix."/>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Method</w:t>
            </w:r>
          </w:p>
        </w:tc>
        <w:tc>
          <w:tcPr>
            <w:tcW w:type="dxa" w:w="936"/>
          </w:tcPr>
          <w:p>
            <w:pPr>
              <w:pStyle w:val="Compact"/>
              <w:spacing w:after="40" w:before="40"/>
              <w:jc w:val="left"/>
            </w:pPr>
            <w:r>
              <w:rPr>
                <w:b/>
                <w:sz w:val="18"/>
              </w:rPr>
              <w:t xml:space="preserve">Cert. pass</w:t>
            </w:r>
          </w:p>
        </w:tc>
        <w:tc>
          <w:tcPr>
            <w:tcW w:type="dxa" w:w="1152"/>
          </w:tcPr>
          <w:p>
            <w:pPr>
              <w:pStyle w:val="Compact"/>
              <w:spacing w:after="40" w:before="40"/>
              <w:jc w:val="left"/>
            </w:pPr>
            <w:r>
              <w:rPr>
                <w:b/>
                <w:sz w:val="18"/>
              </w:rPr>
              <w:t xml:space="preserve">Uncertified</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3600"/>
          </w:tcPr>
          <w:p>
            <w:pPr>
              <w:pStyle w:val="Compact"/>
              <w:spacing w:after="40" w:before="40"/>
              <w:jc w:val="left"/>
            </w:pPr>
            <w:r>
              <w:rPr>
                <w:b/>
                <w:sz w:val="18"/>
              </w:rPr>
              <w:t xml:space="preserve">Decision rule</w:t>
            </w:r>
          </w:p>
        </w:tc>
      </w:tr>
      <w:tr>
        <w:trPr>
          <w:cantSplit/>
        </w:trPr>
        <w:tc>
          <w:tcPr>
            <w:tcW w:type="dxa" w:w="2160"/>
          </w:tcPr>
          <w:p>
            <w:pPr>
              <w:pStyle w:val="Compact"/>
              <w:spacing w:after="40" w:before="40"/>
              <w:jc w:val="left"/>
            </w:pPr>
            <w:r>
              <w:rPr>
                <w:smallCaps/>
                <w:sz w:val="18"/>
              </w:rPr>
              <w:t xml:space="preserve">Full</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3600"/>
          </w:tcPr>
          <w:p>
            <w:pPr>
              <w:pStyle w:val="Compact"/>
              <w:spacing w:after="40" w:before="40"/>
              <w:jc w:val="left"/>
            </w:pPr>
            <w:r>
              <w:rPr>
                <w:sz w:val="18"/>
              </w:rPr>
              <w:t xml:space="preserve">full reference</w:t>
            </w:r>
          </w:p>
        </w:tc>
      </w:tr>
      <w:tr>
        <w:trPr>
          <w:cantSplit/>
        </w:trPr>
        <w:tc>
          <w:tcPr>
            <w:tcW w:type="dxa" w:w="2160"/>
          </w:tcPr>
          <w:p>
            <w:pPr>
              <w:pStyle w:val="Compact"/>
              <w:spacing w:after="40" w:before="40"/>
              <w:jc w:val="left"/>
            </w:pPr>
            <w:r>
              <w:rPr>
                <w:sz w:val="18"/>
              </w:rPr>
              <w:t xml:space="preserve">Exact only</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exact closure only</w:t>
            </w:r>
          </w:p>
        </w:tc>
      </w:tr>
      <w:tr>
        <w:trPr>
          <w:cantSplit/>
        </w:trPr>
        <w:tc>
          <w:tcPr>
            <w:tcW w:type="dxa" w:w="2160"/>
          </w:tcPr>
          <w:p>
            <w:pPr>
              <w:pStyle w:val="Compact"/>
              <w:spacing w:after="40" w:before="40"/>
              <w:jc w:val="left"/>
            </w:pPr>
            <w:r>
              <w:rPr>
                <w:sz w:val="18"/>
              </w:rPr>
              <w:t xml:space="preserve">Radius 0–3</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fixed graph radius</w:t>
            </w:r>
          </w:p>
        </w:tc>
      </w:tr>
      <w:tr>
        <w:trPr>
          <w:cantSplit/>
        </w:trPr>
        <w:tc>
          <w:tcPr>
            <w:tcW w:type="dxa" w:w="2160"/>
          </w:tcPr>
          <w:p>
            <w:pPr>
              <w:pStyle w:val="Compact"/>
              <w:spacing w:after="40" w:before="40"/>
              <w:jc w:val="left"/>
            </w:pPr>
            <w:r>
              <w:rPr>
                <w:sz w:val="18"/>
              </w:rPr>
              <w:t xml:space="preserve">Changed fraction</w:t>
            </w:r>
          </w:p>
        </w:tc>
        <w:tc>
          <w:tcPr>
            <w:tcW w:type="dxa" w:w="936"/>
          </w:tcPr>
          <w:p>
            <w:pPr>
              <w:pStyle w:val="Compact"/>
              <w:spacing w:after="40" w:before="40"/>
              <w:jc w:val="left"/>
            </w:pPr>
            <w:r>
              <w:rPr>
                <w:sz w:val="18"/>
              </w:rPr>
              <w:t xml:space="preserve">40.0%</w:t>
            </w:r>
          </w:p>
        </w:tc>
        <w:tc>
          <w:tcPr>
            <w:tcW w:type="dxa" w:w="1152"/>
          </w:tcPr>
          <w:p>
            <w:pPr>
              <w:pStyle w:val="Compact"/>
              <w:spacing w:after="40" w:before="40"/>
              <w:jc w:val="left"/>
            </w:pPr>
            <w:r>
              <w:rPr>
                <w:sz w:val="18"/>
              </w:rPr>
              <w:t xml:space="preserve">60.0%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threshold policy</w:t>
            </w:r>
          </w:p>
        </w:tc>
      </w:tr>
      <w:tr>
        <w:trPr>
          <w:cantSplit/>
        </w:trPr>
        <w:tc>
          <w:tcPr>
            <w:tcW w:type="dxa" w:w="2160"/>
          </w:tcPr>
          <w:p>
            <w:pPr>
              <w:pStyle w:val="Compact"/>
              <w:spacing w:after="40" w:before="40"/>
              <w:jc w:val="left"/>
            </w:pPr>
            <w:r>
              <w:rPr>
                <w:sz w:val="18"/>
              </w:rPr>
              <w:t xml:space="preserve">Empirical order + certifier</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empirical ordering, analytic recertification</w:t>
            </w:r>
          </w:p>
        </w:tc>
      </w:tr>
      <w:tr>
        <w:trPr>
          <w:cantSplit/>
        </w:trPr>
        <w:tc>
          <w:tcPr>
            <w:tcW w:type="dxa" w:w="2160"/>
          </w:tcPr>
          <w:p>
            <w:pPr>
              <w:pStyle w:val="Compact"/>
              <w:spacing w:after="40" w:before="40"/>
              <w:jc w:val="left"/>
            </w:pPr>
            <w:r>
              <w:rPr>
                <w:sz w:val="18"/>
              </w:rPr>
              <w:t xml:space="preserve">CBRC</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certificate + work crossover + fallback</w:t>
            </w:r>
          </w:p>
        </w:tc>
      </w:tr>
    </w:tbl>
    <w:bookmarkEnd w:id="61"/>
    <w:p>
      <w:pPr>
        <w:pStyle w:val="CaptionedFigure"/>
        <w:keepNext/>
      </w:pPr>
      <w:r>
        <w:drawing>
          <wp:inline>
            <wp:extent cx="5067300" cy="3040379"/>
            <wp:effectExtent b="0" l="0" r="0" t="0"/>
            <wp:docPr descr="" title="" id="63" name="Picture"/>
            <a:graphic>
              <a:graphicData uri="http://schemas.openxmlformats.org/drawingml/2006/picture">
                <pic:pic>
                  <pic:nvPicPr>
                    <pic:cNvPr descr="figures/qualitative_frozen.png" id="64" name="Picture"/>
                    <pic:cNvPicPr>
                      <a:picLocks noChangeArrowheads="1" noChangeAspect="1"/>
                    </pic:cNvPicPr>
                  </pic:nvPicPr>
                  <pic:blipFill>
                    <a:blip r:embed="rId62"/>
                    <a:stretch>
                      <a:fillRect/>
                    </a:stretch>
                  </pic:blipFill>
                  <pic:spPr bwMode="auto">
                    <a:xfrm>
                      <a:off x="0" y="0"/>
                      <a:ext cx="5067300" cy="3040379"/>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frozen revision outcomes. Top: a certified local case repairs only the selected support and matches the independent</w:t>
      </w:r>
      <w:r>
        <w:t xml:space="preserve"> </w:t>
      </w:r>
      <w:r>
        <w:rPr>
          <w:smallCaps/>
        </w:rPr>
        <w:t xml:space="preserve">Full</w:t>
      </w:r>
      <w:r>
        <w:t xml:space="preserve">-after reference at the reported precision. Bottom: a higher-coupling revision expands to an automatic</w:t>
      </w:r>
      <w:r>
        <w:t xml:space="preserve"> </w:t>
      </w:r>
      <w:r>
        <w:rPr>
          <w:smallCaps/>
        </w:rPr>
        <w:t xml:space="preserve">Full</w:t>
      </w:r>
      <w:r>
        <w:t xml:space="preserve"> </w:t>
      </w:r>
      <w:r>
        <w:t xml:space="preserve">fallback rather than forcing a local decision. The intended-edit and certified-support panels make the source effect and selected scope explicit; the residual panel is computed against the independent full-after oracle.</w:t>
      </w:r>
    </w:p>
    <w:bookmarkStart w:id="65" w:name="tab:summary"/>
    <w:p>
      <w:pPr>
        <w:pStyle w:val="TableCaption"/>
        <w:keepNext/>
      </w:pPr>
      <w:r>
        <w:t xml:space="preserve">Table 3. </w:t>
      </w:r>
      <w:r>
        <w:t xml:space="preserve">Canonical evidence summary. Work factors are not wall-clock speedups.</w:t>
      </w:r>
    </w:p>
    <w:tbl>
      <w:tblPr>
        <w:tblW w:type="auto" w:w="0"/>
        <w:tblLayout w:type="fixed"/>
        <w:tblLook w:firstRow="1" w:lastRow="0" w:firstColumn="0" w:lastColumn="0" w:noHBand="0" w:noVBand="0" w:val="0020"/>
        <w:jc w:val="start"/>
        <w:tblCaption w:val="Canonical evidence summary. Work factors are not wall-clock speedups."/>
        <w:tblBorders>
          <w:top w:val="single" w:sz="4" w:color="B0B0B0"/>
          <w:bottom w:val="single" w:sz="4" w:color="B0B0B0"/>
          <w:insideH w:val="single" w:sz="4" w:color="B0B0B0"/>
        </w:tblBorders>
      </w:tblPr>
      <w:tblGrid>
        <w:gridCol w:w="4464"/>
        <w:gridCol w:w="2880"/>
        <w:gridCol w:w="2880"/>
      </w:tblGrid>
      <w:tr>
        <w:trPr>
          <w:tblHeader w:val="true"/>
          <w:cantSplit/>
          <w:tblHeader/>
        </w:trPr>
        <w:tc>
          <w:tcPr>
            <w:tcW w:type="dxa" w:w="4464"/>
          </w:tcPr>
          <w:p>
            <w:pPr>
              <w:pStyle w:val="Compact"/>
              <w:spacing w:after="40" w:before="40"/>
            </w:pPr>
          </w:p>
        </w:tc>
        <w:tc>
          <w:tcPr>
            <w:tcW w:type="dxa" w:w="2880"/>
          </w:tcPr>
          <w:p>
            <w:pPr>
              <w:pStyle w:val="Compact"/>
              <w:spacing w:after="40" w:before="40"/>
              <w:jc w:val="left"/>
            </w:pPr>
            <w:r>
              <w:rPr>
                <w:b/>
                <w:sz w:val="18"/>
              </w:rPr>
              <w:t xml:space="preserve">Public RGB/SfM</w:t>
            </w:r>
          </w:p>
        </w:tc>
        <w:tc>
          <w:tcPr>
            <w:tcW w:type="dxa" w:w="2880"/>
          </w:tcPr>
          <w:p>
            <w:pPr>
              <w:pStyle w:val="Compact"/>
              <w:spacing w:after="40" w:before="40"/>
              <w:jc w:val="left"/>
            </w:pPr>
            <w:r>
              <w:rPr>
                <w:b/>
                <w:sz w:val="18"/>
              </w:rPr>
              <w:t xml:space="preserve">Trained 3DGS</w:t>
            </w:r>
          </w:p>
        </w:tc>
      </w:tr>
      <w:tr>
        <w:trPr>
          <w:cantSplit/>
        </w:trPr>
        <w:tc>
          <w:tcPr>
            <w:tcW w:type="dxa" w:w="4464"/>
          </w:tcPr>
          <w:p>
            <w:pPr>
              <w:pStyle w:val="Compact"/>
              <w:spacing w:after="40" w:before="40"/>
              <w:jc w:val="left"/>
            </w:pPr>
            <w:r>
              <w:rPr>
                <w:sz w:val="18"/>
              </w:rPr>
              <w:t xml:space="preserve">Cases</w:t>
            </w:r>
          </w:p>
        </w:tc>
        <w:tc>
          <w:tcPr>
            <w:tcW w:type="dxa" w:w="2880"/>
          </w:tcPr>
          <w:p>
            <w:pPr>
              <w:pStyle w:val="Compact"/>
              <w:spacing w:after="40" w:before="40"/>
              <w:jc w:val="left"/>
            </w:pPr>
            <w:r>
              <w:rPr>
                <w:sz w:val="18"/>
              </w:rPr>
              <w:t xml:space="preserve">60</w:t>
            </w:r>
          </w:p>
        </w:tc>
        <w:tc>
          <w:tcPr>
            <w:tcW w:type="dxa" w:w="2880"/>
          </w:tcPr>
          <w:p>
            <w:pPr>
              <w:pStyle w:val="Compact"/>
              <w:spacing w:after="40" w:before="40"/>
              <w:jc w:val="left"/>
            </w:pPr>
            <w:r>
              <w:rPr>
                <w:sz w:val="18"/>
              </w:rPr>
              <w:t xml:space="preserve">5</w:t>
            </w:r>
          </w:p>
        </w:tc>
      </w:tr>
      <w:tr>
        <w:trPr>
          <w:cantSplit/>
        </w:trPr>
        <w:tc>
          <w:tcPr>
            <w:tcW w:type="dxa" w:w="4464"/>
          </w:tcPr>
          <w:p>
            <w:pPr>
              <w:pStyle w:val="Compact"/>
              <w:spacing w:after="40" w:before="40"/>
              <w:jc w:val="left"/>
            </w:pPr>
            <w:r>
              <w:rPr>
                <w:sz w:val="18"/>
              </w:rPr>
              <w:t xml:space="preserve">Certified local</w:t>
            </w:r>
          </w:p>
        </w:tc>
        <w:tc>
          <w:tcPr>
            <w:tcW w:type="dxa" w:w="2880"/>
          </w:tcPr>
          <w:p>
            <w:pPr>
              <w:pStyle w:val="Compact"/>
              <w:spacing w:after="40" w:before="40"/>
              <w:jc w:val="left"/>
            </w:pPr>
            <w:r>
              <w:rPr>
                <w:sz w:val="18"/>
              </w:rPr>
              <w:t xml:space="preserve">44</w:t>
            </w:r>
          </w:p>
        </w:tc>
        <w:tc>
          <w:tcPr>
            <w:tcW w:type="dxa" w:w="2880"/>
          </w:tcPr>
          <w:p>
            <w:pPr>
              <w:pStyle w:val="Compact"/>
              <w:spacing w:after="40" w:before="40"/>
              <w:jc w:val="left"/>
            </w:pPr>
            <w:r>
              <w:rPr>
                <w:sz w:val="18"/>
              </w:rPr>
              <w:t xml:space="preserve">4</w:t>
            </w:r>
          </w:p>
        </w:tc>
      </w:tr>
      <w:tr>
        <w:trPr>
          <w:cantSplit/>
        </w:trPr>
        <w:tc>
          <w:tcPr>
            <w:tcW w:type="dxa" w:w="4464"/>
          </w:tcPr>
          <w:p>
            <w:pPr>
              <w:pStyle w:val="Compact"/>
              <w:spacing w:after="40" w:before="40"/>
              <w:jc w:val="left"/>
            </w:pPr>
            <w:r>
              <w:rPr>
                <w:sz w:val="18"/>
              </w:rPr>
              <w:t xml:space="preserve">FULL fallback</w:t>
            </w:r>
          </w:p>
        </w:tc>
        <w:tc>
          <w:tcPr>
            <w:tcW w:type="dxa" w:w="2880"/>
          </w:tcPr>
          <w:p>
            <w:pPr>
              <w:pStyle w:val="Compact"/>
              <w:spacing w:after="40" w:before="40"/>
              <w:jc w:val="left"/>
            </w:pPr>
            <w:r>
              <w:rPr>
                <w:sz w:val="18"/>
              </w:rPr>
              <w:t xml:space="preserve">16</w:t>
            </w:r>
          </w:p>
        </w:tc>
        <w:tc>
          <w:tcPr>
            <w:tcW w:type="dxa" w:w="2880"/>
          </w:tcPr>
          <w:p>
            <w:pPr>
              <w:pStyle w:val="Compact"/>
              <w:spacing w:after="40" w:before="40"/>
              <w:jc w:val="left"/>
            </w:pPr>
            <w:r>
              <w:rPr>
                <w:sz w:val="18"/>
              </w:rPr>
              <w:t xml:space="preserve">1</w:t>
            </w:r>
          </w:p>
        </w:tc>
      </w:tr>
      <w:tr>
        <w:trPr>
          <w:cantSplit/>
        </w:trPr>
        <w:tc>
          <w:tcPr>
            <w:tcW w:type="dxa" w:w="4464"/>
          </w:tcPr>
          <w:p>
            <w:pPr>
              <w:pStyle w:val="Compact"/>
              <w:spacing w:after="40" w:before="40"/>
              <w:jc w:val="left"/>
            </w:pPr>
            <w:r>
              <w:rPr>
                <w:sz w:val="18"/>
              </w:rPr>
              <w:t xml:space="preserve">Observed violations</w:t>
            </w:r>
          </w:p>
        </w:tc>
        <w:tc>
          <w:tcPr>
            <w:tcW w:type="dxa" w:w="2880"/>
          </w:tcPr>
          <w:p>
            <w:pPr>
              <w:pStyle w:val="Compact"/>
              <w:spacing w:after="40" w:before="40"/>
              <w:jc w:val="left"/>
            </w:pPr>
            <w:r>
              <w:rPr>
                <w:sz w:val="18"/>
              </w:rPr>
              <w:t xml:space="preserve">0</w:t>
            </w:r>
          </w:p>
        </w:tc>
        <w:tc>
          <w:tcPr>
            <w:tcW w:type="dxa" w:w="2880"/>
          </w:tcPr>
          <w:p>
            <w:pPr>
              <w:pStyle w:val="Compact"/>
              <w:spacing w:after="40" w:before="40"/>
              <w:jc w:val="left"/>
            </w:pPr>
            <w:r>
              <w:rPr>
                <w:sz w:val="18"/>
              </w:rPr>
              <w:t xml:space="preserve">0</w:t>
            </w:r>
          </w:p>
        </w:tc>
      </w:tr>
      <w:tr>
        <w:trPr>
          <w:cantSplit/>
        </w:trPr>
        <w:tc>
          <w:tcPr>
            <w:tcW w:type="dxa" w:w="4464"/>
          </w:tcPr>
          <w:p>
            <w:pPr>
              <w:pStyle w:val="Compact"/>
              <w:spacing w:after="40" w:before="40"/>
              <w:jc w:val="left"/>
            </w:pPr>
            <w:r>
              <w:rPr>
                <w:sz w:val="18"/>
              </w:rPr>
              <w:t xml:space="preserve">Selected work / FULL</w:t>
            </w:r>
          </w:p>
        </w:tc>
        <w:tc>
          <w:tcPr>
            <w:tcW w:type="dxa" w:w="2880"/>
          </w:tcPr>
          <w:p>
            <w:pPr>
              <w:pStyle w:val="Compact"/>
              <w:spacing w:after="40" w:before="40"/>
              <w:jc w:val="left"/>
            </w:pPr>
            <w:r>
              <w:rPr>
                <w:sz w:val="18"/>
              </w:rPr>
              <w:t xml:space="preserve">0.36953</w:t>
            </w:r>
          </w:p>
        </w:tc>
        <w:tc>
          <w:tcPr>
            <w:tcW w:type="dxa" w:w="2880"/>
          </w:tcPr>
          <w:p>
            <w:pPr>
              <w:pStyle w:val="Compact"/>
              <w:spacing w:after="40" w:before="40"/>
              <w:jc w:val="left"/>
            </w:pPr>
            <w:r>
              <w:rPr>
                <w:sz w:val="18"/>
              </w:rPr>
              <w:t xml:space="preserve">0.03495†</w:t>
            </w:r>
          </w:p>
        </w:tc>
      </w:tr>
      <w:tr>
        <w:trPr>
          <w:cantSplit/>
        </w:trPr>
        <w:tc>
          <w:tcPr>
            <w:tcW w:type="dxa" w:w="4464"/>
          </w:tcPr>
          <w:p>
            <w:pPr>
              <w:pStyle w:val="Compact"/>
              <w:spacing w:after="40" w:before="40"/>
              <w:jc w:val="left"/>
            </w:pPr>
            <w:r>
              <w:rPr>
                <w:sz w:val="18"/>
              </w:rPr>
              <w:t xml:space="preserve">Reported reduction</w:t>
            </w:r>
          </w:p>
        </w:tc>
        <w:tc>
          <w:tcPr>
            <w:tcW w:type="dxa" w:w="2880"/>
          </w:tcPr>
          <w:p>
            <w:pPr>
              <w:pStyle w:val="Compact"/>
              <w:spacing w:after="40" w:before="40"/>
              <w:jc w:val="left"/>
            </w:pPr>
            <w:r>
              <w:rPr>
                <w:sz w:val="18"/>
              </w:rPr>
              <w:t xml:space="preserve">2.706</w:t>
            </w:r>
            <m:oMath>
              <m:r>
                <m:rPr>
                  <m:sty m:val="p"/>
                </m:rPr>
                <m:t>×</m:t>
              </m:r>
            </m:oMath>
          </w:p>
        </w:tc>
        <w:tc>
          <w:tcPr>
            <w:tcW w:type="dxa" w:w="2880"/>
          </w:tcPr>
          <w:p>
            <w:pPr>
              <w:pStyle w:val="Compact"/>
              <w:spacing w:after="40" w:before="40"/>
              <w:jc w:val="left"/>
            </w:pPr>
            <w:r>
              <w:rPr>
                <w:sz w:val="18"/>
              </w:rPr>
              <w:t xml:space="preserve">28.614</w:t>
            </w:r>
            <m:oMath>
              <m:r>
                <m:rPr>
                  <m:sty m:val="p"/>
                </m:rPr>
                <m:t>×</m:t>
              </m:r>
            </m:oMath>
            <w:r>
              <w:rPr>
                <w:sz w:val="18"/>
              </w:rPr>
              <w:t xml:space="preserve">†</w:t>
            </w:r>
          </w:p>
        </w:tc>
      </w:tr>
      <w:tr>
        <w:trPr>
          <w:cantSplit/>
        </w:trPr>
        <w:tc>
          <w:tcPr>
            <w:tcW w:type="dxa" w:w="4464"/>
          </w:tcPr>
          <w:p>
            <w:pPr>
              <w:pStyle w:val="Compact"/>
              <w:spacing w:after="40" w:before="40"/>
              <w:jc w:val="left"/>
            </w:pPr>
            <w:r>
              <w:rPr>
                <w:sz w:val="18"/>
              </w:rPr>
              <w:t xml:space="preserve">Median inspection / FULL</w:t>
            </w:r>
          </w:p>
        </w:tc>
        <w:tc>
          <w:tcPr>
            <w:tcW w:type="dxa" w:w="2880"/>
          </w:tcPr>
          <w:p>
            <w:pPr>
              <w:pStyle w:val="Compact"/>
              <w:spacing w:after="40" w:before="40"/>
              <w:jc w:val="left"/>
            </w:pPr>
            <m:oMath>
              <m:r>
                <m:rPr>
                  <m:sty m:val="p"/>
                </m:rPr>
                <m:t>≈</m:t>
              </m:r>
              <m:r>
                <m:t>1.0</m:t>
              </m:r>
            </m:oMath>
          </w:p>
        </w:tc>
        <w:tc>
          <w:tcPr>
            <w:tcW w:type="dxa" w:w="2880"/>
          </w:tcPr>
          <w:p>
            <w:pPr>
              <w:pStyle w:val="Compact"/>
              <w:spacing w:after="40" w:before="40"/>
              <w:jc w:val="left"/>
            </w:pPr>
            <w:r>
              <w:rPr>
                <w:sz w:val="18"/>
              </w:rPr>
              <w:t xml:space="preserve">0.999997</w:t>
            </w:r>
          </w:p>
        </w:tc>
      </w:tr>
    </w:tbl>
    <w:bookmarkEnd w:id="65"/>
    <w:p>
      <w:pPr>
        <w:pStyle w:val="BodyText"/>
      </w:pPr>
      <w:r>
        <w:t xml:space="preserve">†Trained results use native temporal/output work, not the public calibrated model. Ratios and reduction factors are medians.</w:t>
      </w:r>
    </w:p>
    <w:bookmarkEnd w:id="66"/>
    <w:bookmarkStart w:id="68" w:name="trained-3dgs-representation-check"/>
    <w:p>
      <w:pPr>
        <w:pStyle w:val="Heading2"/>
      </w:pPr>
      <w:r>
        <w:rPr>
          <w:rStyle w:val="SectionNumber"/>
        </w:rPr>
        <w:t xml:space="preserve">7.3</w:t>
      </w:r>
      <w:r>
        <w:tab/>
      </w:r>
      <w:r>
        <w:t xml:space="preserve">Trained-3DGS representation check</w:t>
      </w:r>
    </w:p>
    <w:p>
      <w:pPr>
        <w:pStyle w:val="FirstParagraph"/>
      </w:pPr>
      <w:r>
        <w:t xml:space="preserve">For the secondary check, we use a pinned public trained 3DGS PLY and preserve its spherical-harmonic coefficients, opacity, anisotropic scale, and rotation. Across the five frozen revisions, CBRC chose four certified-local repairs and one full fallback, with no observed violation. Under the native temporal/output work definition used for this experiment, the median selected ratio was 0.03495 of</w:t>
      </w:r>
      <w:r>
        <w:t xml:space="preserve"> </w:t>
      </w:r>
      <w:r>
        <w:rPr>
          <w:smallCaps/>
        </w:rPr>
        <w:t xml:space="preserve">Full</w:t>
      </w:r>
      <w:r>
        <w:t xml:space="preserve">, or about 28.614</w:t>
      </w:r>
      <m:oMath>
        <m:r>
          <m:rPr>
            <m:sty m:val="p"/>
          </m:rPr>
          <m:t>×</m:t>
        </m:r>
      </m:oMath>
      <w:r>
        <w:t xml:space="preserve"> </w:t>
      </w:r>
      <w:r>
        <w:t xml:space="preserve">lower native work.</w:t>
      </w:r>
    </w:p>
    <w:p>
      <w:pPr>
        <w:pStyle w:val="BodyText"/>
      </w:pPr>
      <w:r>
        <w:t xml:space="preserve">The single scalar hides the most interesting part of this experiment, which is why we also report the domain decomposition in Table 4. Median Gaussian update and GPU publication ratios are about 0.0182, and temporal invalidation is about 0.03495. Gaussian inspection, however, remains 0.999997 of</w:t>
      </w:r>
      <w:r>
        <w:t xml:space="preserve"> </w:t>
      </w:r>
      <w:r>
        <w:rPr>
          <w:smallCaps/>
        </w:rPr>
        <w:t xml:space="preserve">Full</w:t>
      </w:r>
      <w:r>
        <w:t xml:space="preserve">. In other words, the update itself can be sharply local while finding the candidates is still almost global. We regard that as the main systems limitation of the frozen end-to-end implementation.</w:t>
      </w:r>
    </w:p>
    <w:bookmarkStart w:id="67" w:name="tab:trained"/>
    <w:p>
      <w:pPr>
        <w:pStyle w:val="TableCaption"/>
        <w:keepNext/>
      </w:pPr>
      <w:r>
        <w:t xml:space="preserve">Table 4. </w:t>
      </w:r>
      <w:r>
        <w:t xml:space="preserve">Median native-domain ratios in the trained-3DGS validation.</w:t>
      </w:r>
    </w:p>
    <w:tbl>
      <w:tblPr>
        <w:tblW w:type="auto" w:w="0"/>
        <w:tblLayout w:type="fixed"/>
        <w:tblLook w:firstRow="1" w:lastRow="0" w:firstColumn="0" w:lastColumn="0" w:noHBand="0" w:noVBand="0" w:val="0020"/>
        <w:jc w:val="start"/>
        <w:tblCaption w:val="Median native-domain ratios in the trained-3DGS validation."/>
        <w:tblBorders>
          <w:top w:val="single" w:sz="4" w:color="B0B0B0"/>
          <w:bottom w:val="single" w:sz="4" w:color="B0B0B0"/>
          <w:insideH w:val="single" w:sz="4" w:color="B0B0B0"/>
        </w:tblBorders>
      </w:tblPr>
      <w:tblGrid>
        <w:gridCol w:w="7344"/>
        <w:gridCol w:w="2880"/>
      </w:tblGrid>
      <w:tr>
        <w:trPr>
          <w:tblHeader w:val="true"/>
          <w:cantSplit/>
          <w:tblHeader/>
        </w:trPr>
        <w:tc>
          <w:tcPr>
            <w:tcW w:type="dxa" w:w="7344"/>
          </w:tcPr>
          <w:p>
            <w:pPr>
              <w:pStyle w:val="Compact"/>
              <w:spacing w:after="40" w:before="40"/>
              <w:jc w:val="left"/>
            </w:pPr>
            <w:r>
              <w:rPr>
                <w:bCs/>
                <w:b/>
                <w:sz w:val="18"/>
              </w:rPr>
              <w:t xml:space="preserve">Native domain</w:t>
            </w:r>
          </w:p>
        </w:tc>
        <w:tc>
          <w:tcPr>
            <w:tcW w:type="dxa" w:w="2880"/>
          </w:tcPr>
          <w:p>
            <w:pPr>
              <w:pStyle w:val="Compact"/>
              <w:spacing w:after="40" w:before="40"/>
              <w:jc w:val="left"/>
            </w:pPr>
            <w:r>
              <w:rPr>
                <w:bCs/>
                <w:b/>
                <w:sz w:val="18"/>
              </w:rPr>
              <w:t xml:space="preserve">Ratio /</w:t>
            </w:r>
            <w:r>
              <w:rPr>
                <w:bCs/>
                <w:b/>
                <w:sz w:val="18"/>
              </w:rPr>
              <w:t xml:space="preserve"> </w:t>
            </w:r>
            <w:r>
              <w:rPr>
                <w:smallCaps/>
                <w:bCs/>
                <w:b/>
                <w:sz w:val="18"/>
              </w:rPr>
              <w:t xml:space="preserve">Full</w:t>
            </w:r>
          </w:p>
        </w:tc>
      </w:tr>
      <w:tr>
        <w:trPr>
          <w:cantSplit/>
        </w:trPr>
        <w:tc>
          <w:tcPr>
            <w:tcW w:type="dxa" w:w="7344"/>
          </w:tcPr>
          <w:p>
            <w:pPr>
              <w:pStyle w:val="Compact"/>
              <w:spacing w:after="40" w:before="40"/>
              <w:jc w:val="left"/>
            </w:pPr>
            <w:r>
              <w:rPr>
                <w:sz w:val="18"/>
              </w:rPr>
              <w:t xml:space="preserve">Gaussian inspection</w:t>
            </w:r>
          </w:p>
        </w:tc>
        <w:tc>
          <w:tcPr>
            <w:tcW w:type="dxa" w:w="2880"/>
          </w:tcPr>
          <w:p>
            <w:pPr>
              <w:pStyle w:val="Compact"/>
              <w:spacing w:after="40" w:before="40"/>
              <w:jc w:val="left"/>
            </w:pPr>
            <w:r>
              <w:rPr>
                <w:sz w:val="18"/>
              </w:rPr>
              <w:t xml:space="preserve">0.999997</w:t>
            </w:r>
          </w:p>
        </w:tc>
      </w:tr>
      <w:tr>
        <w:trPr>
          <w:cantSplit/>
        </w:trPr>
        <w:tc>
          <w:tcPr>
            <w:tcW w:type="dxa" w:w="7344"/>
          </w:tcPr>
          <w:p>
            <w:pPr>
              <w:pStyle w:val="Compact"/>
              <w:spacing w:after="40" w:before="40"/>
              <w:jc w:val="left"/>
            </w:pPr>
            <w:r>
              <w:rPr>
                <w:sz w:val="18"/>
              </w:rPr>
              <w:t xml:space="preserve">Gaussian update</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GPU publication bytes</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Temporal pixels invalidated</w:t>
            </w:r>
          </w:p>
        </w:tc>
        <w:tc>
          <w:tcPr>
            <w:tcW w:type="dxa" w:w="2880"/>
          </w:tcPr>
          <w:p>
            <w:pPr>
              <w:pStyle w:val="Compact"/>
              <w:spacing w:after="40" w:before="40"/>
              <w:jc w:val="left"/>
            </w:pPr>
            <w:r>
              <w:rPr>
                <w:sz w:val="18"/>
              </w:rPr>
              <w:t xml:space="preserve">0.034948</w:t>
            </w:r>
          </w:p>
        </w:tc>
      </w:tr>
    </w:tbl>
    <w:bookmarkEnd w:id="67"/>
    <w:p>
      <w:pPr>
        <w:pStyle w:val="BodyText"/>
      </w:pPr>
      <w:r>
        <w:t xml:space="preserve">Inspection remains nearly global even when the selected update, publication, and temporal domains are local. The table exposes rather than hides the discovery bottleneck.</w:t>
      </w:r>
    </w:p>
    <w:bookmarkEnd w:id="68"/>
    <w:bookmarkStart w:id="70" w:name="sparse-candidate-discovery"/>
    <w:p>
      <w:pPr>
        <w:pStyle w:val="Heading2"/>
      </w:pPr>
      <w:r>
        <w:rPr>
          <w:rStyle w:val="SectionNumber"/>
        </w:rPr>
        <w:t xml:space="preserve">7.4</w:t>
      </w:r>
      <w:r>
        <w:tab/>
      </w:r>
      <w:r>
        <w:t xml:space="preserve">Sparse candidate discovery</w:t>
      </w:r>
    </w:p>
    <w:p>
      <w:pPr>
        <w:pStyle w:val="FirstParagraph"/>
      </w:pPr>
      <w:r>
        <w:t xml:space="preserve">We ran a separate exact sparse-discovery sweep to check whether near-full inspection is actually inherent to candidate selection. It is not, at least in this isolated study. Candidate selection remains exactly unchanged while the median inspected fraction falls to 0.01 and the minimum to 0.001, up to the tested scale of one million Gaussians (Table 5). We keep this result separate from the frozen end-to-end ledger because the index was evaluated on its own; crediting those savings to the main pipeline would mix two different experiments.</w:t>
      </w:r>
    </w:p>
    <w:bookmarkStart w:id="69" w:name="tab:sparse"/>
    <w:p>
      <w:pPr>
        <w:pStyle w:val="TableCaption"/>
        <w:keepNext/>
      </w:pPr>
      <w:r>
        <w:t xml:space="preserve">Table 5. </w:t>
      </w:r>
      <w:r>
        <w:t xml:space="preserve">Separate sparse-discovery study summary.</w:t>
      </w:r>
    </w:p>
    <w:tbl>
      <w:tblPr>
        <w:tblW w:type="auto" w:w="0"/>
        <w:tblLayout w:type="fixed"/>
        <w:tblLook w:firstRow="1" w:lastRow="0" w:firstColumn="0" w:lastColumn="0" w:noHBand="0" w:noVBand="0" w:val="0020"/>
        <w:jc w:val="start"/>
        <w:tblCaption w:val="Separate sparse-discovery study summary."/>
        <w:tblBorders>
          <w:top w:val="single" w:sz="4" w:color="B0B0B0"/>
          <w:bottom w:val="single" w:sz="4" w:color="B0B0B0"/>
          <w:insideH w:val="single" w:sz="4" w:color="B0B0B0"/>
        </w:tblBorders>
      </w:tblPr>
      <w:tblGrid>
        <w:gridCol w:w="6624"/>
        <w:gridCol w:w="3600"/>
      </w:tblGrid>
      <w:tr>
        <w:trPr>
          <w:tblHeader w:val="true"/>
          <w:cantSplit/>
          <w:tblHeader/>
        </w:trPr>
        <w:tc>
          <w:tcPr>
            <w:tcW w:type="dxa" w:w="6624"/>
          </w:tcPr>
          <w:p>
            <w:pPr>
              <w:pStyle w:val="Compact"/>
              <w:spacing w:after="40" w:before="40"/>
              <w:jc w:val="left"/>
            </w:pPr>
            <w:r>
              <w:rPr>
                <w:bCs/>
                <w:b/>
                <w:sz w:val="18"/>
              </w:rPr>
              <w:t xml:space="preserve">Statistic</w:t>
            </w:r>
          </w:p>
        </w:tc>
        <w:tc>
          <w:tcPr>
            <w:tcW w:type="dxa" w:w="3600"/>
          </w:tcPr>
          <w:p>
            <w:pPr>
              <w:pStyle w:val="Compact"/>
              <w:spacing w:after="40" w:before="40"/>
              <w:jc w:val="left"/>
            </w:pPr>
            <w:r>
              <w:rPr>
                <w:bCs/>
                <w:b/>
                <w:sz w:val="18"/>
              </w:rPr>
              <w:t xml:space="preserve">Value</w:t>
            </w:r>
          </w:p>
        </w:tc>
      </w:tr>
      <w:tr>
        <w:trPr>
          <w:cantSplit/>
        </w:trPr>
        <w:tc>
          <w:tcPr>
            <w:tcW w:type="dxa" w:w="6624"/>
          </w:tcPr>
          <w:p>
            <w:pPr>
              <w:pStyle w:val="Compact"/>
              <w:spacing w:after="40" w:before="40"/>
              <w:jc w:val="left"/>
            </w:pPr>
            <w:r>
              <w:rPr>
                <w:sz w:val="18"/>
              </w:rPr>
              <w:t xml:space="preserve">Exact candidate-selection agreement</w:t>
            </w:r>
          </w:p>
        </w:tc>
        <w:tc>
          <w:tcPr>
            <w:tcW w:type="dxa" w:w="3600"/>
          </w:tcPr>
          <w:p>
            <w:pPr>
              <w:pStyle w:val="Compact"/>
              <w:spacing w:after="40" w:before="40"/>
              <w:jc w:val="left"/>
            </w:pPr>
            <w:r>
              <w:rPr>
                <w:sz w:val="18"/>
              </w:rPr>
              <w:t xml:space="preserve">true</w:t>
            </w:r>
          </w:p>
        </w:tc>
      </w:tr>
      <w:tr>
        <w:trPr>
          <w:cantSplit/>
        </w:trPr>
        <w:tc>
          <w:tcPr>
            <w:tcW w:type="dxa" w:w="6624"/>
          </w:tcPr>
          <w:p>
            <w:pPr>
              <w:pStyle w:val="Compact"/>
              <w:spacing w:after="40" w:before="40"/>
              <w:jc w:val="left"/>
            </w:pPr>
            <w:r>
              <w:rPr>
                <w:sz w:val="18"/>
              </w:rPr>
              <w:t xml:space="preserve">Median inspected fraction</w:t>
            </w:r>
          </w:p>
        </w:tc>
        <w:tc>
          <w:tcPr>
            <w:tcW w:type="dxa" w:w="3600"/>
          </w:tcPr>
          <w:p>
            <w:pPr>
              <w:pStyle w:val="Compact"/>
              <w:spacing w:after="40" w:before="40"/>
              <w:jc w:val="left"/>
            </w:pPr>
            <w:r>
              <w:rPr>
                <w:sz w:val="18"/>
              </w:rPr>
              <w:t xml:space="preserve">0.010</w:t>
            </w:r>
          </w:p>
        </w:tc>
      </w:tr>
      <w:tr>
        <w:trPr>
          <w:cantSplit/>
        </w:trPr>
        <w:tc>
          <w:tcPr>
            <w:tcW w:type="dxa" w:w="6624"/>
          </w:tcPr>
          <w:p>
            <w:pPr>
              <w:pStyle w:val="Compact"/>
              <w:spacing w:after="40" w:before="40"/>
              <w:jc w:val="left"/>
            </w:pPr>
            <w:r>
              <w:rPr>
                <w:sz w:val="18"/>
              </w:rPr>
              <w:t xml:space="preserve">Minimum inspected fraction</w:t>
            </w:r>
          </w:p>
        </w:tc>
        <w:tc>
          <w:tcPr>
            <w:tcW w:type="dxa" w:w="3600"/>
          </w:tcPr>
          <w:p>
            <w:pPr>
              <w:pStyle w:val="Compact"/>
              <w:spacing w:after="40" w:before="40"/>
              <w:jc w:val="left"/>
            </w:pPr>
            <w:r>
              <w:rPr>
                <w:sz w:val="18"/>
              </w:rPr>
              <w:t xml:space="preserve">0.001</w:t>
            </w:r>
          </w:p>
        </w:tc>
      </w:tr>
      <w:tr>
        <w:trPr>
          <w:cantSplit/>
        </w:trPr>
        <w:tc>
          <w:tcPr>
            <w:tcW w:type="dxa" w:w="6624"/>
          </w:tcPr>
          <w:p>
            <w:pPr>
              <w:pStyle w:val="Compact"/>
              <w:spacing w:after="40" w:before="40"/>
              <w:jc w:val="left"/>
            </w:pPr>
            <w:r>
              <w:rPr>
                <w:sz w:val="18"/>
              </w:rPr>
              <w:t xml:space="preserve">Largest tested scale</w:t>
            </w:r>
          </w:p>
        </w:tc>
        <w:tc>
          <w:tcPr>
            <w:tcW w:type="dxa" w:w="3600"/>
          </w:tcPr>
          <w:p>
            <w:pPr>
              <w:pStyle w:val="Compact"/>
              <w:spacing w:after="40" w:before="40"/>
              <w:jc w:val="left"/>
            </w:pPr>
            <w:r>
              <w:rPr>
                <w:sz w:val="18"/>
              </w:rPr>
              <w:t xml:space="preserve">1,000,000 Gaussians</w:t>
            </w:r>
          </w:p>
        </w:tc>
      </w:tr>
    </w:tbl>
    <w:bookmarkEnd w:id="69"/>
    <w:p>
      <w:pPr>
        <w:pStyle w:val="BodyText"/>
      </w:pPr>
      <w:r>
        <w:t xml:space="preserve">The exact sparse-discovery sweep preserves candidate selection while substantially reducing inspected support. These savings are reported separately and are not credited to the frozen end-to-end headline work number.</w:t>
      </w:r>
    </w:p>
    <w:bookmarkEnd w:id="70"/>
    <w:bookmarkStart w:id="72" w:name="empirical-scheduling-and-ablations"/>
    <w:p>
      <w:pPr>
        <w:pStyle w:val="Heading2"/>
      </w:pPr>
      <w:r>
        <w:rPr>
          <w:rStyle w:val="SectionNumber"/>
        </w:rPr>
        <w:t xml:space="preserve">7.5</w:t>
      </w:r>
      <w:r>
        <w:tab/>
      </w:r>
      <w:r>
        <w:t xml:space="preserve">Empirical scheduling and ablations</w:t>
      </w:r>
    </w:p>
    <w:p>
      <w:pPr>
        <w:pStyle w:val="FirstParagraph"/>
      </w:pPr>
      <w:r>
        <w:t xml:space="preserve">The held-out changed-fraction scheduler did not produce an observed unsafe false-local decision on the frozen matrix. That sounds encouraging, but the result is weak evidence for empirical safety because the candidate full-reference residual is zero across these cases. The matrix therefore does not strongly distinguish empirical scheduling from certification. For this reason, CBRC keeps empirical edges outside the certificate by design.</w:t>
      </w:r>
    </w:p>
    <w:p>
      <w:pPr>
        <w:pStyle w:val="BodyText"/>
      </w:pPr>
      <w:r>
        <w:t xml:space="preserve">Table 6 is less tidy than a synthetic story would be. Five structural or analytic ablations are neutral on these 60 real cases. A global-norm tail remains certificate-safe but sends every case to</w:t>
      </w:r>
      <w:r>
        <w:t xml:space="preserve"> </w:t>
      </w:r>
      <w:r>
        <w:rPr>
          <w:smallCaps/>
        </w:rPr>
        <w:t xml:space="preserve">Full</w:t>
      </w:r>
      <w:r>
        <w:t xml:space="preserve">. Removing fallback fails the other way: it never chooses</w:t>
      </w:r>
      <w:r>
        <w:t xml:space="preserve"> </w:t>
      </w:r>
      <w:r>
        <w:rPr>
          <w:smallCaps/>
        </w:rPr>
        <w:t xml:space="preserve">Full</w:t>
      </w:r>
      <w:r>
        <w:t xml:space="preserve">, and only 26.7% of cases pass the certificate. In the separate mechanism-isolation suite, all seven deterministic stress cases move in the expected safety/work direction. Those cases show falsifiability, not real-world effect size.</w:t>
      </w:r>
    </w:p>
    <w:bookmarkStart w:id="71" w:name="tab:ablations"/>
    <w:p>
      <w:pPr>
        <w:pStyle w:val="TableCaption"/>
        <w:keepNext/>
      </w:pPr>
      <w:r>
        <w:t xml:space="preserve">Table 6. </w:t>
      </w:r>
      <w:r>
        <w:t xml:space="preserve">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w:t>
      </w:r>
    </w:p>
    <w:tbl>
      <w:tblPr>
        <w:tblW w:type="auto" w:w="0"/>
        <w:tblLayout w:type="fixed"/>
        <w:tblLook w:firstRow="1" w:lastRow="0" w:firstColumn="0" w:lastColumn="0" w:noHBand="0" w:noVBand="0" w:val="0020"/>
        <w:jc w:val="start"/>
        <w:tblCaption w:val="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
        <w:tblBorders>
          <w:top w:val="single" w:sz="4" w:color="B0B0B0"/>
          <w:bottom w:val="single" w:sz="4" w:color="B0B0B0"/>
          <w:insideH w:val="single" w:sz="4" w:color="B0B0B0"/>
        </w:tblBorders>
      </w:tblPr>
      <w:tblGrid>
        <w:gridCol w:w="2664"/>
        <w:gridCol w:w="864"/>
        <w:gridCol w:w="936"/>
        <w:gridCol w:w="1440"/>
        <w:gridCol w:w="4320"/>
      </w:tblGrid>
      <w:tr>
        <w:trPr>
          <w:tblHeader w:val="true"/>
          <w:cantSplit/>
          <w:tblHeader/>
        </w:trPr>
        <w:tc>
          <w:tcPr>
            <w:tcW w:type="dxa" w:w="2664"/>
          </w:tcPr>
          <w:p>
            <w:pPr>
              <w:pStyle w:val="Compact"/>
              <w:spacing w:after="40" w:before="40"/>
              <w:jc w:val="left"/>
            </w:pPr>
            <w:r>
              <w:rPr>
                <w:b/>
                <w:sz w:val="18"/>
              </w:rPr>
              <w:t xml:space="preserve">Ablation</w:t>
            </w:r>
          </w:p>
        </w:tc>
        <w:tc>
          <w:tcPr>
            <w:tcW w:type="dxa" w:w="864"/>
          </w:tcPr>
          <w:p>
            <w:pPr>
              <w:pStyle w:val="Compact"/>
              <w:spacing w:after="40" w:before="40"/>
              <w:jc w:val="left"/>
            </w:pPr>
            <w:r>
              <w:rPr>
                <w:b/>
                <w:sz w:val="18"/>
              </w:rPr>
              <w:t xml:space="preserve">Pass</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4320"/>
          </w:tcPr>
          <w:p>
            <w:pPr>
              <w:pStyle w:val="Compact"/>
              <w:spacing w:after="40" w:before="40"/>
              <w:jc w:val="left"/>
            </w:pPr>
            <w:r>
              <w:rPr>
                <w:b/>
                <w:sz w:val="18"/>
              </w:rPr>
              <w:t xml:space="preserve">Reading</w:t>
            </w:r>
          </w:p>
        </w:tc>
      </w:tr>
      <w:tr>
        <w:trPr>
          <w:cantSplit/>
        </w:trPr>
        <w:tc>
          <w:tcPr>
            <w:tcW w:type="dxa" w:w="2664"/>
          </w:tcPr>
          <w:p>
            <w:pPr>
              <w:pStyle w:val="Compact"/>
              <w:spacing w:after="40" w:before="40"/>
              <w:jc w:val="left"/>
            </w:pPr>
            <w:r>
              <w:rPr>
                <w:sz w:val="18"/>
              </w:rPr>
              <w:t xml:space="preserve">Remove predecessor closure</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exposes omitted required exact work</w:t>
            </w:r>
          </w:p>
        </w:tc>
      </w:tr>
      <w:tr>
        <w:trPr>
          <w:cantSplit/>
        </w:trPr>
        <w:tc>
          <w:tcPr>
            <w:tcW w:type="dxa" w:w="2664"/>
          </w:tcPr>
          <w:p>
            <w:pPr>
              <w:pStyle w:val="Compact"/>
              <w:spacing w:after="40" w:before="40"/>
              <w:jc w:val="left"/>
            </w:pPr>
            <w:r>
              <w:rPr>
                <w:sz w:val="18"/>
              </w:rPr>
              <w:t xml:space="preserve">Gaussian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Temporal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Remove QoI specialization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requires extra irrelevant work</w:t>
            </w:r>
          </w:p>
        </w:tc>
      </w:tr>
      <w:tr>
        <w:trPr>
          <w:cantSplit/>
        </w:trPr>
        <w:tc>
          <w:tcPr>
            <w:tcW w:type="dxa" w:w="2664"/>
          </w:tcPr>
          <w:p>
            <w:pPr>
              <w:pStyle w:val="Compact"/>
              <w:spacing w:after="40" w:before="40"/>
              <w:jc w:val="left"/>
            </w:pPr>
            <w:r>
              <w:rPr>
                <w:sz w:val="18"/>
              </w:rPr>
              <w:t xml:space="preserve">Collapse</w:t>
            </w:r>
            <w:r>
              <w:rPr>
                <w:sz w:val="18"/>
              </w:rPr>
              <w:t xml:space="preserve"> </w:t>
            </w:r>
            <w:r>
              <w:rPr>
                <w:smallCaps/>
                <w:sz w:val="18"/>
              </w:rPr>
              <w:t xml:space="preserve">Hard</w:t>
            </w:r>
            <w:r>
              <w:rPr>
                <w:sz w:val="18"/>
              </w:rPr>
              <w:t xml:space="preserve">/</w:t>
            </w:r>
            <w:r>
              <w:rPr>
                <w:smallCaps/>
                <w:sz w:val="18"/>
              </w:rPr>
              <w:t xml:space="preserve">Analytic</w:t>
            </w:r>
            <w:r>
              <w:rPr>
                <w:sz w:val="18"/>
              </w:rPr>
              <w:t xml:space="preserve"> </w:t>
            </w:r>
            <w:r>
              <w:rPr>
                <w:sz w:val="18"/>
              </w:rPr>
              <w:t xml:space="preserve">separation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becomes more conservative</w:t>
            </w:r>
          </w:p>
        </w:tc>
      </w:tr>
      <w:tr>
        <w:trPr>
          <w:cantSplit/>
        </w:trPr>
        <w:tc>
          <w:tcPr>
            <w:tcW w:type="dxa" w:w="2664"/>
          </w:tcPr>
          <w:p>
            <w:pPr>
              <w:pStyle w:val="Compact"/>
              <w:spacing w:after="40" w:before="40"/>
              <w:jc w:val="left"/>
            </w:pPr>
            <w:r>
              <w:rPr>
                <w:sz w:val="18"/>
              </w:rPr>
              <w:t xml:space="preserve">Global-norm exterior tail</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4320"/>
          </w:tcPr>
          <w:p>
            <w:pPr>
              <w:pStyle w:val="Compact"/>
              <w:spacing w:after="40" w:before="40"/>
              <w:jc w:val="left"/>
            </w:pPr>
            <w:r>
              <w:rPr>
                <w:sz w:val="18"/>
              </w:rPr>
              <w:t xml:space="preserve">safe but destroys locality on all 60 real cases</w:t>
            </w:r>
          </w:p>
        </w:tc>
      </w:tr>
      <w:tr>
        <w:trPr>
          <w:cantSplit/>
        </w:trPr>
        <w:tc>
          <w:tcPr>
            <w:tcW w:type="dxa" w:w="2664"/>
          </w:tcPr>
          <w:p>
            <w:pPr>
              <w:pStyle w:val="Compact"/>
              <w:spacing w:after="40" w:before="40"/>
              <w:jc w:val="left"/>
            </w:pPr>
            <w:r>
              <w:rPr>
                <w:sz w:val="18"/>
              </w:rPr>
              <w:t xml:space="preserve">Remove certified fallback</w:t>
            </w:r>
          </w:p>
        </w:tc>
        <w:tc>
          <w:tcPr>
            <w:tcW w:type="dxa" w:w="864"/>
          </w:tcPr>
          <w:p>
            <w:pPr>
              <w:pStyle w:val="Compact"/>
              <w:spacing w:after="40" w:before="40"/>
              <w:jc w:val="left"/>
            </w:pPr>
            <w:r>
              <w:rPr>
                <w:sz w:val="18"/>
              </w:rPr>
              <w:t xml:space="preserve">26.7%</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4320"/>
          </w:tcPr>
          <w:p>
            <w:pPr>
              <w:pStyle w:val="Compact"/>
              <w:spacing w:after="40" w:before="40"/>
              <w:jc w:val="left"/>
            </w:pPr>
            <w:r>
              <w:rPr>
                <w:sz w:val="18"/>
              </w:rPr>
              <w:t xml:space="preserve">44/60 real cases fail certification; synthetic case leaves an unsafe candidate</w:t>
            </w:r>
          </w:p>
        </w:tc>
      </w:tr>
    </w:tbl>
    <w:bookmarkEnd w:id="71"/>
    <w:p>
      <w:pPr>
        <w:pStyle w:val="BodyText"/>
      </w:pPr>
      <w:r>
        <w:t xml:space="preserve">At the reported precision, every selected public residual is numerically zero, even though 56 of the 60 source edits were above tolerance before repair. This lets the real matrix test selection and fallback behavior, but it does not tell us how tight the certificate is when a non-zero residual is still acceptable. The threshold-crossing mechanism-isolation cases are useful here only in a limited sense: they show that the analytic machinery can change a decision when it is stressed. We do not use them as a stand-in for real non-zero-residual evidence.</w:t>
      </w:r>
    </w:p>
    <w:bookmarkEnd w:id="72"/>
    <w:bookmarkEnd w:id="73"/>
    <w:bookmarkStart w:id="84"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Within the frozen revision domain and under the stated bound assumptions, three conclusions are supported by the experiment. The emitted certificate survived independent full-reference replay in every evaluated case. The planner also did not force a local answer: more than a quarter of the public revisions crossed to</w:t>
      </w:r>
      <w:r>
        <w:t xml:space="preserve"> </w:t>
      </w:r>
      <w:r>
        <w:rPr>
          <w:smallCaps/>
        </w:rPr>
        <w:t xml:space="preserve">Full</w:t>
      </w:r>
      <w:r>
        <w:t xml:space="preserve">. Finally, when a local result was selected, the frozen calibrated model usually assigned much less work than a full rebuild. This is stronger evidence than showing that a changed-region heuristic works on average, but it is still far short of a proof of universal production safety.</w:t>
      </w:r>
    </w:p>
    <w:p>
      <w:pPr>
        <w:pStyle w:val="BodyText"/>
      </w:pPr>
      <w:r>
        <w:t xml:space="preserve">For us, the central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can guess every available case correctly and still have no defensible answer for the next unseen case. To become part of the safety argument, that prediction would need a conservative bound with a valid remainder. CBRC therefore lets empirical information influence scheduling, but not certification. The converse can also happen: an</w:t>
      </w:r>
      <w:r>
        <w:t xml:space="preserve"> </w:t>
      </w:r>
      <w:r>
        <w:rPr>
          <w:smallCaps/>
        </w:rPr>
        <w:t xml:space="preserve">Analytic</w:t>
      </w:r>
      <w:r>
        <w:t xml:space="preserve"> </w:t>
      </w:r>
      <w:r>
        <w:t xml:space="preserve">edge may be so conservative that it pushes the system to</w:t>
      </w:r>
      <w:r>
        <w:t xml:space="preserve"> </w:t>
      </w:r>
      <w:r>
        <w:rPr>
          <w:smallCaps/>
        </w:rPr>
        <w:t xml:space="preserve">Full</w:t>
      </w:r>
      <w:r>
        <w:t xml:space="preserve"> </w:t>
      </w:r>
      <w:r>
        <w:t xml:space="preserve">more often than we would like. That is an efficiency cost of the contract, not a correctness failure.</w:t>
      </w:r>
    </w:p>
    <w:bookmarkEnd w:id="74"/>
    <w:bookmarkStart w:id="82" w:name="limitations"/>
    <w:p>
      <w:pPr>
        <w:pStyle w:val="Heading2"/>
      </w:pPr>
      <w:r>
        <w:rPr>
          <w:rStyle w:val="SectionNumber"/>
        </w:rPr>
        <w:t xml:space="preserve">8.2</w:t>
      </w:r>
      <w:r>
        <w:tab/>
      </w:r>
      <w:r>
        <w:t xml:space="preserve">Limitations</w:t>
      </w:r>
    </w:p>
    <w:bookmarkStart w:id="75" w:name="Xcf4b20d05c24d38c4491abb41d60bcddc821aa6"/>
    <w:p>
      <w:pPr>
        <w:pStyle w:val="Heading4"/>
      </w:pPr>
      <w:r>
        <w:t xml:space="preserve">Bounds are only as sound as their assumptions.</w:t>
      </w:r>
    </w:p>
    <w:p>
      <w:pPr>
        <w:pStyle w:val="FirstParagraph"/>
      </w:pPr>
      <w:r>
        <w:t xml:space="preserve">The certificate is only as trustworthy as its edge assumptions. Exact dependencies needed to reproduce repaired state must appear in</w:t>
      </w:r>
      <w:r>
        <w:t xml:space="preserve"> </w:t>
      </w:r>
      <w:r>
        <w:rPr>
          <w:smallCaps/>
        </w:rPr>
        <w:t xml:space="preserve">Hard</w:t>
      </w:r>
      <w:r>
        <w:t xml:space="preserve"> </w:t>
      </w:r>
      <w:r>
        <w:t xml:space="preserve">closure, and each</w:t>
      </w:r>
      <w:r>
        <w:t xml:space="preserve"> </w:t>
      </w:r>
      <w:r>
        <w:rPr>
          <w:smallCaps/>
        </w:rPr>
        <w:t xml:space="preserve">Analytic</w:t>
      </w:r>
      <w:r>
        <w:t xml:space="preserve"> </w:t>
      </w:r>
      <w:r>
        <w:t xml:space="preserve">edge must remain a valid finite-change upper bound over the declared revision domain. Representation, shader, temporal-rule, or ownership changes can invalidate earlier calibration, so bound provenance must be versioned and regression-tested.</w:t>
      </w:r>
    </w:p>
    <w:bookmarkEnd w:id="75"/>
    <w:bookmarkStart w:id="76" w:name="Xa3dde70f84380da52be1ceb2ef858411be22e0e"/>
    <w:p>
      <w:pPr>
        <w:pStyle w:val="Heading4"/>
      </w:pPr>
      <w:r>
        <w:t xml:space="preserve">Gaussian discovery remains global in the frozen path.</w:t>
      </w:r>
    </w:p>
    <w:p>
      <w:pPr>
        <w:pStyle w:val="FirstParagraph"/>
      </w:pPr>
      <w:r>
        <w:t xml:space="preserve">The clearest implementation limitation is still Gaussian inspection. In the frozen path it is almost a full scan. The sparse-discovery experiment shows that exact selection can be recovered with far fewer inspections, but that index has not yet been integrated into the complete measured pipeline. Until it is, the low update ratios should not be read as end-to-end complexity reduction across every phase of the system.</w:t>
      </w:r>
    </w:p>
    <w:bookmarkEnd w:id="76"/>
    <w:bookmarkStart w:id="77" w:name="no-wall-clock-speedup-claim."/>
    <w:p>
      <w:pPr>
        <w:pStyle w:val="Heading4"/>
      </w:pPr>
      <w:r>
        <w:t xml:space="preserve">No wall-clock speedup claim.</w:t>
      </w:r>
    </w:p>
    <w:p>
      <w:pPr>
        <w:pStyle w:val="FirstParagraph"/>
      </w:pPr>
      <w:r>
        <w:t xml:space="preserve">The public 2.706</w:t>
      </w:r>
      <m:oMath>
        <m:r>
          <m:rPr>
            <m:sty m:val="p"/>
          </m:rPr>
          <m:t>×</m:t>
        </m:r>
      </m:oMath>
      <w:r>
        <w:t xml:space="preserve"> </w:t>
      </w:r>
      <w:r>
        <w:t xml:space="preserve">figure is a reduction in calibrated heterogeneous work. The trained 28.614</w:t>
      </w:r>
      <m:oMath>
        <m:r>
          <m:rPr>
            <m:sty m:val="p"/>
          </m:rPr>
          <m:t>×</m:t>
        </m:r>
      </m:oMath>
      <w:r>
        <w:t xml:space="preserve"> </w:t>
      </w:r>
      <w:r>
        <w:t xml:space="preserve">figure is a reduction in native temporal/output work. Neither number is a paired local-versus-full runtime speedup. The missing experiment is straightforward in principle: after sparse discovery is integrated, run matched end-to-end timings under identical conditions and report those timings directly.</w:t>
      </w:r>
    </w:p>
    <w:bookmarkEnd w:id="77"/>
    <w:bookmarkStart w:id="78" w:name="greedy-search-is-not-globally-optimal."/>
    <w:p>
      <w:pPr>
        <w:pStyle w:val="Heading4"/>
      </w:pPr>
      <w:r>
        <w:t xml:space="preserve">Greedy search is not globally optimal.</w:t>
      </w:r>
    </w:p>
    <w:p>
      <w:pPr>
        <w:pStyle w:val="FirstParagraph"/>
      </w:pPr>
      <w:r>
        <w:t xml:space="preserve">Equation 15 gives us a certified feasible cone, not a proof that the cone is the cheapest safe one. Finding the global minimum-work solution is a combinatorial optimization problem and is outside the v1 claim.</w:t>
      </w:r>
    </w:p>
    <w:bookmarkEnd w:id="78"/>
    <w:bookmarkStart w:id="79" w:name="analytic-cycles-fail-closed."/>
    <w:p>
      <w:pPr>
        <w:pStyle w:val="Heading4"/>
      </w:pPr>
      <w:r>
        <w:t xml:space="preserve">Analytic cycles fail closed.</w:t>
      </w:r>
    </w:p>
    <w:p>
      <w:pPr>
        <w:pStyle w:val="FirstParagraph"/>
      </w:pPr>
      <w:r>
        <w:t xml:space="preserve">The reference formulation allows the classical resolvent when its assumptions are satisfied. The native v1 implementation is narrower and certifies finite analytic DAG exteriors. Unsupported cycles therefore cause the cone to expand or fall back to</w:t>
      </w:r>
      <w:r>
        <w:t xml:space="preserve"> </w:t>
      </w:r>
      <w:r>
        <w:rPr>
          <w:smallCaps/>
        </w:rPr>
        <w:t xml:space="preserve">Full</w:t>
      </w:r>
      <w:r>
        <w:t xml:space="preserve">. General cyclic certification remains future work.</w:t>
      </w:r>
    </w:p>
    <w:bookmarkEnd w:id="79"/>
    <w:bookmarkStart w:id="80" w:name="representation-and-dataset-scope."/>
    <w:p>
      <w:pPr>
        <w:pStyle w:val="Heading4"/>
      </w:pPr>
      <w:r>
        <w:t xml:space="preserve">Representation and dataset scope.</w:t>
      </w:r>
    </w:p>
    <w:p>
      <w:pPr>
        <w:pStyle w:val="FirstParagraph"/>
      </w:pPr>
      <w:r>
        <w:t xml:space="preserve">The primary public campaign is built from normalized RGB/SfM reconstructions seeded into Gaussian fields, not from trained photorealistic 3DGS, and it is not a metric-scale reconstruction benchmark. The trained-3DGS experiment helps, but it is only a five-revision representation check. A broader evaluation over trained scenes is the obvious next step if we want stronger evidence of generality.</w:t>
      </w:r>
    </w:p>
    <w:bookmarkEnd w:id="80"/>
    <w:bookmarkStart w:id="81" w:name="ablation-identifiability."/>
    <w:p>
      <w:pPr>
        <w:pStyle w:val="Heading4"/>
      </w:pPr>
      <w:r>
        <w:t xml:space="preserve">Ablation identifiability.</w:t>
      </w:r>
    </w:p>
    <w:p>
      <w:pPr>
        <w:pStyle w:val="FirstParagraph"/>
      </w:pPr>
      <w:r>
        <w:t xml:space="preserve">Not every mechanism separates on the frozen real matrix. Rather than forcing a cleaner story, we keep the real-workload results distinct from the synthetic mechanism-isolation results. The paper therefore does not claim that every mechanism produces a measurable benefit in every scene.</w:t>
      </w:r>
    </w:p>
    <w:bookmarkEnd w:id="81"/>
    <w:bookmarkEnd w:id="82"/>
    <w:bookmarkStart w:id="83" w:name="implications"/>
    <w:p>
      <w:pPr>
        <w:pStyle w:val="Heading2"/>
      </w:pPr>
      <w:r>
        <w:rPr>
          <w:rStyle w:val="SectionNumber"/>
        </w:rPr>
        <w:t xml:space="preserve">8.3</w:t>
      </w:r>
      <w:r>
        <w:tab/>
      </w:r>
      <w:r>
        <w:t xml:space="preserve">Implications</w:t>
      </w:r>
    </w:p>
    <w:p>
      <w:pPr>
        <w:pStyle w:val="FirstParagraph"/>
      </w:pPr>
      <w:r>
        <w:t xml:space="preserve">The broader point is not that persistent captured worlds should always update locally. Locality can instead become a runtime decision. If dependencies can be separated into exact relations and conservatively bounded ones, a local update can carry a falsifiable output contract rather than relying on a heuristic alone. The same principle can extend beyond Gaussian rendering to caches, temporal histories, spatial acceleration structures, compressed representations, and publication buffers when their dependency semantics are explicit.</w:t>
      </w:r>
    </w:p>
    <w:p>
      <w:pPr>
        <w:pStyle w:val="BodyText"/>
      </w:pPr>
      <w:r>
        <w:t xml:space="preserve">Failure is also more useful when it is kept intact. A certificate violation is not folded into an average quality score; we retain it as a regression target together with the revision manifest, graph version, chosen cone, emitted bound, full-reference output, and the first violated invariant. That may be less convenient than a single aggregate metric, but it matches the correctness burden introduced by selective recomputation.</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canonical evidence freeze records workflow run IDs, artifact IDs, Git SHAs, archive hashes, campaign-row hashes, calibration hashes, and the hash of the pinned trained PLY. The public source archive is fixed by byte size and SHA-256. The trained PLY is fetched from an explicit repository revision and path, with its byte size and SHA-256 checked, and MAVEB does not redistribute it. The repository also contains the dense reference implementation, native planner and oracle, public and trained campaign drivers, baseline and ablation suites, the sparse-discovery sweep, deterministic paper-artifact generators, and regression tests.</w:t>
      </w:r>
    </w:p>
    <w:p>
      <w:pPr>
        <w:pStyle w:val="BodyText"/>
      </w:pPr>
      <w:r>
        <w:t xml:space="preserve">Scene figures retain the relevant upstream terms. Original software is licensed under Apache-2.0, original research communication is scoped under CC BY 4.0, and third-party rights are recorded separately. For double-blind review, the identifiable repository and author metadata should be replaced with an anonymized frozen supplement that follows the target venue’s policy.</w:t>
      </w:r>
    </w:p>
    <w:bookmarkEnd w:id="85"/>
    <w:bookmarkStart w:id="86" w:name="conclusion"/>
    <w:p>
      <w:pPr>
        <w:pStyle w:val="Heading1"/>
      </w:pPr>
      <w:r>
        <w:rPr>
          <w:rStyle w:val="SectionNumber"/>
        </w:rPr>
        <w:t xml:space="preserve">10</w:t>
      </w:r>
      <w:r>
        <w:tab/>
      </w:r>
      <w:r>
        <w:t xml:space="preserve">Conclusion</w:t>
      </w:r>
    </w:p>
    <w:p>
      <w:pPr>
        <w:pStyle w:val="FirstParagraph"/>
      </w:pPr>
      <w:r>
        <w:t xml:space="preserve">We introduced Criticality-Bounded Revision Cones as a fail-closed rule for selective recomputation in persistent captured worlds. Criticality is the worst normalized certificate-to-tolerance ratio over the protected outputs. CBRC separates exact dependencies from bounded finite-change influence, ties the unrepaired exterior to explicit tolerances, compares regional work with a full baseline, and independently replays the selected result against a full-after oracle. The frozen public and trained-representation experiments show that local repair and full fallback can coexist under one auditable contract. They also expose the remaining gaps: discovery is still close to global in the frozen path, and there is no paired wall-clock speedup result yet. Repair locally when the system can justify what it leaves alone; rebuild when it cannot.</w:t>
      </w:r>
    </w:p>
    <w:bookmarkEnd w:id="86"/>
    <w:bookmarkStart w:id="127" w:name="acknowledgments"/>
    <w:p>
      <w:pPr>
        <w:pStyle w:val="Heading1"/>
      </w:pPr>
      <w:r>
        <w:t xml:space="preserve">Acknowledgments</w:t>
      </w:r>
    </w:p>
    <w:bookmarkStart w:id="126" w:name="generative-ai-use-disclosure."/>
    <w:p>
      <w:pPr>
        <w:pStyle w:val="Heading4"/>
      </w:pPr>
      <w:r>
        <w:t xml:space="preserve">Generative AI use disclosure.</w:t>
      </w:r>
    </w:p>
    <w:p>
      <w:pPr>
        <w:pStyle w:val="FirstParagraph"/>
      </w:pPr>
      <w:r>
        <w:t xml:space="preserve">OpenAI ChatGPT was used as an assistive tool during portions of this project for literature-search support, software and scripting development, debugging, experimental and benchmark planning, visualization/manuscript-artifact scripting, and drafting, restructuring, and language editing of the manuscript and supplement. The reported measurements and frozen evidence were produced by the project software and experimental artifacts rather than generated by the language model. The author retains full responsibility for the code, citations, analysis, claims, conclusions, and final text; no generative AI system is listed as an author.</w:t>
      </w:r>
    </w:p>
    <w:bookmarkStart w:id="125" w:name="refs"/>
    <w:bookmarkStart w:id="88"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7">
        <w:r>
          <w:rPr>
            <w:rStyle w:val="Hyperlink"/>
          </w:rPr>
          <w:t xml:space="preserve">https://doi.org/10.1017/S0956796813000099</w:t>
        </w:r>
      </w:hyperlink>
      <w:r>
        <w:t xml:space="preserve">.</w:t>
      </w:r>
    </w:p>
    <w:bookmarkEnd w:id="88"/>
    <w:bookmarkStart w:id="89"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9"/>
    <w:bookmarkStart w:id="91"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0">
        <w:r>
          <w:rPr>
            <w:rStyle w:val="Hyperlink"/>
          </w:rPr>
          <w:t xml:space="preserve">https://doi.org/10.2312/EGWR/EGWR99/031-044</w:t>
        </w:r>
      </w:hyperlink>
      <w:r>
        <w:t xml:space="preserve">.</w:t>
      </w:r>
    </w:p>
    <w:bookmarkEnd w:id="91"/>
    <w:bookmarkStart w:id="93"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2">
        <w:r>
          <w:rPr>
            <w:rStyle w:val="Hyperlink"/>
          </w:rPr>
          <w:t xml:space="preserve">https://doi.org/10.1109/CVPR52733.2024.02029</w:t>
        </w:r>
      </w:hyperlink>
      <w:r>
        <w:t xml:space="preserve">.</w:t>
      </w:r>
    </w:p>
    <w:bookmarkEnd w:id="93"/>
    <w:bookmarkStart w:id="94"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4"/>
    <w:bookmarkStart w:id="95"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95"/>
    <w:bookmarkStart w:id="96"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96"/>
    <w:bookmarkStart w:id="97"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97"/>
    <w:bookmarkStart w:id="99"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98">
        <w:r>
          <w:rPr>
            <w:rStyle w:val="Hyperlink"/>
          </w:rPr>
          <w:t xml:space="preserve">https://doi.org/10.1109/CVPR52733.2024.00404</w:t>
        </w:r>
      </w:hyperlink>
      <w:r>
        <w:t xml:space="preserve">.</w:t>
      </w:r>
    </w:p>
    <w:bookmarkEnd w:id="99"/>
    <w:bookmarkStart w:id="100"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0"/>
    <w:bookmarkStart w:id="102"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1">
        <w:r>
          <w:rPr>
            <w:rStyle w:val="Hyperlink"/>
          </w:rPr>
          <w:t xml:space="preserve">https://doi.org/10.1145/3592433</w:t>
        </w:r>
      </w:hyperlink>
      <w:r>
        <w:t xml:space="preserve">.</w:t>
      </w:r>
    </w:p>
    <w:bookmarkEnd w:id="102"/>
    <w:bookmarkStart w:id="104"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03">
        <w:r>
          <w:rPr>
            <w:rStyle w:val="Hyperlink"/>
          </w:rPr>
          <w:t xml:space="preserve">https://doi.org/10.1109/3DV62453.2024.00044</w:t>
        </w:r>
      </w:hyperlink>
      <w:r>
        <w:t xml:space="preserve">.</w:t>
      </w:r>
    </w:p>
    <w:bookmarkEnd w:id="104"/>
    <w:bookmarkStart w:id="106"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05">
        <w:r>
          <w:rPr>
            <w:rStyle w:val="Hyperlink"/>
          </w:rPr>
          <w:t xml:space="preserve">https://doi.org/10.1109/CVPR52733.2024.01708</w:t>
        </w:r>
      </w:hyperlink>
      <w:r>
        <w:t xml:space="preserve">.</w:t>
      </w:r>
    </w:p>
    <w:bookmarkEnd w:id="106"/>
    <w:bookmarkStart w:id="107"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07"/>
    <w:bookmarkStart w:id="108"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08"/>
    <w:bookmarkStart w:id="110"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09">
        <w:r>
          <w:rPr>
            <w:rStyle w:val="Hyperlink"/>
          </w:rPr>
          <w:t xml:space="preserve">https://doi.org/10.1016/S0898-1221(00)00317-5</w:t>
        </w:r>
      </w:hyperlink>
      <w:r>
        <w:t xml:space="preserve">.</w:t>
      </w:r>
    </w:p>
    <w:bookmarkEnd w:id="110"/>
    <w:bookmarkStart w:id="112"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11">
        <w:r>
          <w:rPr>
            <w:rStyle w:val="Hyperlink"/>
          </w:rPr>
          <w:t xml:space="preserve">https://doi.org/10.1145/344779.344936</w:t>
        </w:r>
      </w:hyperlink>
      <w:r>
        <w:t xml:space="preserve">.</w:t>
      </w:r>
    </w:p>
    <w:bookmarkEnd w:id="112"/>
    <w:bookmarkStart w:id="114"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13">
        <w:r>
          <w:rPr>
            <w:rStyle w:val="Hyperlink"/>
          </w:rPr>
          <w:t xml:space="preserve">https://doi.org/10.1109/ICCV48922.2021.00617</w:t>
        </w:r>
      </w:hyperlink>
      <w:r>
        <w:t xml:space="preserve">.</w:t>
      </w:r>
    </w:p>
    <w:bookmarkEnd w:id="114"/>
    <w:bookmarkStart w:id="115"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15"/>
    <w:bookmarkStart w:id="117"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16">
        <w:r>
          <w:rPr>
            <w:rStyle w:val="Hyperlink"/>
          </w:rPr>
          <w:t xml:space="preserve">https://doi.org/10.1145/2492045.2492051</w:t>
        </w:r>
      </w:hyperlink>
      <w:r>
        <w:t xml:space="preserve">.</w:t>
      </w:r>
    </w:p>
    <w:bookmarkEnd w:id="117"/>
    <w:bookmarkStart w:id="119"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18">
        <w:r>
          <w:rPr>
            <w:rStyle w:val="Hyperlink"/>
          </w:rPr>
          <w:t xml:space="preserve">https://doi.org/10.1109/CVPR52733.2024.01920</w:t>
        </w:r>
      </w:hyperlink>
      <w:r>
        <w:t xml:space="preserve">.</w:t>
      </w:r>
    </w:p>
    <w:bookmarkEnd w:id="119"/>
    <w:bookmarkStart w:id="120"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20"/>
    <w:bookmarkStart w:id="121"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21"/>
    <w:bookmarkStart w:id="123"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22">
        <w:r>
          <w:rPr>
            <w:rStyle w:val="Hyperlink"/>
          </w:rPr>
          <w:t xml:space="preserve">https://doi.org/10.1109/ICCV51701.2025.02393</w:t>
        </w:r>
      </w:hyperlink>
      <w:r>
        <w:t xml:space="preserve">.</w:t>
      </w:r>
    </w:p>
    <w:bookmarkEnd w:id="123"/>
    <w:bookmarkStart w:id="124"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24"/>
    <w:bookmarkEnd w:id="125"/>
    <w:bookmarkEnd w:id="126"/>
    <w:bookmarkEnd w:id="127"/>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2" Type="http://schemas.openxmlformats.org/officeDocument/2006/relationships/image" Target="media/rId62.png"/><Relationship Id="rId109"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03" Type="http://schemas.openxmlformats.org/officeDocument/2006/relationships/hyperlink" Target="https://doi.org/10.1109/3DV62453.2024.00044" TargetMode="External"/><Relationship Id="rId98" Type="http://schemas.openxmlformats.org/officeDocument/2006/relationships/hyperlink" Target="https://doi.org/10.1109/CVPR52733.2024.00404" TargetMode="External"/><Relationship Id="rId105" Type="http://schemas.openxmlformats.org/officeDocument/2006/relationships/hyperlink" Target="https://doi.org/10.1109/CVPR52733.2024.01708" TargetMode="External"/><Relationship Id="rId118" Type="http://schemas.openxmlformats.org/officeDocument/2006/relationships/hyperlink" Target="https://doi.org/10.1109/CVPR52733.2024.01920" TargetMode="External"/><Relationship Id="rId92" Type="http://schemas.openxmlformats.org/officeDocument/2006/relationships/hyperlink" Target="https://doi.org/10.1109/CVPR52733.2024.02029" TargetMode="External"/><Relationship Id="rId113" Type="http://schemas.openxmlformats.org/officeDocument/2006/relationships/hyperlink" Target="https://doi.org/10.1109/ICCV48922.2021.00617" TargetMode="External"/><Relationship Id="rId122" Type="http://schemas.openxmlformats.org/officeDocument/2006/relationships/hyperlink" Target="https://doi.org/10.1109/ICCV51701.2025.02393" TargetMode="External"/><Relationship Id="rId116" Type="http://schemas.openxmlformats.org/officeDocument/2006/relationships/hyperlink" Target="https://doi.org/10.1145/2492045.2492051" TargetMode="External"/><Relationship Id="rId111" Type="http://schemas.openxmlformats.org/officeDocument/2006/relationships/hyperlink" Target="https://doi.org/10.1145/344779.344936" TargetMode="External"/><Relationship Id="rId101"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09"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03" Type="http://schemas.openxmlformats.org/officeDocument/2006/relationships/hyperlink" Target="https://doi.org/10.1109/3DV62453.2024.00044" TargetMode="External"/><Relationship Id="rId98" Type="http://schemas.openxmlformats.org/officeDocument/2006/relationships/hyperlink" Target="https://doi.org/10.1109/CVPR52733.2024.00404" TargetMode="External"/><Relationship Id="rId105" Type="http://schemas.openxmlformats.org/officeDocument/2006/relationships/hyperlink" Target="https://doi.org/10.1109/CVPR52733.2024.01708" TargetMode="External"/><Relationship Id="rId118" Type="http://schemas.openxmlformats.org/officeDocument/2006/relationships/hyperlink" Target="https://doi.org/10.1109/CVPR52733.2024.01920" TargetMode="External"/><Relationship Id="rId92" Type="http://schemas.openxmlformats.org/officeDocument/2006/relationships/hyperlink" Target="https://doi.org/10.1109/CVPR52733.2024.02029" TargetMode="External"/><Relationship Id="rId113" Type="http://schemas.openxmlformats.org/officeDocument/2006/relationships/hyperlink" Target="https://doi.org/10.1109/ICCV48922.2021.00617" TargetMode="External"/><Relationship Id="rId122" Type="http://schemas.openxmlformats.org/officeDocument/2006/relationships/hyperlink" Target="https://doi.org/10.1109/ICCV51701.2025.02393" TargetMode="External"/><Relationship Id="rId116" Type="http://schemas.openxmlformats.org/officeDocument/2006/relationships/hyperlink" Target="https://doi.org/10.1145/2492045.2492051" TargetMode="External"/><Relationship Id="rId111" Type="http://schemas.openxmlformats.org/officeDocument/2006/relationships/hyperlink" Target="https://doi.org/10.1145/344779.344936" TargetMode="External"/><Relationship Id="rId101"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2026-09-22T05:28:12Z</dcterms:created>
  <dcterms:modified xsi:type="dcterms:W3CDTF">2026-09-22T05:28:12Z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