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 worlds such as AR maps and digital twins are often edited long after capture, yet a small physical change can trigger broad recomputation because geometry, Gaussian state, GPU records, and temporal history depend on one another. We present</w:t>
      </w:r>
      <w:r>
        <w:t xml:space="preserve"> </w:t>
      </w:r>
      <w:r>
        <w:rPr>
          <w:iCs/>
          <w:i/>
        </w:rPr>
        <w:t xml:space="preserve">Criticality-Bounded Revision Cones</w:t>
      </w:r>
      <w:r>
        <w:t xml:space="preserve"> </w:t>
      </w:r>
      <w:r>
        <w:t xml:space="preserve">(CBRC), a fail-closed rule for deciding when a revision may remain local. CBRC closes exact structural dependencies, bounds the output effect of state left untouched, and selects</w:t>
      </w:r>
      <w:r>
        <w:t xml:space="preserve"> </w:t>
      </w:r>
      <w:r>
        <w:rPr>
          <w:smallCaps/>
        </w:rPr>
        <w:t xml:space="preserve">Full</w:t>
      </w:r>
      <w:r>
        <w:t xml:space="preserve"> </w:t>
      </w:r>
      <w:r>
        <w:t xml:space="preserve">whenever the bound, its assumptions, or the work comparison fail.</w:t>
      </w:r>
    </w:p>
    <w:p>
      <w:pPr>
        <w:pStyle w:val="BodyText"/>
      </w:pPr>
      <w:r>
        <w:t xml:space="preserve">We evaluate CBRC in MAVEB, a research prototype on a C++23 persistent-world stack. Across 1,275 revisions over 85 scenes from 3RScan, ARKitScenes, Bonn RGB-D Dynamic, and trained GraphDECO 3DGS, the system selects 935 certified</w:t>
      </w:r>
      <w:r>
        <w:t xml:space="preserve"> </w:t>
      </w:r>
      <w:r>
        <w:rPr>
          <w:smallCaps/>
        </w:rPr>
        <w:t xml:space="preserve">Local</w:t>
      </w:r>
      <w:r>
        <w:t xml:space="preserve"> </w:t>
      </w:r>
      <w:r>
        <w:t xml:space="preserve">repairs and 340 automatic</w:t>
      </w:r>
      <w:r>
        <w:t xml:space="preserve"> </w:t>
      </w:r>
      <w:r>
        <w:rPr>
          <w:smallCaps/>
        </w:rPr>
        <w:t xml:space="preserve">Full</w:t>
      </w:r>
      <w:r>
        <w:t xml:space="preserve"> </w:t>
      </w:r>
      <w:r>
        <w:t xml:space="preserve">fallbacks with no observed certificate violation. Median calibrated selected work is 0.474 of</w:t>
      </w:r>
      <w:r>
        <w:t xml:space="preserve"> </w:t>
      </w:r>
      <w:r>
        <w:rPr>
          <w:smallCaps/>
        </w:rPr>
        <w:t xml:space="preserve">Full</w:t>
      </w:r>
      <w:r>
        <w:t xml:space="preserve"> </w:t>
      </w:r>
      <w:r>
        <w:t xml:space="preserve">(52.6% lower on the frozen work scale); this is a heterogeneous work metric, not a wall-clock speedup claim. Every selected output matches an independently generated</w:t>
      </w:r>
      <w:r>
        <w:t xml:space="preserve"> </w:t>
      </w:r>
      <w:r>
        <w:rPr>
          <w:smallCaps/>
        </w:rPr>
        <w:t xml:space="preserve">Full</w:t>
      </w:r>
      <w:r>
        <w:t xml:space="preserve">-after raster at the audited 8-bit precision.</w:t>
      </w:r>
    </w:p>
    <w:p>
      <w:pPr>
        <w:pStyle w:val="BodyText"/>
      </w:pPr>
      <w:r>
        <w:t xml:space="preserve">A separate residual-sensitive sequence tests non-zero error. The original display bound rejects every non-zero residual; an opacity-only delta-sensitive refinement restores certified non-zero locality, and an unchanged confirmation over 20 independently selected scenes reproduces tolerance crossover in every tested scene while a translation control remains at zero. The result is deliberately bounded: selective maintenance reduces measured work when the untouched exterior can be certified, and unsupported cases expand to full recomputation.</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Captured 3D worlds rarely stay frozen. Furniture moves after a room scan, an AR map is revisited after objects appear or disappear, and a digital twin is updated after a local intervention. The stored world is also more than geometry: observations feed reconstruction, reconstructed state determines Gaussian support and appearance, GPU records mirror persistent entities, and temporal filters reuse earlier screen-space history. A small physical edit can therefore spread through several kinds of derived state.</w:t>
      </w:r>
    </w:p>
    <w:p>
      <w:pPr>
        <w:pStyle w:val="BodyText"/>
      </w:pPr>
      <w:r>
        <w:t xml:space="preserve">A full rebuild is the simplest safe response because it recomputes every dependent quantity from the revised input. Classical reconstruction systems make that reference behavior easy to define</w:t>
      </w:r>
      <w:r>
        <w:t xml:space="preserve"> </w:t>
      </w:r>
      <w:r>
        <w:t xml:space="preserve">(Curless and Levoy 1996; Newcombe et al. 2011; Dai et al. 2017)</w:t>
      </w:r>
      <w:r>
        <w:t xml:space="preserve">. It is also unnecessarily expensive when most of the world is unaffected. Explicit Gaussian and hybrid representations make this mismatch visible because the changed primitives and their downstream state can often be identified directly</w:t>
      </w:r>
      <w:r>
        <w:t xml:space="preserve"> </w:t>
      </w:r>
      <w:r>
        <w:t xml:space="preserve">(Kerbl et al. 2023; Keetha et al. 2024; Matsuki et al. 2024)</w:t>
      </w:r>
      <w:r>
        <w:t xml:space="preserve">. Continual Gaussian systems already exploit locality to focus optimization or manage stale observations</w:t>
      </w:r>
      <w:r>
        <w:t xml:space="preserve"> </w:t>
      </w:r>
      <w:r>
        <w:t xml:space="preserve">(Ackermann et al. 2025; Zeng et al. 2025; Yugay et al. 2026)</w:t>
      </w:r>
      <w:r>
        <w:t xml:space="preserve">. The remaining systems question is whether the state left untouched can be justified rather than merely assumed safe.</w:t>
      </w:r>
    </w:p>
    <w:p>
      <w:pPr>
        <w:pStyle w:val="BodyText"/>
      </w:pPr>
      <w:r>
        <w:t xml:space="preserve">This paper asks one concrete question:</w:t>
      </w:r>
      <w:r>
        <w:t xml:space="preserve"> </w:t>
      </w:r>
      <w:r>
        <w:rPr>
          <w:iCs/>
          <w:i/>
        </w:rPr>
        <w:t xml:space="preserve">when may a persistent captured world repair less than the whole scene while keeping an explicit output-error contract?</w:t>
      </w:r>
      <w:r>
        <w:t xml:space="preserve"> </w:t>
      </w:r>
      <w:r>
        <w:t xml:space="preserve">Structural dependencies such as ownership, persistent identity, publication, or unstable temporal invalidation require exact recomputation. Other effects have finite influence that can be bounded. A useful revision rule therefore needs both exact closure and conservative error accounting, followed by a full fallback whenever either argument breaks.</w:t>
      </w:r>
    </w:p>
    <w:p>
      <w:pPr>
        <w:pStyle w:val="BodyText"/>
      </w:pPr>
      <w:r>
        <w:rPr>
          <w:iCs/>
          <w:i/>
        </w:rPr>
        <w:t xml:space="preserve">Criticality-Bounded Revision Cones</w:t>
      </w:r>
      <w:r>
        <w:t xml:space="preserve"> </w:t>
      </w:r>
      <w:r>
        <w:t xml:space="preserve">(CBRC) implement that rule on a typed dependency graph.</w:t>
      </w:r>
      <w:r>
        <w:t xml:space="preserve"> </w:t>
      </w:r>
      <w:r>
        <w:rPr>
          <w:smallCaps/>
        </w:rPr>
        <w:t xml:space="preserve">Hard</w:t>
      </w:r>
      <w:r>
        <w:t xml:space="preserve"> </w:t>
      </w:r>
      <w:r>
        <w:t xml:space="preserve">edges are exact requirements.</w:t>
      </w:r>
      <w:r>
        <w:t xml:space="preserve"> </w:t>
      </w:r>
      <w:r>
        <w:rPr>
          <w:smallCaps/>
        </w:rPr>
        <w:t xml:space="preserve">Analytic</w:t>
      </w:r>
      <w:r>
        <w:t xml:space="preserve"> </w:t>
      </w:r>
      <w:r>
        <w:t xml:space="preserve">edges carry conservative finite-change bounds.</w:t>
      </w:r>
      <w:r>
        <w:t xml:space="preserve"> </w:t>
      </w:r>
      <w:r>
        <w:rPr>
          <w:smallCaps/>
        </w:rPr>
        <w:t xml:space="preserve">Empirical</w:t>
      </w:r>
      <w:r>
        <w:t xml:space="preserve"> </w:t>
      </w:r>
      <w:r>
        <w:t xml:space="preserve">information may prioritize which candidate cone to try first, but it never certifies safety. For a proposed repair cone</w:t>
      </w:r>
      <w:r>
        <w:t xml:space="preserve"> </w:t>
      </w:r>
      <m:oMath>
        <m:r>
          <m:t>C</m:t>
        </m:r>
      </m:oMath>
      <w:r>
        <w:t xml:space="preserve">, the system bounds the residual effect of the unrepaired exterior on declared output quantities and compares that bound with an explicit tolerance. It also compares the calibrated work of the local repair with a separately measured</w:t>
      </w:r>
      <w:r>
        <w:t xml:space="preserve"> </w:t>
      </w:r>
      <w:r>
        <w:rPr>
          <w:smallCaps/>
        </w:rPr>
        <w:t xml:space="preserve">Full</w:t>
      </w:r>
      <w:r>
        <w:t xml:space="preserve"> </w:t>
      </w:r>
      <w:r>
        <w:t xml:space="preserve">baseline. A local result is published only when both tests pass.</w:t>
      </w:r>
    </w:p>
    <w:p>
      <w:pPr>
        <w:pStyle w:val="BodyText"/>
      </w:pPr>
      <w:r>
        <w:t xml:space="preserve">The individual mathematical tools are established: graph closure, non-negative influence propagation, norm bounds, Neumann-series reasoning, greedy search, and goal-oriented error control all have prior foundations. The contribution here is the captured-world revision contract that makes those tools participate in one executable decision. Exact structural closure, bounded exterior influence, output tolerances, work crossover, automatic</w:t>
      </w:r>
      <w:r>
        <w:t xml:space="preserve"> </w:t>
      </w:r>
      <w:r>
        <w:rPr>
          <w:smallCaps/>
        </w:rPr>
        <w:t xml:space="preserve">Full</w:t>
      </w:r>
      <w:r>
        <w:t xml:space="preserve"> </w:t>
      </w:r>
      <w:r>
        <w:t xml:space="preserve">fallback, immutable evidence, and independent full-after falsification are evaluated together rather than as separate mechanisms.</w:t>
      </w:r>
    </w:p>
    <w:p>
      <w:pPr>
        <w:pStyle w:val="BodyText"/>
      </w:pPr>
      <w:r>
        <w:t xml:space="preserve">MAVEB is the research system used to evaluate CBRC; AETHER is the underlying C++23 persistent-world engine stack. AETHER owns reconstruction and Gaussian state, revision transactions, GPU publication, temporal state, and provenance/evidence capture, while a dense Python reference certifier and an independent full-after Gaussian oracle provide separate validation paths. Figure 1 summarizes the decision path, while Figure 2 shows the support-selection idea visually. The implementation records immutable before/after revision sidecars, deterministic certificate JSON, per-domain work, and oracle replay. Planner output alone is insufficient evidence of safety. Instead, the unrepaired exterior implied by the chosen support is compared with an independently rendered</w:t>
      </w:r>
      <w:r>
        <w:t xml:space="preserve"> </w:t>
      </w:r>
      <w:r>
        <w:rPr>
          <w:smallCaps/>
        </w:rPr>
        <w:t xml:space="preserve">Full</w:t>
      </w:r>
      <w:r>
        <w:t xml:space="preserve">-after reference and checked under the contract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residual attributable to the unrepaired exterior under the selected support, evaluated against an independent full-after rendering;</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Before examining aggregate outcomes, we fixed the evaluation protocol and claim boundaries. The broad campaign spans four dataset families, seeded and trained Gaussian representations, and four edit types; it exercises both</w:t>
      </w:r>
      <w:r>
        <w:t xml:space="preserve"> </w:t>
      </w:r>
      <w:r>
        <w:rPr>
          <w:smallCaps/>
        </w:rPr>
        <w:t xml:space="preserve">Local</w:t>
      </w:r>
      <w:r>
        <w:t xml:space="preserve"> </w:t>
      </w:r>
      <w:r>
        <w:t xml:space="preserve">and</w:t>
      </w:r>
      <w:r>
        <w:t xml:space="preserve"> </w:t>
      </w:r>
      <w:r>
        <w:rPr>
          <w:smallCaps/>
        </w:rPr>
        <w:t xml:space="preserve">Full</w:t>
      </w:r>
      <w:r>
        <w:t xml:space="preserve"> </w:t>
      </w:r>
      <w:r>
        <w:t xml:space="preserve">outcomes and validates every selected result against independent full-after replay. Detailed counts, confidence intervals, and work ratios appear in Section 7. The central behavior is that stronger coupling increasingly drives the fail-closed path while selected outputs remain consistent with the independent reference.</w:t>
      </w:r>
    </w:p>
    <w:p>
      <w:pPr>
        <w:pStyle w:val="BodyText"/>
      </w:pPr>
      <w:r>
        <w:t xml:space="preserve">The broad campaign deliberately uses exact selected-to-full agreement, which leaves bounded non-zero residuals untested. A second frozen experiment line addresses that question: a diagnostic identifies the original certificate bottleneck, a mechanism study changes only the opacity residual certificate while retaining translation as a control, and a final confirmatory study repeats the unchanged mechanism on independently ranked scenes from the same four dataset families. This staging separates diagnosis, mechanism change, and confirmation and prevents the same campaign from serving as both tuning and evidence.</w:t>
      </w:r>
    </w:p>
    <w:p>
      <w:pPr>
        <w:pStyle w:val="BodyText"/>
      </w:pPr>
      <w:r>
        <w:t xml:space="preserve">Operationally, this gives long-lived AR maps, digital twins, and reconstructed environments a middle path between two costly extremes: rebuilding everything after each change or trusting a nearby update without knowing what stale state remains. The system can stop propagation when the output effect is bounded, and it can abandon locality when that justification disappears.</w:t>
      </w:r>
    </w:p>
    <w:p>
      <w:pPr>
        <w:pStyle w:val="BodyText"/>
      </w:pPr>
      <w:r>
        <w:t xml:space="preserve">Our contribution is the systems rule that joins existing dependency and error-estimation ideas into one captured-world revision policy: exact structural closure, bounded exterior influence, output tolerances, work-aware selection, explicit fallback, immutable records, and independent falsification all participate in the same decision.</w:t>
      </w:r>
    </w:p>
    <w:p>
      <w:pPr>
        <w:pStyle w:val="BodyText"/>
      </w:pPr>
      <w:r>
        <w:t xml:space="preserve">The contributions are:</w:t>
      </w:r>
    </w:p>
    <w:p>
      <w:pPr>
        <w:numPr>
          <w:ilvl w:val="0"/>
          <w:numId w:val="1001"/>
        </w:numPr>
      </w:pPr>
      <w:r>
        <w:t xml:space="preserve">a fail-closed captured-world revision contract that closes exact structural dependencies and bounds the output effect of state left outside a candidate repair;</w:t>
      </w:r>
    </w:p>
    <w:p>
      <w:pPr>
        <w:numPr>
          <w:ilvl w:val="0"/>
          <w:numId w:val="1001"/>
        </w:numPr>
      </w:pPr>
      <w:r>
        <w:t xml:space="preserve">output-specific certification for selective Gaussian repair, including a magnitude-sensitive opacity path, with unsupported or unstable cases routed to</w:t>
      </w:r>
      <w:r>
        <w:t xml:space="preserve"> </w:t>
      </w:r>
      <w:r>
        <w:rPr>
          <w:smallCaps/>
        </w:rPr>
        <w:t xml:space="preserve">Full</w:t>
      </w:r>
      <w:r>
        <w:t xml:space="preserve">;</w:t>
      </w:r>
    </w:p>
    <w:p>
      <w:pPr>
        <w:numPr>
          <w:ilvl w:val="0"/>
          <w:numId w:val="1001"/>
        </w:numPr>
      </w:pPr>
      <w:r>
        <w:t xml:space="preserve">a work-aware planner, deterministic evidence records, a dense reference certifier, and an independent full-after oracle that can falsify the selected result; and</w:t>
      </w:r>
    </w:p>
    <w:p>
      <w:pPr>
        <w:numPr>
          <w:ilvl w:val="0"/>
          <w:numId w:val="1001"/>
        </w:numPr>
      </w:pPr>
      <w:r>
        <w:t xml:space="preserve">a staged evaluation over 1,275 revisions and 85 scenes, followed by a separate residual-sensitive diagnostic, mechanism study, and 20-scene confirmation.</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residual outside the selected repair support is then falsified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embedded 28.40% work ratio, 3.5</w:t>
      </w:r>
      <m:oMath>
        <m:r>
          <m:rPr>
            <m:sty m:val="p"/>
          </m:rPr>
          <m:t>×</m:t>
        </m:r>
      </m:oMath>
      <w:r>
        <w:t xml:space="preserve"> </w:t>
      </w:r>
      <w:r>
        <w:t xml:space="preserve">work reduction, and other micro-metrics are illustrative values from the graphic and are separate from the aggregate campaign estimates reported in Section 7. Correctness labels in the image apply under the declared bound assumptions and revision domain; the figure makes no wall-clock or universal-safety claim.</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Local updating of changing Gaussian scenes is therefore established prior art. The distinction in CBRC is the contract it enforces: cross-representation exact dependencies and conservative output bounds are checked together, locality is admitted under Eq. 1, and</w:t>
      </w:r>
      <w:r>
        <w:t xml:space="preserve"> </w:t>
      </w:r>
      <w:r>
        <w:rPr>
          <w:smallCaps/>
        </w:rPr>
        <w:t xml:space="preserve">Full</w:t>
      </w:r>
      <w:r>
        <w:t xml:space="preserve"> </w:t>
      </w:r>
      <w:r>
        <w:t xml:space="preserve">remains an explicit outcome when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works set a clear boundary for our contribution. Local editing, primitive-level change detection, and persistent identity are upstream capabilities; CBRC begins after a revision has been specified or detected and asks which derived state may safely remain unrepaired for a protected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Dependency-aware recomputation has a long history in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quantities of interest instead of a global state norm</w:t>
      </w:r>
      <w:r>
        <w:t xml:space="preserve"> </w:t>
      </w:r>
      <w:r>
        <w:t xml:space="preserve">(Oden and Prudhomme 2001)</w:t>
      </w:r>
      <w:r>
        <w:t xml:space="preserve">. Several ingredients of CBRC come from these traditions. Our novelty claim concerns how they are assembled and enforced for persistent captured-world revision.</w:t>
      </w:r>
    </w:p>
    <w:p>
      <w:pPr>
        <w:pStyle w:val="BodyText"/>
      </w:pPr>
      <w:r>
        <w:t xml:space="preserve">The mathematical components used by CBRC are classical: graph closure, non-negative influence propagation, Neumann-series resolvents, norm bounds, and greedy search. The claimed contribution is a systems contract for captured worlds that brings these components together around one revision decision: exact dependencies across derived state, conservative finite-change bounds, rendered-output quantities of interest, a heterogeneous work crossover, fail-closed</w:t>
      </w:r>
      <w:r>
        <w:t xml:space="preserve"> </w:t>
      </w:r>
      <w:r>
        <w:rPr>
          <w:smallCaps/>
        </w:rPr>
        <w:t xml:space="preserve">Full</w:t>
      </w:r>
      <w:r>
        <w:t xml:space="preserve"> </w:t>
      </w:r>
      <w:r>
        <w:t xml:space="preserve">fallback, and independent full-reference falsification. These tools make the contract executable; the novelty claim concerns their captured-world integration and evidence path.</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can represent an observation region, TSDF block, mesh patch, texture page, material state, Gaussian subset, GPU publication range, temporal-history region, or another unit of derived state. It is a unit of computational ownership, not necessarily a regular spatial cell.</w:t>
      </w:r>
    </w:p>
    <w:p>
      <w:pPr>
        <w:pStyle w:val="BodyText"/>
      </w:pPr>
      <w:r>
        <w:t xml:space="preserve">A physical revision gives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From there, the planner chooses a repair cone</w:t>
      </w:r>
      <w:r>
        <w:t xml:space="preserve"> </w:t>
      </w:r>
      <m:oMath>
        <m:r>
          <m:t>C</m:t>
        </m:r>
        <m:r>
          <m:rPr>
            <m:sty m:val="p"/>
          </m:rPr>
          <m:t>⊆</m:t>
        </m:r>
        <m:r>
          <m:t>V</m:t>
        </m:r>
      </m:oMath>
      <w:r>
        <w:t xml:space="preserve"> </w:t>
      </w:r>
      <w:r>
        <w:t xml:space="preserve">and leaves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untouched. Small cones are useful, but minimizing</w:t>
      </w:r>
      <w:r>
        <w:t xml:space="preserve"> </w:t>
      </w:r>
      <m:oMath>
        <m:d>
          <m:dPr>
            <m:begChr m:val="|"/>
            <m:endChr m:val="|"/>
            <m:sepChr m:val=""/>
            <m:grow/>
          </m:dPr>
          <m:e>
            <m:r>
              <m:t>C</m:t>
            </m:r>
          </m:e>
        </m:d>
      </m:oMath>
      <w:r>
        <w:t xml:space="preserve"> </w:t>
      </w:r>
      <w:r>
        <w:t xml:space="preserve">by itself is not the objective. The cone has to remain feasible under the output certificate, and its measured or calibrated work must still beat the corresponding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guide scheduling, but never serves as a soft safety bound. Relations lacking a conservative argument stay exact even when a softer treatment would shrink the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denote its declared tolerance. A local repair is admissible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 output. The planner checks this condition before execution, and the experiment later checks the stronger independent full-reference contract in Eq. 1.</w:t>
      </w:r>
    </w:p>
    <w:p>
      <w:pPr>
        <w:pStyle w:val="BodyText"/>
      </w:pPr>
      <w:r>
        <w:t xml:space="preserve">A safe local repair is still a poor choice if it costs as much as rebuilding. The planner therefore uses a common calibrated-work scale. If</w:t>
      </w:r>
      <w:r>
        <w:t xml:space="preserve"> </w:t>
      </w:r>
      <m:oMath>
        <m:sSub>
          <m:e>
            <m:r>
              <m:t>n</m:t>
            </m:r>
          </m:e>
          <m:sub>
            <m:r>
              <m:t>d</m:t>
            </m:r>
          </m:sub>
        </m:sSub>
        <m:d>
          <m:dPr>
            <m:begChr m:val="("/>
            <m:endChr m:val=")"/>
            <m:sepChr m:val=""/>
            <m:grow/>
          </m:dPr>
          <m:e>
            <m:r>
              <m:t>C</m:t>
            </m:r>
          </m:e>
        </m:d>
      </m:oMath>
      <w:r>
        <w:t xml:space="preserve"> </w:t>
      </w:r>
      <w:r>
        <w:t xml:space="preserve">is the native work counter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the frozen conversion factor for one native unit in that domain, then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(4)</w:t>
            </w:r>
          </w:p>
        </w:tc>
      </w:tr>
    </w:tbl>
    <w:p>
      <w:pPr>
        <w:pStyle w:val="FirstParagraph"/>
      </w:pPr>
      <w:r>
        <w:t xml:space="preserve">with</w:t>
      </w:r>
      <w:r>
        <w:t xml:space="preserve"> </w:t>
      </w:r>
      <m:oMath>
        <m:sSub>
          <m:e>
            <m:r>
              <m:t>W</m:t>
            </m:r>
          </m:e>
          <m:sub>
            <m:r>
              <m:rPr>
                <m:sty m:val="p"/>
              </m:rPr>
              <m:t>f</m:t>
            </m:r>
            <m:r>
              <m:rPr>
                <m:sty m:val="p"/>
              </m:rPr>
              <m:t>u</m:t>
            </m:r>
            <m:r>
              <m:rPr>
                <m:sty m:val="p"/>
              </m:rPr>
              <m:t>l</m:t>
            </m:r>
            <m:r>
              <m:rPr>
                <m:sty m:val="p"/>
              </m:rPr>
              <m:t>l</m:t>
            </m:r>
          </m:sub>
        </m:sSub>
      </m:oMath>
      <w:r>
        <w:t xml:space="preserve"> </w:t>
      </w:r>
      <w:r>
        <w:t xml:space="preserve">measured independently. In the frozen campaign, the native counters are Gaussian inspections, Gaussian updates, GPU-publication bytes, and temporal-invalidated pixels. The factor</w:t>
      </w:r>
      <w:r>
        <w:t xml:space="preserve"> </w:t>
      </w:r>
      <m:oMath>
        <m:sSub>
          <m:e>
            <m:r>
              <m:t>κ</m:t>
            </m:r>
          </m:e>
          <m:sub>
            <m:r>
              <m:t>d</m:t>
            </m:r>
          </m:sub>
        </m:sSub>
      </m:oMath>
      <w:r>
        <w:t xml:space="preserve"> </w:t>
      </w:r>
      <w:r>
        <w:t xml:space="preserve">converts each counter to the same pre-calibrated work scale; it does not assert that an inspection, a byte transfer, and a pixel invalidation are physically identical operations. Calibration is frozen before the paper-grade campaign so outcome inspection cannot change the relative weights.</w:t>
      </w:r>
    </w:p>
    <w:p>
      <w:pPr>
        <w:pStyle w:val="BodyText"/>
      </w:pPr>
      <w:r>
        <w:t xml:space="preserve">The planner accepts locality only when</w:t>
      </w:r>
      <w:r>
        <w:t xml:space="preserve"> </w:t>
      </w:r>
      <m:oMath>
        <m:r>
          <m:t>W</m:t>
        </m:r>
        <m:d>
          <m:dPr>
            <m:begChr m:val="("/>
            <m:endChr m:val=")"/>
            <m:sepChr m:val=""/>
            <m:grow/>
          </m:dPr>
          <m:e>
            <m:r>
              <m:t>C</m:t>
            </m:r>
          </m:e>
        </m:d>
        <m:r>
          <m:rPr>
            <m:sty m:val="p"/>
          </m:rPr>
          <m:t>&lt;</m:t>
        </m:r>
        <m:sSub>
          <m:e>
            <m:r>
              <m:t>W</m:t>
            </m:r>
          </m:e>
          <m:sub>
            <m:r>
              <m:rPr>
                <m:sty m:val="p"/>
              </m:rPr>
              <m:t>f</m:t>
            </m:r>
            <m:r>
              <m:rPr>
                <m:sty m:val="p"/>
              </m:rPr>
              <m:t>u</m:t>
            </m:r>
            <m:r>
              <m:rPr>
                <m:sty m:val="p"/>
              </m:rPr>
              <m:t>l</m:t>
            </m:r>
            <m:r>
              <m:rPr>
                <m:sty m:val="p"/>
              </m:rPr>
              <m:t>l</m:t>
            </m:r>
          </m:sub>
        </m:sSub>
      </m:oMath>
      <w:r>
        <w:t xml:space="preserve">. A candidate can therefore be output-safe and still return</w:t>
      </w:r>
      <w:r>
        <w:t xml:space="preserve"> </w:t>
      </w:r>
      <w:r>
        <w:rPr>
          <w:smallCaps/>
        </w:rPr>
        <w:t xml:space="preserve">Full</w:t>
      </w:r>
      <w:r>
        <w:t xml:space="preserve"> </w:t>
      </w:r>
      <w:r>
        <w:t xml:space="preserve">because the repair has crossed the work break-even point. Equation 4 is an accounting model for heterogeneous system work. End-to-end wall-clock timing, allocator effects, synchronization, cache behavior, command submission, and pipeline overlap remain outside this metric.</w:t>
      </w:r>
    </w:p>
    <w:bookmarkEnd w:id="37"/>
    <w:bookmarkEnd w:id="38"/>
    <w:bookmarkStart w:id="50"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(5)</w:t>
            </w:r>
          </w:p>
        </w:tc>
      </w:tr>
    </w:tbl>
    <w:p>
      <w:pPr>
        <w:pStyle w:val="FirstParagraph"/>
      </w:pPr>
      <w:r>
        <w:t xml:space="preserve">This condition is checked before any approximate reasoning. If Eq. 5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(6)</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(7)</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(8)</w:t>
            </w:r>
          </w:p>
        </w:tc>
      </w:tr>
    </w:tbl>
    <w:p>
      <w:pPr>
        <w:pStyle w:val="FirstParagraph"/>
      </w:pPr>
      <w:r>
        <w:t xml:space="preserve">The native v1 planner uses sparse finite propagation on supported DAG exteriors. An analytic cycle outside that supported case triggers fail-closed behavior: the cone expands until the unsupported exterior disappears, or the result becomes</w:t>
      </w:r>
      <w:r>
        <w:t xml:space="preserve"> </w:t>
      </w:r>
      <w:r>
        <w:rPr>
          <w:smallCaps/>
        </w:rPr>
        <w:t xml:space="preserve">Full</w:t>
      </w:r>
      <w:r>
        <w:t xml:space="preserve">. Equation 8 is the reference formulation; production support is limited to the stated DAG case.</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(9)</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the protected output, avoiding dependence on an internal state norm whose relation to visible error may vary.</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use</w:t>
      </w:r>
      <w:r>
        <w:t xml:space="preserve"> </w:t>
      </w:r>
      <w:r>
        <w:rPr>
          <w:iCs/>
          <w:i/>
        </w:rPr>
        <w:t xml:space="preserve">revision criticality</w:t>
      </w:r>
      <w:r>
        <w:t xml:space="preserve"> </w:t>
      </w:r>
      <w:r>
        <w:t xml:space="preserve">for the worst normalized certified residual 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(10)</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(11)</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11.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(12)</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(13)</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13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13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(14)</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13.</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(15)</w:t>
            </w:r>
          </w:p>
        </w:tc>
      </w:tr>
    </w:tbl>
    <w:p>
      <w:pPr>
        <w:pStyle w:val="FirstParagraph"/>
      </w:pPr>
      <w:r>
        <w:t xml:space="preserve">If validation, reprojection, or disocclusion can itself change, MAVEB does not apply Eq. 15;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(16)</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returns a certified feasible cone; global minimum-work optimality is outside its guarantee.</w:t>
      </w:r>
    </w:p>
    <w:bookmarkEnd w:id="49"/>
    <w:bookmarkEnd w:id="50"/>
    <w:bookmarkStart w:id="55" w:name="system-implementation"/>
    <w:p>
      <w:pPr>
        <w:pStyle w:val="Heading1"/>
      </w:pPr>
      <w:r>
        <w:rPr>
          <w:rStyle w:val="SectionNumber"/>
        </w:rPr>
        <w:t xml:space="preserve">5</w:t>
      </w:r>
      <w:r>
        <w:tab/>
      </w:r>
      <w:r>
        <w:t xml:space="preserve">System Implementation</w:t>
      </w:r>
    </w:p>
    <w:p>
      <w:pPr>
        <w:pStyle w:val="FirstParagraph"/>
      </w:pPr>
      <w:r>
        <w:t xml:space="preserve">Throughout this section, MAVEB names the experimental CBRC research system and AETHER names its underlying native persistent-world software stack. MAVEB keeps the scientific reference path separate from the production-oriented AETHER execution path. The dense Python certifier follows the mathematical contract directly and serves as a falsification and regression reference. The native C++23 AETHER implementation uses a sparse typed revision graph, sparse analytic propagation over supported DAG exteriors, exact predecessor checks, greedy feasible-cone search, and deterministic certificate serialization. For the frozen campaign, the bound production output-cone graph is evaluated by both the native planner and the Python reference planner; their final decisions are compared rather than assumed equivalent.</w:t>
      </w:r>
    </w:p>
    <w:bookmarkStart w:id="51"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1"/>
    <w:bookmarkStart w:id="52"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2"/>
    <w:bookmarkStart w:id="53"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3"/>
    <w:bookmarkStart w:id="54" w:name="representation-scope."/>
    <w:p>
      <w:pPr>
        <w:pStyle w:val="Heading4"/>
      </w:pPr>
      <w:r>
        <w:t xml:space="preserve">Representation scope.</w:t>
      </w:r>
    </w:p>
    <w:p>
      <w:pPr>
        <w:pStyle w:val="FirstParagraph"/>
      </w:pPr>
      <w:r>
        <w:t xml:space="preserve">The paper-grade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and serves revision bookkeeping; semantic segmentation is outside its role.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4"/>
    <w:bookmarkEnd w:id="55"/>
    <w:bookmarkStart w:id="61" w:name="evaluation"/>
    <w:p>
      <w:pPr>
        <w:pStyle w:val="Heading1"/>
      </w:pPr>
      <w:r>
        <w:rPr>
          <w:rStyle w:val="SectionNumber"/>
        </w:rPr>
        <w:t xml:space="preserve">6</w:t>
      </w:r>
      <w:r>
        <w:tab/>
      </w:r>
      <w:r>
        <w:t xml:space="preserve">Evaluation</w:t>
      </w:r>
    </w:p>
    <w:bookmarkStart w:id="58" w:name="questions-and-frozen-protocol"/>
    <w:p>
      <w:pPr>
        <w:pStyle w:val="Heading2"/>
      </w:pPr>
      <w:r>
        <w:rPr>
          <w:rStyle w:val="SectionNumber"/>
        </w:rPr>
        <w:t xml:space="preserve">6.1</w:t>
      </w:r>
      <w:r>
        <w:tab/>
      </w:r>
      <w:r>
        <w:t xml:space="preserve">Questions and frozen protocol</w:t>
      </w:r>
    </w:p>
    <w:p>
      <w:pPr>
        <w:pStyle w:val="FirstParagraph"/>
      </w:pPr>
      <w:r>
        <w:t xml:space="preserve">The paper-grade evaluation asks six questions. RQ1 tests whether every published</w:t>
      </w:r>
      <w:r>
        <w:t xml:space="preserve"> </w:t>
      </w:r>
      <w:r>
        <w:rPr>
          <w:smallCaps/>
        </w:rPr>
        <w:t xml:space="preserve">Local</w:t>
      </w:r>
      <w:r>
        <w:t xml:space="preserve"> </w:t>
      </w:r>
      <w:r>
        <w:t xml:space="preserve">decision satisfies the emitted certificate under independent full-after replay. RQ2 measures how often the fail-closed rule selects</w:t>
      </w:r>
      <w:r>
        <w:t xml:space="preserve"> </w:t>
      </w:r>
      <w:r>
        <w:rPr>
          <w:smallCaps/>
        </w:rPr>
        <w:t xml:space="preserve">Local</w:t>
      </w:r>
      <w:r>
        <w:t xml:space="preserve"> </w:t>
      </w:r>
      <w:r>
        <w:t xml:space="preserve">versus</w:t>
      </w:r>
      <w:r>
        <w:t xml:space="preserve"> </w:t>
      </w:r>
      <w:r>
        <w:rPr>
          <w:smallCaps/>
        </w:rPr>
        <w:t xml:space="preserve">Full</w:t>
      </w:r>
      <w:r>
        <w:t xml:space="preserve"> </w:t>
      </w:r>
      <w:r>
        <w:t xml:space="preserve">as coupling increases. RQ3 measures calibrated selected work relative to the frozen full baseline. RQ4 tests whether the behavior persists across datasets and across seeded versus trained Gaussian representations. RQ5 tests translation, rotation, uniform-scale, and opacity edits under the same revision contract. RQ6 compares the resulting decisions with full, exact, fixed-radius, changed-fraction, empirical-order, and mechanism-ablation policies.</w:t>
      </w:r>
    </w:p>
    <w:p>
      <w:pPr>
        <w:pStyle w:val="BodyText"/>
      </w:pPr>
      <w:r>
        <w:t xml:space="preserve">The campaign is frozen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while edit family rotates through translation, rotation, uniform scale, and opacity. The frozen protocol therefore separates outcome inspection from threshold or case construction.</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Fallbacks stay in the dataset because they are part of the method’s behavior. The final visual audit compares the selected output with the independent</w:t>
      </w:r>
      <w:r>
        <w:t xml:space="preserve"> </w:t>
      </w:r>
      <w:r>
        <w:rPr>
          <w:smallCaps/>
        </w:rPr>
        <w:t xml:space="preserve">Full</w:t>
      </w:r>
      <w:r>
        <w:t xml:space="preserve">-after render at the same camera.</w:t>
      </w:r>
    </w:p>
    <w:bookmarkStart w:id="56" w:name="work-metric."/>
    <w:p>
      <w:pPr>
        <w:pStyle w:val="Heading4"/>
      </w:pPr>
      <w:r>
        <w:t xml:space="preserve">Work metric.</w:t>
      </w:r>
    </w:p>
    <w:p>
      <w:pPr>
        <w:pStyle w:val="FirstParagraph"/>
      </w:pPr>
      <w:r>
        <w:t xml:space="preserve">The headline work ratio uses the frozen heterogeneous work model from Eq. 4.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6"/>
    <w:bookmarkStart w:id="57"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7"/>
    <w:bookmarkEnd w:id="58"/>
    <w:bookmarkStart w:id="59"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of the unchanged v5 mechanism. Thresholds, residual scales, edit magnitudes, locality profiles, and the control family remain fixed. Five deterministically ranked scenes are selected from each of 3RScan, ARKitScenes, Bonn RGB-D Dynamic, and trained GraphDECO 3DGS, giving 20 scenes and 3,840 pooled parameter cases. Confirmation gates are fixed before execution, and outcome inspection cannot trigger scene or case replacement.</w:t>
      </w:r>
    </w:p>
    <w:bookmarkEnd w:id="59"/>
    <w:bookmarkStart w:id="60"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0"/>
    <w:bookmarkEnd w:id="61"/>
    <w:bookmarkStart w:id="76" w:name="sec:results"/>
    <w:p>
      <w:pPr>
        <w:pStyle w:val="Heading1"/>
      </w:pPr>
      <w:r>
        <w:rPr>
          <w:rStyle w:val="SectionNumber"/>
        </w:rPr>
        <w:t xml:space="preserve">7</w:t>
      </w:r>
      <w:r>
        <w:tab/>
      </w:r>
      <w:r>
        <w:t xml:space="preserve">Results</w:t>
      </w:r>
    </w:p>
    <w:bookmarkStart w:id="66" w:name="overall-paper-grade-campaign"/>
    <w:p>
      <w:pPr>
        <w:pStyle w:val="Heading2"/>
      </w:pPr>
      <w:r>
        <w:rPr>
          <w:rStyle w:val="SectionNumber"/>
        </w:rPr>
        <w:t xml:space="preserve">7.1</w:t>
      </w:r>
      <w:r>
        <w:tab/>
      </w:r>
      <w:r>
        <w:t xml:space="preserve">Overall paper-grade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(17)</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 Expressed as work avoided on the same frozen scale, the overall median is 52.55% below</w:t>
      </w:r>
      <w:r>
        <w:t xml:space="preserve"> </w:t>
      </w:r>
      <w:r>
        <w:rPr>
          <w:smallCaps/>
        </w:rPr>
        <w:t xml:space="preserve">Full</w:t>
      </w:r>
      <w:r>
        <w:t xml:space="preserve">. The dataset medians in Table 2 correspond to 65.94% lower calibrated work on 3RScan, 51.68% on ARKitScenes, 52.45% on Bonn RGB-D Dynamic, and 48.09% on trained GraphDECO 3DGS. These percentages quantify work-accounting savings, not wall-clock acceleration.</w:t>
      </w:r>
    </w:p>
    <w:bookmarkStart w:id="62" w:name="tab:datasets"/>
    <w:p>
      <w:pPr>
        <w:pStyle w:val="TableCaption"/>
        <w:keepNext/>
      </w:pPr>
      <w:r>
        <w:t xml:space="preserve">Table 2. </w:t>
      </w:r>
      <w:r>
        <w:t xml:space="preserve">Paper-grade 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Paper-grade 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2"/>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p>
      <w:pPr>
        <w:pStyle w:val="BodyText"/>
      </w:pPr>
      <w:r>
        <w:t xml:space="preserve">Figure 3 makes the decision behavior concrete on a pinned trained GraphDECO 3DGS scene. The certified local case uses 48.011% of the frozen</w:t>
      </w:r>
      <w:r>
        <w:t xml:space="preserve"> </w:t>
      </w:r>
      <w:r>
        <w:rPr>
          <w:smallCaps/>
        </w:rPr>
        <w:t xml:space="preserve">Full</w:t>
      </w:r>
      <w:r>
        <w:t xml:space="preserve"> </w:t>
      </w:r>
      <w:r>
        <w:t xml:space="preserve">work baseline, whereas the high-coupling case reaches the break-even boundary and selects</w:t>
      </w:r>
      <w:r>
        <w:t xml:space="preserve"> </w:t>
      </w:r>
      <w:r>
        <w:rPr>
          <w:smallCaps/>
        </w:rPr>
        <w:t xml:space="preserve">Full</w:t>
      </w:r>
      <w:r>
        <w:t xml:space="preserve">. In both rows the selected result is compared with an independently rendered</w:t>
      </w:r>
      <w:r>
        <w:t xml:space="preserve"> </w:t>
      </w:r>
      <w:r>
        <w:rPr>
          <w:smallCaps/>
        </w:rPr>
        <w:t xml:space="preserve">Full</w:t>
      </w:r>
      <w:r>
        <w:t xml:space="preserve">-after image.</w:t>
      </w:r>
    </w:p>
    <w:p>
      <w:pPr>
        <w:pStyle w:val="CaptionedFigure"/>
        <w:keepNext/>
      </w:pPr>
      <w:r>
        <w:drawing>
          <wp:inline>
            <wp:extent cx="5334000" cy="3200400"/>
            <wp:effectExtent b="0" l="0" r="0" t="0"/>
            <wp:docPr descr="" title="" id="64" name="Picture"/>
            <a:graphic>
              <a:graphicData uri="http://schemas.openxmlformats.org/drawingml/2006/picture">
                <pic:pic>
                  <pic:nvPicPr>
                    <pic:cNvPr descr="figures/trained_3dgs_qualitative.png" id="65" name="Picture"/>
                    <pic:cNvPicPr>
                      <a:picLocks noChangeArrowheads="1" noChangeAspect="1"/>
                    </pic:cNvPicPr>
                  </pic:nvPicPr>
                  <pic:blipFill>
                    <a:blip r:embed="rId6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keepNext w:val="0"/>
      </w:pPr>
      <w:r>
        <w:t xml:space="preserve">Figure 3. </w:t>
      </w:r>
      <w:r>
        <w:t xml:space="preserve">Representative trained-3DGS outcomes from the frozen public revision matrix. Top: a certified</w:t>
      </w:r>
      <w:r>
        <w:t xml:space="preserve"> </w:t>
      </w:r>
      <w:r>
        <w:rPr>
          <w:smallCaps/>
        </w:rPr>
        <w:t xml:space="preserve">Local</w:t>
      </w:r>
      <w:r>
        <w:t xml:space="preserve"> </w:t>
      </w:r>
      <w:r>
        <w:t xml:space="preserve">repair leaves the audited output identical to</w:t>
      </w:r>
      <w:r>
        <w:t xml:space="preserve"> </w:t>
      </w:r>
      <w:r>
        <w:rPr>
          <w:smallCaps/>
        </w:rPr>
        <w:t xml:space="preserve">Full</w:t>
      </w:r>
      <w:r>
        <w:t xml:space="preserve">-after while using 48.011% of the calibrated full-rebuild work. Bottom: a high-coupling/unstable revision selects</w:t>
      </w:r>
      <w:r>
        <w:t xml:space="preserve"> </w:t>
      </w:r>
      <w:r>
        <w:rPr>
          <w:smallCaps/>
        </w:rPr>
        <w:t xml:space="preserve">Full</w:t>
      </w:r>
      <w:r>
        <w:t xml:space="preserve"> </w:t>
      </w:r>
      <w:r>
        <w:t xml:space="preserve">and therefore records work/</w:t>
      </w:r>
      <w:r>
        <w:rPr>
          <w:smallCaps/>
        </w:rPr>
        <w:t xml:space="preserve">Full</w:t>
      </w:r>
      <w:r>
        <w:t xml:space="preserve">=1. The visualization demonstrates revision fidelity and fallback behavior within the evaluated representation; it is not a claim about reconstruction accuracy against source photographs.</w:t>
      </w:r>
    </w:p>
    <w:bookmarkEnd w:id="66"/>
    <w:bookmarkStart w:id="68" w:name="coupling-controls-fallback-behavior"/>
    <w:p>
      <w:pPr>
        <w:pStyle w:val="Heading2"/>
      </w:pPr>
      <w:r>
        <w:rPr>
          <w:rStyle w:val="SectionNumber"/>
        </w:rPr>
        <w:t xml:space="preserve">7.2</w:t>
      </w:r>
      <w:r>
        <w:tab/>
      </w:r>
      <w:r>
        <w:t xml:space="preserve">Coupling controls fallback behavior</w:t>
      </w:r>
    </w:p>
    <w:p>
      <w:pPr>
        <w:pStyle w:val="FirstParagraph"/>
      </w:pPr>
      <w:r>
        <w:t xml:space="preserve">Table 3 shows the fail-closed envelope by coupling regime. All low and medium cases remain local. High coupling produces 170 local repairs and 85 fallbacks, while adversarial coupling produces 85 local repairs and 255 fallbacks. The frozen matrix therefore shows a monotonic shift toward fallback as coupling strengthens.</w:t>
      </w:r>
    </w:p>
    <w:bookmarkStart w:id="67"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7"/>
    <w:bookmarkEnd w:id="68"/>
    <w:bookmarkStart w:id="70" w:name="generalization-across-edit-families"/>
    <w:p>
      <w:pPr>
        <w:pStyle w:val="Heading2"/>
      </w:pPr>
      <w:r>
        <w:rPr>
          <w:rStyle w:val="SectionNumber"/>
        </w:rPr>
        <w:t xml:space="preserve">7.3</w:t>
      </w:r>
      <w:r>
        <w:tab/>
      </w:r>
      <w:r>
        <w:t xml:space="preserve">Generalization across edit families</w:t>
      </w:r>
    </w:p>
    <w:p>
      <w:pPr>
        <w:pStyle w:val="FirstParagraph"/>
      </w:pPr>
      <w:r>
        <w:t xml:space="preserve">Table 4 applies the same revision contract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9" w:name="tab:edits"/>
    <w:p>
      <w:pPr>
        <w:pStyle w:val="TableCaption"/>
        <w:keepNext/>
      </w:pPr>
      <w:r>
        <w:t xml:space="preserve">Table 4. </w:t>
      </w:r>
      <w:r>
        <w:t xml:space="preserve">Paper-grade outcomes by edit family.</w:t>
      </w:r>
    </w:p>
    <w:tbl>
      <w:tblPr>
        <w:tblW w:type="auto" w:w="0"/>
        <w:tblLayout w:type="fixed"/>
        <w:tblLook w:firstRow="1" w:lastRow="0" w:firstColumn="0" w:lastColumn="0" w:noHBand="0" w:noVBand="0" w:val="0020"/>
        <w:jc w:val="start"/>
        <w:tblCaption w:val="Paper-grade 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9"/>
    <w:bookmarkEnd w:id="70"/>
    <w:bookmarkStart w:id="71"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(18)</w:t>
            </w:r>
          </w:p>
        </w:tc>
      </w:tr>
    </w:tbl>
    <w:p>
      <w:pPr>
        <w:pStyle w:val="FirstParagraph"/>
      </w:pPr>
      <w:r>
        <w:t xml:space="preserve">The separately frozen residual-sensitive sequence below targets exactly this regime without changing the broad campaign.</w:t>
      </w:r>
    </w:p>
    <w:bookmarkEnd w:id="71"/>
    <w:bookmarkStart w:id="74"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Table 5 summarizes the frozen residual-sensitive sequence. 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With translation held as the control, this separation attributes the restored locality to certificate sensitivity.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72"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72"/>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addresses sensitivity; tightness remains a separate question.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measured alongside the positive locality result.</w:t>
      </w:r>
    </w:p>
    <w:bookmarkStart w:id="73" w:name="tab:v6-scene"/>
    <w:p>
      <w:pPr>
        <w:pStyle w:val="TableCaption"/>
        <w:keepNext/>
      </w:pPr>
      <w:r>
        <w:t xml:space="preserve">Table 6. </w:t>
      </w:r>
      <w:r>
        <w:t xml:space="preserve">Scene-level v6 confirmation. Intervals are dataset-stratified scene-bootstrap 95% intervals over 20 scenes; pooled case totals serve as descriptive evidence, with inference at scene level.</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serve as descriptive evidence, with inference at scene level."/>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3"/>
    <w:bookmarkEnd w:id="74"/>
    <w:bookmarkStart w:id="75"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5"/>
    <w:bookmarkEnd w:id="76"/>
    <w:bookmarkStart w:id="86" w:name="discussion"/>
    <w:p>
      <w:pPr>
        <w:pStyle w:val="Heading1"/>
      </w:pPr>
      <w:r>
        <w:rPr>
          <w:rStyle w:val="SectionNumber"/>
        </w:rPr>
        <w:t xml:space="preserve">8</w:t>
      </w:r>
      <w:r>
        <w:tab/>
      </w:r>
      <w:r>
        <w:t xml:space="preserve">Discussion</w:t>
      </w:r>
    </w:p>
    <w:bookmarkStart w:id="77" w:name="what-the-evidence-establishes"/>
    <w:p>
      <w:pPr>
        <w:pStyle w:val="Heading2"/>
      </w:pPr>
      <w:r>
        <w:rPr>
          <w:rStyle w:val="SectionNumber"/>
        </w:rPr>
        <w:t xml:space="preserve">8.1</w:t>
      </w:r>
      <w:r>
        <w:tab/>
      </w:r>
      <w:r>
        <w:t xml:space="preserve">What the evidence establishes</w:t>
      </w:r>
    </w:p>
    <w:p>
      <w:pPr>
        <w:pStyle w:val="FirstParagraph"/>
      </w:pPr>
      <w:r>
        <w:t xml:space="preserve">The broad campaign establishes the normal operating envelope: independent replay exercises both local repair and full fallback across four datasets and two representation classes, with work reduction varying by dataset, edit family, and coupling strength. The residual-sensitive sequence answers a different question. V4 shows that a magnitude-insensitive image certificate can erase useful locality even when the repair itself is graded; V5 isolates a certificate change that restores non-zero opacity locality while leaving the translation control unchanged; and V6 tests the same mechanism on a wider frozen scene set. Taken together, the stages separate implementation fidelity, certificate sensitivity, and breadth instead of compressing them into one aggregate success metric.</w:t>
      </w:r>
    </w:p>
    <w:p>
      <w:pPr>
        <w:pStyle w:val="BodyText"/>
      </w:pPr>
      <w:r>
        <w:t xml:space="preserve">The result is best understood as a systems contract built from established dependency and error-estimation ideas. Dependency-aware recomputation, self-adjusting computation, norm bounds, and goal-oriented error estimation provide the underlying traditions. CBRC specializes them into a persistent captured-world rule that requires exact structural closure, conservative exterior accounting, output-specific tolerances, a frozen work crossover, explicit fallback, immutable evidence, and independent full-after falsification.</w:t>
      </w:r>
    </w:p>
    <w:bookmarkEnd w:id="77"/>
    <w:bookmarkStart w:id="84" w:name="limitations"/>
    <w:p>
      <w:pPr>
        <w:pStyle w:val="Heading2"/>
      </w:pPr>
      <w:r>
        <w:rPr>
          <w:rStyle w:val="SectionNumber"/>
        </w:rPr>
        <w:t xml:space="preserve">8.2</w:t>
      </w:r>
      <w:r>
        <w:tab/>
      </w:r>
      <w:r>
        <w:t xml:space="preserve">Limitations</w:t>
      </w:r>
    </w:p>
    <w:bookmarkStart w:id="78"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while leaving certificate tightness unresolved. Accepted v6 cases remain comfortably inside the tolerance boundary and residual effectivity remains high (Table 6), showing substantial safety margin alongside substantial conservatism. The supported claim is repeatable residual-sensitive locality under the tested opacity-only assumptions; tighter display-space error estimation remains open.</w:t>
      </w:r>
    </w:p>
    <w:bookmarkEnd w:id="78"/>
    <w:bookmarkStart w:id="79" w:name="X5849c22a44d2c0856a55e902847917a7307dde0"/>
    <w:p>
      <w:pPr>
        <w:pStyle w:val="Heading4"/>
      </w:pPr>
      <w:r>
        <w:t xml:space="preserve">Calibrated work is distinct from runtime.</w:t>
      </w:r>
    </w:p>
    <w:p>
      <w:pPr>
        <w:pStyle w:val="FirstParagraph"/>
      </w:pPr>
      <w:r>
        <w:t xml:space="preserve">The headline work result is a frozen four-domain accounting ratio. It captures heterogeneous work under a versioned calibration while omitting allocator behavior, synchronization, cache locality, command submission, and pipeline overlap. Paired end-to-end timing therefore remains a separate matched-runtime study.</w:t>
      </w:r>
    </w:p>
    <w:bookmarkEnd w:id="79"/>
    <w:bookmarkStart w:id="80"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an equally broad paper-grade performance campaign for that ledger remains future work.</w:t>
      </w:r>
    </w:p>
    <w:bookmarkEnd w:id="80"/>
    <w:bookmarkStart w:id="81" w:name="Xa0683ce4ad7cba86b3be8bf2130203078c33852"/>
    <w:p>
      <w:pPr>
        <w:pStyle w:val="Heading4"/>
      </w:pPr>
      <w:r>
        <w:t xml:space="preserve">Dataset-normalized worlds measure revision fidelity.</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therefore measures revision fidelity within each evaluated representation. Photorealistic reconstruction quality against held-out photographs lies outside this benchmark’s scope.</w:t>
      </w:r>
    </w:p>
    <w:bookmarkEnd w:id="81"/>
    <w:bookmarkStart w:id="82"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paper-grade matrix shows limited influence from them on aggregate real-scene outcomes.</w:t>
      </w:r>
    </w:p>
    <w:bookmarkEnd w:id="82"/>
    <w:bookmarkStart w:id="83"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selected cones carry no global optimality guarantee.</w:t>
      </w:r>
    </w:p>
    <w:bookmarkEnd w:id="83"/>
    <w:bookmarkEnd w:id="84"/>
    <w:bookmarkStart w:id="85" w:name="implications"/>
    <w:p>
      <w:pPr>
        <w:pStyle w:val="Heading2"/>
      </w:pPr>
      <w:r>
        <w:rPr>
          <w:rStyle w:val="SectionNumber"/>
        </w:rPr>
        <w:t xml:space="preserve">8.3</w:t>
      </w:r>
      <w:r>
        <w:tab/>
      </w:r>
      <w:r>
        <w:t xml:space="preserve">Implications</w:t>
      </w:r>
    </w:p>
    <w:p>
      <w:pPr>
        <w:pStyle w:val="FirstParagraph"/>
      </w:pPr>
      <w:r>
        <w:t xml:space="preserve">The main practical lesson is to treat locality as a contract instead of a geometric assumption. A small physical edit is a useful starting cue, but the publishable decision depends on the dependency closure, the protected output, the tolerated residual, and the cost of carrying the repair through derived state. This framing also makes failure informative. A</w:t>
      </w:r>
      <w:r>
        <w:t xml:space="preserve"> </w:t>
      </w:r>
      <w:r>
        <w:rPr>
          <w:smallCaps/>
        </w:rPr>
        <w:t xml:space="preserve">Full</w:t>
      </w:r>
      <w:r>
        <w:t xml:space="preserve"> </w:t>
      </w:r>
      <w:r>
        <w:t xml:space="preserve">result identifies a revision for which the current model cannot justify leaving enough of the world untouched.</w:t>
      </w:r>
    </w:p>
    <w:p>
      <w:pPr>
        <w:pStyle w:val="BodyText"/>
      </w:pPr>
      <w:r>
        <w:t xml:space="preserve">The residual-sensitive experiments make this distinction concrete. A local result can differ measurably from the full-after result and remain admissible when the measured residual stays below both the conservative bound and the declared tolerance. The v4 failure shows that permitting error is insufficient; the certificate must represent residual magnitude. V5 and v6 show that this behavior is repeatable for opacity-only residuals across the tested datasets. The open problem is how far the conservative bound can be tightened while preserving the fail-closed guarantee.</w:t>
      </w:r>
    </w:p>
    <w:bookmarkEnd w:id="85"/>
    <w:bookmarkEnd w:id="86"/>
    <w:bookmarkStart w:id="87"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and the repository excludes their redistribution.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7"/>
    <w:bookmarkStart w:id="88" w:name="conclusion"/>
    <w:p>
      <w:pPr>
        <w:pStyle w:val="Heading1"/>
      </w:pPr>
      <w:r>
        <w:rPr>
          <w:rStyle w:val="SectionNumber"/>
        </w:rPr>
        <w:t xml:space="preserve">10</w:t>
      </w:r>
      <w:r>
        <w:tab/>
      </w:r>
      <w:r>
        <w:t xml:space="preserve">Conclusion</w:t>
      </w:r>
    </w:p>
    <w:p>
      <w:pPr>
        <w:pStyle w:val="FirstParagraph"/>
      </w:pPr>
      <w:r>
        <w:t xml:space="preserve">Criticality-Bounded Revision Cones give persistent 3D systems a way to avoid unnecessary global rebuilds while treating spatial locality as a hypothesis that must earn certification. A repair proceeds only when structural dependencies are closed, the effect left outside the selected region stays within the declared output tolerance, and the work remains worthwhile; otherwise MAVEB rebuilds. In the broad campaign, median calibrated selected work is 0.474 of</w:t>
      </w:r>
      <w:r>
        <w:t xml:space="preserve"> </w:t>
      </w:r>
      <w:r>
        <w:rPr>
          <w:smallCaps/>
        </w:rPr>
        <w:t xml:space="preserve">Full</w:t>
      </w:r>
      <w:r>
        <w:t xml:space="preserve">, with both selective maintenance and fail-closed fallback exercised under independent replay. Stronger coupling progressively reduces the opportunity for reuse.</w:t>
      </w:r>
    </w:p>
    <w:p>
      <w:pPr>
        <w:pStyle w:val="BodyText"/>
      </w:pPr>
      <w:r>
        <w:t xml:space="preserve">The residual-sensitive sequence addresses the broad campaign’s exact-output limitation. V4 exposes the original certificate bottleneck, the opacity-delta refinement restores non-zero locality in v5, and the unchanged mechanism survives the 20-scene v6 confirmation. The paired opacity-minus-translation scene-level difference is 0.477 with 95% interval [0.432, 0.517]. Accepted residuals remain far from the tolerance boundary, making certificate tightness the main unresolved technical issue. The practical result is bounded and testable: recomputation shrinks when the dependency and error model can justify it and expands when that justification disappears.</w:t>
      </w:r>
    </w:p>
    <w:bookmarkEnd w:id="88"/>
    <w:bookmarkStart w:id="89" w:name="ethics-statement"/>
    <w:p>
      <w:pPr>
        <w:pStyle w:val="Heading1"/>
      </w:pPr>
      <w:r>
        <w:t xml:space="preserve">Ethics Statement</w:t>
      </w:r>
    </w:p>
    <w:p>
      <w:pPr>
        <w:pStyle w:val="FirstParagraph"/>
      </w:pPr>
      <w:r>
        <w:t xml:space="preserve">N/A. This work reports software, rendering, and reconstruction experiments and does not recruit human participants or collect personal data from participants. The evaluation uses public research datasets and pretrained research assets under their upstream terms; those upstream assets are cited and are not redistributed by this repository.</w:t>
      </w:r>
    </w:p>
    <w:bookmarkEnd w:id="89"/>
    <w:bookmarkStart w:id="141" w:name="acknowledgments"/>
    <w:p>
      <w:pPr>
        <w:pStyle w:val="Heading1"/>
      </w:pPr>
      <w:r>
        <w:t xml:space="preserve">Acknowledgments</w:t>
      </w:r>
    </w:p>
    <w:bookmarkStart w:id="90"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90"/>
    <w:bookmarkStart w:id="140"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39" w:name="refs"/>
    <w:bookmarkStart w:id="92"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91">
        <w:r>
          <w:rPr>
            <w:rStyle w:val="Hyperlink"/>
          </w:rPr>
          <w:t xml:space="preserve">https://doi.org/10.1017/S0956796813000099</w:t>
        </w:r>
      </w:hyperlink>
      <w:r>
        <w:t xml:space="preserve">.</w:t>
      </w:r>
    </w:p>
    <w:bookmarkEnd w:id="92"/>
    <w:bookmarkStart w:id="93"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93"/>
    <w:bookmarkStart w:id="95"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4">
        <w:r>
          <w:rPr>
            <w:rStyle w:val="Hyperlink"/>
          </w:rPr>
          <w:t xml:space="preserve">https://doi.org/10.2312/EGWR/EGWR99/031-044</w:t>
        </w:r>
      </w:hyperlink>
      <w:r>
        <w:t xml:space="preserve">.</w:t>
      </w:r>
    </w:p>
    <w:bookmarkEnd w:id="95"/>
    <w:bookmarkStart w:id="97"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96">
        <w:r>
          <w:rPr>
            <w:rStyle w:val="Hyperlink"/>
          </w:rPr>
          <w:t xml:space="preserve">https://doi.org/10.1109/CVPR52688.2022.00539</w:t>
        </w:r>
      </w:hyperlink>
      <w:r>
        <w:t xml:space="preserve">.</w:t>
      </w:r>
    </w:p>
    <w:bookmarkEnd w:id="97"/>
    <w:bookmarkStart w:id="98"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8"/>
    <w:bookmarkStart w:id="100"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9">
        <w:r>
          <w:rPr>
            <w:rStyle w:val="Hyperlink"/>
          </w:rPr>
          <w:t xml:space="preserve">https://doi.org/10.1109/CVPR52733.2024.02029</w:t>
        </w:r>
      </w:hyperlink>
      <w:r>
        <w:t xml:space="preserve">.</w:t>
      </w:r>
    </w:p>
    <w:bookmarkEnd w:id="100"/>
    <w:bookmarkStart w:id="101"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101"/>
    <w:bookmarkStart w:id="103"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102">
        <w:r>
          <w:rPr>
            <w:rStyle w:val="Hyperlink"/>
          </w:rPr>
          <w:t xml:space="preserve">https://doi.org/10.1145/3072959.3054739</w:t>
        </w:r>
      </w:hyperlink>
      <w:r>
        <w:t xml:space="preserve">.</w:t>
      </w:r>
    </w:p>
    <w:bookmarkEnd w:id="103"/>
    <w:bookmarkStart w:id="104"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4"/>
    <w:bookmarkStart w:id="105"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05"/>
    <w:bookmarkStart w:id="107"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6">
        <w:r>
          <w:rPr>
            <w:rStyle w:val="Hyperlink"/>
          </w:rPr>
          <w:t xml:space="preserve">https://doi.org/10.1145/3272127.3275084</w:t>
        </w:r>
      </w:hyperlink>
      <w:r>
        <w:t xml:space="preserve">.</w:t>
      </w:r>
    </w:p>
    <w:bookmarkEnd w:id="107"/>
    <w:bookmarkStart w:id="109"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8">
        <w:r>
          <w:rPr>
            <w:rStyle w:val="Hyperlink"/>
          </w:rPr>
          <w:t xml:space="preserve">https://doi.org/10.1109/CVPR52733.2024.00404</w:t>
        </w:r>
      </w:hyperlink>
      <w:r>
        <w:t xml:space="preserve">.</w:t>
      </w:r>
    </w:p>
    <w:bookmarkEnd w:id="109"/>
    <w:bookmarkStart w:id="110"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10"/>
    <w:bookmarkStart w:id="112"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11">
        <w:r>
          <w:rPr>
            <w:rStyle w:val="Hyperlink"/>
          </w:rPr>
          <w:t xml:space="preserve">https://doi.org/10.1145/3592433</w:t>
        </w:r>
      </w:hyperlink>
      <w:r>
        <w:t xml:space="preserve">.</w:t>
      </w:r>
    </w:p>
    <w:bookmarkEnd w:id="112"/>
    <w:bookmarkStart w:id="114"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13">
        <w:r>
          <w:rPr>
            <w:rStyle w:val="Hyperlink"/>
          </w:rPr>
          <w:t xml:space="preserve">https://doi.org/10.1145/3072959.3073599</w:t>
        </w:r>
      </w:hyperlink>
      <w:r>
        <w:t xml:space="preserve">.</w:t>
      </w:r>
    </w:p>
    <w:bookmarkEnd w:id="114"/>
    <w:bookmarkStart w:id="116"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15">
        <w:r>
          <w:rPr>
            <w:rStyle w:val="Hyperlink"/>
          </w:rPr>
          <w:t xml:space="preserve">https://doi.org/10.1109/3DV62453.2024.00044</w:t>
        </w:r>
      </w:hyperlink>
      <w:r>
        <w:t xml:space="preserve">.</w:t>
      </w:r>
    </w:p>
    <w:bookmarkEnd w:id="116"/>
    <w:bookmarkStart w:id="118"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7">
        <w:r>
          <w:rPr>
            <w:rStyle w:val="Hyperlink"/>
          </w:rPr>
          <w:t xml:space="preserve">https://doi.org/10.1109/CVPR52733.2024.01708</w:t>
        </w:r>
      </w:hyperlink>
      <w:r>
        <w:t xml:space="preserve">.</w:t>
      </w:r>
    </w:p>
    <w:bookmarkEnd w:id="118"/>
    <w:bookmarkStart w:id="119"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9"/>
    <w:bookmarkStart w:id="120"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20"/>
    <w:bookmarkStart w:id="122"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21">
        <w:r>
          <w:rPr>
            <w:rStyle w:val="Hyperlink"/>
          </w:rPr>
          <w:t xml:space="preserve">https://doi.org/10.1016/S0898-1221(00)00317-5</w:t>
        </w:r>
      </w:hyperlink>
      <w:r>
        <w:t xml:space="preserve">.</w:t>
      </w:r>
    </w:p>
    <w:bookmarkEnd w:id="122"/>
    <w:bookmarkStart w:id="123"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23"/>
    <w:bookmarkStart w:id="125"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4">
        <w:r>
          <w:rPr>
            <w:rStyle w:val="Hyperlink"/>
          </w:rPr>
          <w:t xml:space="preserve">https://doi.org/10.1145/344779.344936</w:t>
        </w:r>
      </w:hyperlink>
      <w:r>
        <w:t xml:space="preserve">.</w:t>
      </w:r>
    </w:p>
    <w:bookmarkEnd w:id="125"/>
    <w:bookmarkStart w:id="127"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6">
        <w:r>
          <w:rPr>
            <w:rStyle w:val="Hyperlink"/>
          </w:rPr>
          <w:t xml:space="preserve">https://doi.org/10.1109/ICCV48922.2021.00617</w:t>
        </w:r>
      </w:hyperlink>
      <w:r>
        <w:t xml:space="preserve">.</w:t>
      </w:r>
    </w:p>
    <w:bookmarkEnd w:id="127"/>
    <w:bookmarkStart w:id="128"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28"/>
    <w:bookmarkStart w:id="129"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9"/>
    <w:bookmarkStart w:id="131"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30">
        <w:r>
          <w:rPr>
            <w:rStyle w:val="Hyperlink"/>
          </w:rPr>
          <w:t xml:space="preserve">https://doi.org/10.1145/2492045.2492051</w:t>
        </w:r>
      </w:hyperlink>
      <w:r>
        <w:t xml:space="preserve">.</w:t>
      </w:r>
    </w:p>
    <w:bookmarkEnd w:id="131"/>
    <w:bookmarkStart w:id="133"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32">
        <w:r>
          <w:rPr>
            <w:rStyle w:val="Hyperlink"/>
          </w:rPr>
          <w:t xml:space="preserve">https://doi.org/10.1109/CVPR52733.2024.01920</w:t>
        </w:r>
      </w:hyperlink>
      <w:r>
        <w:t xml:space="preserve">.</w:t>
      </w:r>
    </w:p>
    <w:bookmarkEnd w:id="133"/>
    <w:bookmarkStart w:id="134"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4"/>
    <w:bookmarkStart w:id="135"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35"/>
    <w:bookmarkStart w:id="137"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6">
        <w:r>
          <w:rPr>
            <w:rStyle w:val="Hyperlink"/>
          </w:rPr>
          <w:t xml:space="preserve">https://doi.org/10.1109/ICCV51701.2025.02393</w:t>
        </w:r>
      </w:hyperlink>
      <w:r>
        <w:t xml:space="preserve">.</w:t>
      </w:r>
    </w:p>
    <w:bookmarkEnd w:id="137"/>
    <w:bookmarkStart w:id="138"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8"/>
    <w:bookmarkEnd w:id="139"/>
    <w:bookmarkEnd w:id="140"/>
    <w:bookmarkEnd w:id="141"/>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63" Type="http://schemas.openxmlformats.org/officeDocument/2006/relationships/image" Target="media/rId63.png"/><Relationship Id="rId121" Type="http://schemas.openxmlformats.org/officeDocument/2006/relationships/hyperlink" Target="https://doi.org/10.1016/S0898-1221(00)00317-5" TargetMode="External"/><Relationship Id="rId91" Type="http://schemas.openxmlformats.org/officeDocument/2006/relationships/hyperlink" Target="https://doi.org/10.1017/S0956796813000099" TargetMode="External"/><Relationship Id="rId115" Type="http://schemas.openxmlformats.org/officeDocument/2006/relationships/hyperlink" Target="https://doi.org/10.1109/3DV62453.2024.00044" TargetMode="External"/><Relationship Id="rId96" Type="http://schemas.openxmlformats.org/officeDocument/2006/relationships/hyperlink" Target="https://doi.org/10.1109/CVPR52688.2022.00539" TargetMode="External"/><Relationship Id="rId108" Type="http://schemas.openxmlformats.org/officeDocument/2006/relationships/hyperlink" Target="https://doi.org/10.1109/CVPR52733.2024.00404" TargetMode="External"/><Relationship Id="rId117" Type="http://schemas.openxmlformats.org/officeDocument/2006/relationships/hyperlink" Target="https://doi.org/10.1109/CVPR52733.2024.01708" TargetMode="External"/><Relationship Id="rId132" Type="http://schemas.openxmlformats.org/officeDocument/2006/relationships/hyperlink" Target="https://doi.org/10.1109/CVPR52733.2024.01920" TargetMode="External"/><Relationship Id="rId99" Type="http://schemas.openxmlformats.org/officeDocument/2006/relationships/hyperlink" Target="https://doi.org/10.1109/CVPR52733.2024.02029" TargetMode="External"/><Relationship Id="rId126" Type="http://schemas.openxmlformats.org/officeDocument/2006/relationships/hyperlink" Target="https://doi.org/10.1109/ICCV48922.2021.00617" TargetMode="External"/><Relationship Id="rId136" Type="http://schemas.openxmlformats.org/officeDocument/2006/relationships/hyperlink" Target="https://doi.org/10.1109/ICCV51701.2025.02393" TargetMode="External"/><Relationship Id="rId130" Type="http://schemas.openxmlformats.org/officeDocument/2006/relationships/hyperlink" Target="https://doi.org/10.1145/2492045.2492051" TargetMode="External"/><Relationship Id="rId102" Type="http://schemas.openxmlformats.org/officeDocument/2006/relationships/hyperlink" Target="https://doi.org/10.1145/3072959.3054739" TargetMode="External"/><Relationship Id="rId113" Type="http://schemas.openxmlformats.org/officeDocument/2006/relationships/hyperlink" Target="https://doi.org/10.1145/3072959.3073599" TargetMode="External"/><Relationship Id="rId106" Type="http://schemas.openxmlformats.org/officeDocument/2006/relationships/hyperlink" Target="https://doi.org/10.1145/3272127.3275084" TargetMode="External"/><Relationship Id="rId124" Type="http://schemas.openxmlformats.org/officeDocument/2006/relationships/hyperlink" Target="https://doi.org/10.1145/344779.344936" TargetMode="External"/><Relationship Id="rId111" Type="http://schemas.openxmlformats.org/officeDocument/2006/relationships/hyperlink" Target="https://doi.org/10.1145/3592433" TargetMode="External"/><Relationship Id="rId94"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doi.org/10.1016/S0898-1221(00)00317-5" TargetMode="External"/><Relationship Id="rId91" Type="http://schemas.openxmlformats.org/officeDocument/2006/relationships/hyperlink" Target="https://doi.org/10.1017/S0956796813000099" TargetMode="External"/><Relationship Id="rId115" Type="http://schemas.openxmlformats.org/officeDocument/2006/relationships/hyperlink" Target="https://doi.org/10.1109/3DV62453.2024.00044" TargetMode="External"/><Relationship Id="rId96" Type="http://schemas.openxmlformats.org/officeDocument/2006/relationships/hyperlink" Target="https://doi.org/10.1109/CVPR52688.2022.00539" TargetMode="External"/><Relationship Id="rId108" Type="http://schemas.openxmlformats.org/officeDocument/2006/relationships/hyperlink" Target="https://doi.org/10.1109/CVPR52733.2024.00404" TargetMode="External"/><Relationship Id="rId117" Type="http://schemas.openxmlformats.org/officeDocument/2006/relationships/hyperlink" Target="https://doi.org/10.1109/CVPR52733.2024.01708" TargetMode="External"/><Relationship Id="rId132" Type="http://schemas.openxmlformats.org/officeDocument/2006/relationships/hyperlink" Target="https://doi.org/10.1109/CVPR52733.2024.01920" TargetMode="External"/><Relationship Id="rId99" Type="http://schemas.openxmlformats.org/officeDocument/2006/relationships/hyperlink" Target="https://doi.org/10.1109/CVPR52733.2024.02029" TargetMode="External"/><Relationship Id="rId126" Type="http://schemas.openxmlformats.org/officeDocument/2006/relationships/hyperlink" Target="https://doi.org/10.1109/ICCV48922.2021.00617" TargetMode="External"/><Relationship Id="rId136" Type="http://schemas.openxmlformats.org/officeDocument/2006/relationships/hyperlink" Target="https://doi.org/10.1109/ICCV51701.2025.02393" TargetMode="External"/><Relationship Id="rId130" Type="http://schemas.openxmlformats.org/officeDocument/2006/relationships/hyperlink" Target="https://doi.org/10.1145/2492045.2492051" TargetMode="External"/><Relationship Id="rId102" Type="http://schemas.openxmlformats.org/officeDocument/2006/relationships/hyperlink" Target="https://doi.org/10.1145/3072959.3054739" TargetMode="External"/><Relationship Id="rId113" Type="http://schemas.openxmlformats.org/officeDocument/2006/relationships/hyperlink" Target="https://doi.org/10.1145/3072959.3073599" TargetMode="External"/><Relationship Id="rId106" Type="http://schemas.openxmlformats.org/officeDocument/2006/relationships/hyperlink" Target="https://doi.org/10.1145/3272127.3275084" TargetMode="External"/><Relationship Id="rId124" Type="http://schemas.openxmlformats.org/officeDocument/2006/relationships/hyperlink" Target="https://doi.org/10.1145/344779.344936" TargetMode="External"/><Relationship Id="rId111" Type="http://schemas.openxmlformats.org/officeDocument/2006/relationships/hyperlink" Target="https://doi.org/10.1145/3592433" TargetMode="External"/><Relationship Id="rId94"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2026-10-04T16:06:44Z</dcterms:created>
  <dcterms:modified xsi:type="dcterms:W3CDTF">2026-10-04T16:06:44Z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