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captured worlds—AR maps, digital twins, and long-lived reconstructions—continue changing after capture. Their geometry, appearance, GPU state, and temporal history become interdependent, so a small physical edit can trigger broad recomputation. We present</w:t>
      </w:r>
      <w:r>
        <w:t xml:space="preserve"> </w:t>
      </w:r>
      <w:r>
        <w:rPr>
          <w:iCs/>
          <w:i/>
        </w:rPr>
        <w:t xml:space="preserve">Criticality-Bounded Revision Cones</w:t>
      </w:r>
      <w:r>
        <w:t xml:space="preserve"> </w:t>
      </w:r>
      <w:r>
        <w:t xml:space="preserve">(CBRC), a fail-closed revision rule that combines exact structural closure, conservative finite-change bounds, output tolerances, work-aware selection, automatic</w:t>
      </w:r>
      <w:r>
        <w:t xml:space="preserve"> </w:t>
      </w:r>
      <w:r>
        <w:rPr>
          <w:smallCaps/>
        </w:rPr>
        <w:t xml:space="preserve">Full</w:t>
      </w:r>
      <w:r>
        <w:t xml:space="preserve"> </w:t>
      </w:r>
      <w:r>
        <w:t xml:space="preserve">fallback, and independent full-after verification. We evaluate CBRC in MAVEB, a research prototype built on AETHER, a C++23 persistent-world stack for reconstruction, Gaussian rendering, revision tracking, GPU publication, temporal state, and evidence capture. A local repair is accepted only when the unrecomputed exterior stays within tolerance and the repair remains cheaper than rebuilding.</w:t>
      </w:r>
    </w:p>
    <w:p>
      <w:pPr>
        <w:pStyle w:val="BodyText"/>
      </w:pPr>
      <w:r>
        <w:t xml:space="preserve">The base evaluation spans 1,275 revisions over 85 scenes across 3RScan, ARKitScenes, Bonn RGB-D Dynamic, and trained GraphDECO 3DGS. It exercises local repair and automatic full fallback with no observed certificate violation; median calibrated selected work is 0.474 of a rebuild. Because this campaign is exact at the audited raster, we test bounded non-zero residuals separately. A diagnostic exposes the original image certificate as too conservative. An opacity-delta Lipschitz refinement restores certified non-zero locality in a four-scene mechanism study, then an outcome-blind confirmation repeats the mechanism on 20 independently selected scenes across all four dataset families. Non-zero opacity locality and tolerance crossover appear in every confirmatory scene while translation remains at zero; the paired scene-level difference is 0.477 with a dataset-stratified bootstrap 95% interval of [0.432, 0.517]. Certificate tightness remains open. Together, the experiments show selective maintenance under an explicit output-error contract with reproducible fallback.</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Many 3D systems now live well beyond the capture session that created them. A reconstructed room may be revisited after furniture has moved; an AR map continues to exist while objects appear and disappear; a digital twin is updated after a small physical intervention. The stored state in these systems contains heterogeneous representations. Observations feed geometry, geometry determines surface or Gaussian support, materials and textures follow ownership and visibility, GPU records mirror persistent entities, and temporal filters reuse earlier screen-space state. For that reason, an edit that looks local in Euclidean space can become nonlocal once it propagates through the system.</w:t>
      </w:r>
    </w:p>
    <w:p>
      <w:pPr>
        <w:pStyle w:val="BodyText"/>
      </w:pPr>
      <w:r>
        <w:t xml:space="preserve">The safest response is still a global rebuild. Classical volumetric fusion and dense reconstruction give a natural full-reference notion of recomputation</w:t>
      </w:r>
      <w:r>
        <w:t xml:space="preserve"> </w:t>
      </w:r>
      <w:r>
        <w:t xml:space="preserve">(Curless and Levoy 1996; Newcombe et al. 2011; Dai et al. 2017)</w:t>
      </w:r>
      <w:r>
        <w:t xml:space="preserve">. That choice is straightforward to reason about, but it becomes wasteful when only a small dependency closure is actually affected. Explicit scene representations make this mismatch particularly visible: large parts of a Gaussian map, or of a neural/hybrid reconstruction, may have no reason to change after a local revision</w:t>
      </w:r>
      <w:r>
        <w:t xml:space="preserve"> </w:t>
      </w:r>
      <w:r>
        <w:t xml:space="preserve">(Kerbl et al. 2023; Keetha et al. 2024; Matsuki et al. 2024)</w:t>
      </w:r>
      <w:r>
        <w:t xml:space="preserve">. Continual Gaussian systems already exploit this fact by focusing optimization on changed regions or by managing stale observations over time</w:t>
      </w:r>
      <w:r>
        <w:t xml:space="preserve"> </w:t>
      </w:r>
      <w:r>
        <w:t xml:space="preserve">(Ackermann et al. 2025; Zeng et al. 2025; Yugay et al. 2026)</w:t>
      </w:r>
      <w:r>
        <w:t xml:space="preserve">. Our concern is slightly different. Those systems mainly decide</w:t>
      </w:r>
      <w:r>
        <w:t xml:space="preserve"> </w:t>
      </w:r>
      <w:r>
        <w:rPr>
          <w:iCs/>
          <w:i/>
        </w:rPr>
        <w:t xml:space="preserve">where to update</w:t>
      </w:r>
      <w:r>
        <w:t xml:space="preserve">; here we ask how much error may safely remain outside the region that was chosen, across several kinds of derived state at once.</w:t>
      </w:r>
    </w:p>
    <w:p>
      <w:pPr>
        <w:pStyle w:val="BodyText"/>
      </w:pPr>
      <w:r>
        <w:t xml:space="preserve">The question is deliberately narrow:</w:t>
      </w:r>
      <w:r>
        <w:t xml:space="preserve"> </w:t>
      </w:r>
      <w:r>
        <w:rPr>
          <w:iCs/>
          <w:i/>
        </w:rPr>
        <w:t xml:space="preserve">when is it defensible to repair less than the whole captured world while keeping an explicit output-error contract?</w:t>
      </w:r>
      <w:r>
        <w:t xml:space="preserve"> </w:t>
      </w:r>
      <w:r>
        <w:t xml:space="preserve">Reachability alone is insufficient. Ownership, record identity, publication, and unstable temporal invalidation are structural relations that require exact treatment. Other relations, such as edited Gaussian support or stable temporal blending, have finite influence that can be bounded. The revision policy must distinguish the two and fall back to a full rebuild when the remainder outside a proposed repair region cannot be bounded tightly enough.</w:t>
      </w:r>
    </w:p>
    <w:p>
      <w:pPr>
        <w:pStyle w:val="BodyText"/>
      </w:pPr>
      <w:r>
        <w:t xml:space="preserve">Our answer is</w:t>
      </w:r>
      <w:r>
        <w:t xml:space="preserve"> </w:t>
      </w:r>
      <w:r>
        <w:rPr>
          <w:iCs/>
          <w:i/>
        </w:rPr>
        <w:t xml:space="preserve">Criticality-Bounded Revision Cones</w:t>
      </w:r>
      <w:r>
        <w:t xml:space="preserve"> </w:t>
      </w:r>
      <w:r>
        <w:t xml:space="preserve">(CBRC). A revision is represented on a typed dependency graph with three edge meanings.</w:t>
      </w:r>
      <w:r>
        <w:t xml:space="preserve"> </w:t>
      </w:r>
      <w:r>
        <w:rPr>
          <w:smallCaps/>
        </w:rPr>
        <w:t xml:space="preserve">Hard</w:t>
      </w:r>
      <w:r>
        <w:t xml:space="preserve"> </w:t>
      </w:r>
      <w:r>
        <w:t xml:space="preserve">edges carry exact structural requirements;</w:t>
      </w:r>
      <w:r>
        <w:t xml:space="preserve"> </w:t>
      </w:r>
      <w:r>
        <w:rPr>
          <w:smallCaps/>
        </w:rPr>
        <w:t xml:space="preserve">Analytic</w:t>
      </w:r>
      <w:r>
        <w:t xml:space="preserve"> </w:t>
      </w:r>
      <w:r>
        <w:t xml:space="preserve">edges carry conservative finite-change bounds; and</w:t>
      </w:r>
      <w:r>
        <w:t xml:space="preserve"> </w:t>
      </w:r>
      <w:r>
        <w:rPr>
          <w:smallCaps/>
        </w:rPr>
        <w:t xml:space="preserve">Empirical</w:t>
      </w:r>
      <w:r>
        <w:t xml:space="preserve"> </w:t>
      </w:r>
      <w:r>
        <w:t xml:space="preserve">edges may help decide what to try first, but they never become part of the safety certificate. For a proposed cone</w:t>
      </w:r>
      <w:r>
        <w:t xml:space="preserve"> </w:t>
      </w:r>
      <m:oMath>
        <m:r>
          <m:t>C</m:t>
        </m:r>
      </m:oMath>
      <w:r>
        <w:t xml:space="preserve">, we certify the unrepaired exterior</w:t>
      </w:r>
      <w:r>
        <w:t xml:space="preserve"> </w:t>
      </w:r>
      <m:oMath>
        <m:r>
          <m:t>O</m:t>
        </m:r>
      </m:oMath>
      <w:r>
        <w:t xml:space="preserve"> </w:t>
      </w:r>
      <w:r>
        <w:t xml:space="preserve">against the declared quantities of interest. The worst normalized certificate-to-tolerance ratio is the</w:t>
      </w:r>
      <w:r>
        <w:t xml:space="preserve"> </w:t>
      </w:r>
      <w:r>
        <w:rPr>
          <w:iCs/>
          <w:i/>
        </w:rPr>
        <w:t xml:space="preserve">revision criticality</w:t>
      </w:r>
      <w:r>
        <w:t xml:space="preserve">, with one as the decision boundary. We accept a local result only when exact predecessors are closed, every protected output is at or below that boundary, and the calibrated regional work is below the independently measured full baseline. If the coupling is unsupported, the residual is supercritical, the analytic assumptions are unstable, or locality simply costs too much, the planner returns</w:t>
      </w:r>
      <w:r>
        <w:t xml:space="preserve"> </w:t>
      </w:r>
      <w:r>
        <w:rPr>
          <w:smallCaps/>
        </w:rPr>
        <w:t xml:space="preserve">Full</w:t>
      </w:r>
      <w:r>
        <w:t xml:space="preserve">.</w:t>
      </w:r>
    </w:p>
    <w:p>
      <w:pPr>
        <w:pStyle w:val="BodyText"/>
      </w:pPr>
      <w:r>
        <w:t xml:space="preserve">MAVEB is the research system used to evaluate CBRC; AETHER is the underlying C++23 persistent-world engine stack. AETHER owns reconstruction and Gaussian state, revision transactions, GPU publication, temporal state, and provenance/evidence capture, while a dense Python reference certifier and an independent full-after Gaussian oracle provide separate validation paths. Figure 1 summarizes the decision path, while Figure 2 shows the support-selection idea visually. The implementation records immutable before/after revision sidecars, deterministic certificate JSON, per-domain work, and oracle replay. Planner output alone is insufficient evidence of safety. Instead, the unrepaired exterior implied by the chosen support is compared with an independently rendered</w:t>
      </w:r>
      <w:r>
        <w:t xml:space="preserve"> </w:t>
      </w:r>
      <w:r>
        <w:rPr>
          <w:smallCaps/>
        </w:rPr>
        <w:t xml:space="preserve">Full</w:t>
      </w:r>
      <w:r>
        <w:t xml:space="preserve">-after reference and checked under the contract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residual attributable to the unrepaired exterior under the selected support, evaluated against an independent full-after rendering;</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Before examining aggregate outcomes, we fixed the evaluation protocol and claim boundaries. The broad campaign spans four dataset families, seeded and trained Gaussian representations, and four edit types; it exercises both</w:t>
      </w:r>
      <w:r>
        <w:t xml:space="preserve"> </w:t>
      </w:r>
      <w:r>
        <w:rPr>
          <w:smallCaps/>
        </w:rPr>
        <w:t xml:space="preserve">Local</w:t>
      </w:r>
      <w:r>
        <w:t xml:space="preserve"> </w:t>
      </w:r>
      <w:r>
        <w:t xml:space="preserve">and</w:t>
      </w:r>
      <w:r>
        <w:t xml:space="preserve"> </w:t>
      </w:r>
      <w:r>
        <w:rPr>
          <w:smallCaps/>
        </w:rPr>
        <w:t xml:space="preserve">Full</w:t>
      </w:r>
      <w:r>
        <w:t xml:space="preserve"> </w:t>
      </w:r>
      <w:r>
        <w:t xml:space="preserve">outcomes and validates every selected result against independent full-after replay. Detailed counts, confidence intervals, and work ratios appear in Section 7. The central behavior is that stronger coupling increasingly drives the fail-closed path while selected outputs remain consistent with the independent reference.</w:t>
      </w:r>
    </w:p>
    <w:p>
      <w:pPr>
        <w:pStyle w:val="BodyText"/>
      </w:pPr>
      <w:r>
        <w:t xml:space="preserve">The broad campaign deliberately uses exact selected-to-full agreement, which leaves bounded non-zero residuals untested. A second frozen experiment line addresses that question: a diagnostic identifies the original certificate bottleneck, a mechanism study changes only the opacity residual certificate while retaining translation as a control, and a final confirmatory study repeats the unchanged mechanism on independently ranked scenes from the same four dataset families. This staging separates diagnosis, mechanism change, and confirmation and prevents the same campaign from serving as both tuning and evidence.</w:t>
      </w:r>
    </w:p>
    <w:p>
      <w:pPr>
        <w:pStyle w:val="BodyText"/>
      </w:pPr>
      <w:r>
        <w:t xml:space="preserve">Operationally, this gives long-lived AR maps, digital twins, and reconstructed environments a middle path between two costly extremes: rebuilding everything after each change or trusting a nearby update without knowing what stale state remains. The system can stop propagation when the output effect is bounded, and it can abandon locality when that justification disappears.</w:t>
      </w:r>
    </w:p>
    <w:p>
      <w:pPr>
        <w:pStyle w:val="BodyText"/>
      </w:pPr>
      <w:r>
        <w:t xml:space="preserve">Our contribution is the systems rule that joins existing dependency and error-estimation ideas into one captured-world revision policy: exact structural closure, bounded exterior influence, output tolerances, work-aware selection, explicit fallback, immutable records, and independent falsification all participate in the same decision.</w:t>
      </w:r>
    </w:p>
    <w:p>
      <w:pPr>
        <w:pStyle w:val="BodyText"/>
      </w:pPr>
      <w:r>
        <w:t xml:space="preserve">The contributions are:</w:t>
      </w:r>
    </w:p>
    <w:p>
      <w:pPr>
        <w:numPr>
          <w:ilvl w:val="0"/>
          <w:numId w:val="1001"/>
        </w:numPr>
      </w:pPr>
      <w:r>
        <w:t xml:space="preserve">a fail-closed formulation for revising heterogeneous persistent captured worlds, combining exact dependency closure with conservative finite-change propagation;</w:t>
      </w:r>
    </w:p>
    <w:p>
      <w:pPr>
        <w:numPr>
          <w:ilvl w:val="0"/>
          <w:numId w:val="1001"/>
        </w:numPr>
      </w:pPr>
      <w:r>
        <w:t xml:space="preserve">output-specific certification for selective repair, including implementation-backed Gaussian display-space and stable temporal bounds, while unsupported dependencies stay exact;</w:t>
      </w:r>
    </w:p>
    <w:p>
      <w:pPr>
        <w:numPr>
          <w:ilvl w:val="0"/>
          <w:numId w:val="1001"/>
        </w:numPr>
      </w:pPr>
      <w:r>
        <w:t xml:space="preserve">a native work-aware planner with automatic</w:t>
      </w:r>
      <w:r>
        <w:t xml:space="preserve"> </w:t>
      </w:r>
      <w:r>
        <w:rPr>
          <w:smallCaps/>
        </w:rPr>
        <w:t xml:space="preserve">Full</w:t>
      </w:r>
      <w:r>
        <w:t xml:space="preserve"> </w:t>
      </w:r>
      <w:r>
        <w:t xml:space="preserve">fallback, deterministic record generation, a dense reference implementation, and an independent full-after falsification path; and</w:t>
      </w:r>
    </w:p>
    <w:p>
      <w:pPr>
        <w:numPr>
          <w:ilvl w:val="0"/>
          <w:numId w:val="1001"/>
        </w:numPr>
      </w:pPr>
      <w:r>
        <w:t xml:space="preserve">a staged evaluation that separates broad system behavior from residual-sensitive mechanism evidence: an immutable negative diagnostic, a controlled certificate change with an unchanged translation comparator, and a 20-scene confirmatory replication with scene-clustered statistics.</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residual outside the selected repair support is then falsified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embedded 28.40% work ratio, 3.5</w:t>
      </w:r>
      <m:oMath>
        <m:r>
          <m:rPr>
            <m:sty m:val="p"/>
          </m:rPr>
          <m:t>×</m:t>
        </m:r>
      </m:oMath>
      <w:r>
        <w:t xml:space="preserve"> </w:t>
      </w:r>
      <w:r>
        <w:t xml:space="preserve">work reduction, and other micro-metrics are illustrative values from the graphic and are separate from the aggregate campaign estimates reported in Section 7. Correctness labels in the image apply under the declared bound assumptions and revision domain; the figure makes no wall-clock or universal-safety claim.</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is representation-agnostic.</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Local updating of changing Gaussian scenes is therefore established prior art. The distinction in CBRC is the contract it enforces: cross-representation exact dependencies and conservative output bounds are checked together, locality is admitted under Eq. 1, and</w:t>
      </w:r>
      <w:r>
        <w:t xml:space="preserve"> </w:t>
      </w:r>
      <w:r>
        <w:rPr>
          <w:smallCaps/>
        </w:rPr>
        <w:t xml:space="preserve">Full</w:t>
      </w:r>
      <w:r>
        <w:t xml:space="preserve"> </w:t>
      </w:r>
      <w:r>
        <w:t xml:space="preserve">remains an explicit outcome when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works set a clear boundary for our contribution. Local editing, primitive-level change detection, and persistent identity are upstream capabilities; CBRC begins after a revision has been specified or detected and asks which derived state may safely remain unrepaired for a protected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Dependency-aware recomputation has a long history in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quantities of interest instead of a global state norm</w:t>
      </w:r>
      <w:r>
        <w:t xml:space="preserve"> </w:t>
      </w:r>
      <w:r>
        <w:t xml:space="preserve">(Oden and Prudhomme 2001)</w:t>
      </w:r>
      <w:r>
        <w:t xml:space="preserve">. Several ingredients of CBRC come from these traditions. Our novelty claim concerns how they are assembled and enforced for persistent captured-world revision.</w:t>
      </w:r>
    </w:p>
    <w:p>
      <w:pPr>
        <w:pStyle w:val="BodyText"/>
      </w:pPr>
      <w:r>
        <w:t xml:space="preserve">The mathematical components used by CBRC are classical: graph closure, non-negative influence propagation, Neumann-series resolvents, norm bounds, and greedy search. The claimed contribution is a systems contract for captured worlds that brings these components together around one revision decision: exact dependencies across derived state, conservative finite-change bounds, rendered-output quantities of interest, a heterogeneous work crossover, fail-closed</w:t>
      </w:r>
      <w:r>
        <w:t xml:space="preserve"> </w:t>
      </w:r>
      <w:r>
        <w:rPr>
          <w:smallCaps/>
        </w:rPr>
        <w:t xml:space="preserve">Full</w:t>
      </w:r>
      <w:r>
        <w:t xml:space="preserve"> </w:t>
      </w:r>
      <w:r>
        <w:t xml:space="preserve">fallback, and independent full-reference falsification. These tools make the contract executable; the novelty claim concerns their captured-world integration and evidence path.</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can represent an observation region, TSDF block, mesh patch, texture page, material state, Gaussian subset, GPU publication range, temporal-history region, or another unit of derived state. It is a unit of computational ownership, not necessarily a regular spatial cell.</w:t>
      </w:r>
    </w:p>
    <w:p>
      <w:pPr>
        <w:pStyle w:val="BodyText"/>
      </w:pPr>
      <w:r>
        <w:t xml:space="preserve">A physical revision gives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From there, the planner chooses a repair cone</w:t>
      </w:r>
      <w:r>
        <w:t xml:space="preserve"> </w:t>
      </w:r>
      <m:oMath>
        <m:r>
          <m:t>C</m:t>
        </m:r>
        <m:r>
          <m:rPr>
            <m:sty m:val="p"/>
          </m:rPr>
          <m:t>⊆</m:t>
        </m:r>
        <m:r>
          <m:t>V</m:t>
        </m:r>
      </m:oMath>
      <w:r>
        <w:t xml:space="preserve"> </w:t>
      </w:r>
      <w:r>
        <w:t xml:space="preserve">and leaves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untouched. Small cones are useful, but minimizing</w:t>
      </w:r>
      <w:r>
        <w:t xml:space="preserve"> </w:t>
      </w:r>
      <m:oMath>
        <m:d>
          <m:dPr>
            <m:begChr m:val="|"/>
            <m:endChr m:val="|"/>
            <m:sepChr m:val=""/>
            <m:grow/>
          </m:dPr>
          <m:e>
            <m:r>
              <m:t>C</m:t>
            </m:r>
          </m:e>
        </m:d>
      </m:oMath>
      <w:r>
        <w:t xml:space="preserve"> </w:t>
      </w:r>
      <w:r>
        <w:t xml:space="preserve">by itself is not the objective. The cone has to remain feasible under the output certificate, and its measured or calibrated work must still beat the corresponding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guide scheduling, but never serves as a soft safety bound. Relations lacking a conservative argument stay exact even when a softer treatment would shrink the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denote its declared tolerance. A local repair is admissible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 output. That is the planner-side requirement. The experiment then asks the harder question by checking the independent full-reference contract in Eq. 1.</w:t>
      </w:r>
    </w:p>
    <w:p>
      <w:pPr>
        <w:pStyle w:val="BodyText"/>
      </w:pPr>
      <w:r>
        <w:t xml:space="preserve">Locality also has to be worth doing. The planner therefore requires regional work to remain below</w:t>
      </w:r>
      <w:r>
        <w:t xml:space="preserve"> </w:t>
      </w:r>
      <w:r>
        <w:rPr>
          <w:smallCaps/>
        </w:rPr>
        <w:t xml:space="preserve">Full</w:t>
      </w:r>
      <w:r>
        <w:t xml:space="preserve">. Because the native counters describe different kinds of work, adding them directly would be meaningless.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the frozen calibrated cost of one native unit, the public campaign uses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(4)</w:t>
            </w:r>
          </w:p>
        </w:tc>
      </w:tr>
    </w:tbl>
    <w:p>
      <w:pPr>
        <w:pStyle w:val="FirstParagraph"/>
      </w:pPr>
      <w:r>
        <w:t xml:space="preserve">with</w:t>
      </w:r>
      <w:r>
        <w:t xml:space="preserve"> </w:t>
      </w:r>
      <m:oMath>
        <m:sSub>
          <m:e>
            <m:r>
              <m:t>W</m:t>
            </m:r>
          </m:e>
          <m:sub>
            <m:r>
              <m:rPr>
                <m:sty m:val="p"/>
              </m:rPr>
              <m:t>f</m:t>
            </m:r>
            <m:r>
              <m:rPr>
                <m:sty m:val="p"/>
              </m:rPr>
              <m:t>u</m:t>
            </m:r>
            <m:r>
              <m:rPr>
                <m:sty m:val="p"/>
              </m:rPr>
              <m:t>l</m:t>
            </m:r>
            <m:r>
              <m:rPr>
                <m:sty m:val="p"/>
              </m:rPr>
              <m:t>l</m:t>
            </m:r>
          </m:sub>
        </m:sSub>
      </m:oMath>
      <w:r>
        <w:t xml:space="preserve"> </w:t>
      </w:r>
      <w:r>
        <w:t xml:space="preserve">measured independently. The calibration is frozen before the final campaign. Equation 4 models heterogeneous work. End-to-end timing is a separate measurement outside this metric.</w:t>
      </w:r>
    </w:p>
    <w:bookmarkEnd w:id="37"/>
    <w:bookmarkEnd w:id="38"/>
    <w:bookmarkStart w:id="50"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(5)</w:t>
            </w:r>
          </w:p>
        </w:tc>
      </w:tr>
    </w:tbl>
    <w:p>
      <w:pPr>
        <w:pStyle w:val="FirstParagraph"/>
      </w:pPr>
      <w:r>
        <w:t xml:space="preserve">This condition is checked before any approximate reasoning. If Eq. 5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(6)</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(7)</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(8)</w:t>
            </w:r>
          </w:p>
        </w:tc>
      </w:tr>
    </w:tbl>
    <w:p>
      <w:pPr>
        <w:pStyle w:val="FirstParagraph"/>
      </w:pPr>
      <w:r>
        <w:t xml:space="preserve">The native v1 planner uses sparse finite propagation on supported DAG exteriors. An analytic cycle outside that supported case triggers fail-closed behavior: the cone expands until the unsupported exterior disappears, or the result becomes</w:t>
      </w:r>
      <w:r>
        <w:t xml:space="preserve"> </w:t>
      </w:r>
      <w:r>
        <w:rPr>
          <w:smallCaps/>
        </w:rPr>
        <w:t xml:space="preserve">Full</w:t>
      </w:r>
      <w:r>
        <w:t xml:space="preserve">. Equation 8 is the reference formulation; production support is limited to the stated DAG case.</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(9)</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the protected output, avoiding dependence on an internal state norm whose relation to visible error may vary.</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use</w:t>
      </w:r>
      <w:r>
        <w:t xml:space="preserve"> </w:t>
      </w:r>
      <w:r>
        <w:rPr>
          <w:iCs/>
          <w:i/>
        </w:rPr>
        <w:t xml:space="preserve">revision criticality</w:t>
      </w:r>
      <w:r>
        <w:t xml:space="preserve"> </w:t>
      </w:r>
      <w:r>
        <w:t xml:space="preserve">for the worst normalized certified residual 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(10)</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7"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(11)</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11.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(12)</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(13)</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13 over the declared protected pixels. The supplement gives the algebra in more detail.</w:t>
      </w:r>
    </w:p>
    <w:bookmarkEnd w:id="45"/>
    <w:bookmarkStart w:id="46" w:name="opacity-only-delta-refinement."/>
    <w:p>
      <w:pPr>
        <w:pStyle w:val="Heading4"/>
      </w:pPr>
      <w:r>
        <w:t xml:space="preserve">Opacity-only delta refinement.</w:t>
      </w:r>
    </w:p>
    <w:p>
      <w:pPr>
        <w:pStyle w:val="FirstParagraph"/>
      </w:pPr>
      <w:r>
        <w:t xml:space="preserve">Equation 13 is intentionally general, but it is insensitive to how small an opacity-only edit is: the before/after opacity masses can remain large even when their difference is tiny. For paired Gaussian records whose position, projected covariance, depth order, rotation, and spherical-harmonic color are unchanged, the implementation uses the compositor’s coordinate-wise Lipschitz property in effective alpha. Let</w:t>
      </w:r>
      <w:r>
        <w:t xml:space="preserve"> </w:t>
      </w:r>
      <m:oMath>
        <m:sSubSup>
          <m:e>
            <m:r>
              <m:t>α</m:t>
            </m:r>
          </m:e>
          <m:sub>
            <m:r>
              <m:t>i</m:t>
            </m:r>
          </m:sub>
          <m:sup>
            <m:r>
              <m:t>0</m:t>
            </m:r>
          </m:sup>
        </m:sSubSup>
        <m:d>
          <m:dPr>
            <m:begChr m:val="("/>
            <m:endChr m:val=")"/>
            <m:sepChr m:val=""/>
            <m:grow/>
          </m:dPr>
          <m:e>
            <m:r>
              <m:t>p</m:t>
            </m:r>
          </m:e>
        </m:d>
      </m:oMath>
      <w:r>
        <w:t xml:space="preserve"> </w:t>
      </w:r>
      <w:r>
        <w:t xml:space="preserve">and</w:t>
      </w:r>
      <w:r>
        <w:t xml:space="preserve"> </w:t>
      </w:r>
      <m:oMath>
        <m:sSubSup>
          <m:e>
            <m:r>
              <m:t>α</m:t>
            </m:r>
          </m:e>
          <m:sub>
            <m:r>
              <m:t>i</m:t>
            </m:r>
          </m:sub>
          <m:sup>
            <m:r>
              <m:t>1</m:t>
            </m:r>
          </m:sup>
        </m:sSubSup>
        <m:d>
          <m:dPr>
            <m:begChr m:val="("/>
            <m:endChr m:val=")"/>
            <m:sepChr m:val=""/>
            <m:grow/>
          </m:dPr>
          <m:e>
            <m:r>
              <m:t>p</m:t>
            </m:r>
          </m:e>
        </m:d>
      </m:oMath>
      <w:r>
        <w:t xml:space="preserve"> </w:t>
      </w:r>
      <w:r>
        <w:t xml:space="preserve">be the renderer-admitted before/after alpha values. On pixels where at least one admitted alpha changes,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nary>
                      <m:naryPr>
                        <m:chr m:val="∑"/>
                        <m:limLoc m:val="undOvr"/>
                        <m:subHide m:val="off"/>
                        <m:supHide m:val="on"/>
                      </m:naryPr>
                      <m:sub>
                        <m:r>
                          <m:t>i</m:t>
                        </m:r>
                      </m:sub>
                      <m:sup>
                        <m:r>
                          <m:t>​</m:t>
                        </m:r>
                      </m:sup>
                      <m:e>
                        <m:d>
                          <m:dPr>
                            <m:begChr m:val="|"/>
                            <m:endChr m:val="|"/>
                            <m:sepChr m:val=""/>
                            <m:grow/>
                          </m:dPr>
                          <m:e>
                            <m:sSubSup>
                              <m:e>
                                <m:r>
                                  <m:t>α</m:t>
                                </m:r>
                              </m:e>
                              <m:sub>
                                <m:r>
                                  <m:t>i</m:t>
                                </m:r>
                              </m:sub>
                              <m:sup>
                                <m:r>
                                  <m:t>0</m:t>
                                </m:r>
                              </m:sup>
                            </m:sSubSup>
                            <m:d>
                              <m:dPr>
                                <m:begChr m:val="("/>
                                <m:endChr m:val=")"/>
                                <m:sepChr m:val=""/>
                                <m:grow/>
                              </m:dPr>
                              <m:e>
                                <m:r>
                                  <m:t>p</m:t>
                                </m:r>
                              </m:e>
                            </m:d>
                            <m:r>
                              <m:rPr>
                                <m:sty m:val="p"/>
                              </m:rPr>
                              <m:t>−</m:t>
                            </m:r>
                            <m:sSubSup>
                              <m:e>
                                <m:r>
                                  <m:t>α</m:t>
                                </m:r>
                              </m:e>
                              <m:sub>
                                <m:r>
                                  <m:t>i</m:t>
                                </m:r>
                              </m:sub>
                              <m:sup>
                                <m:r>
                                  <m:t>1</m:t>
                                </m:r>
                              </m:sup>
                            </m:sSubSup>
                            <m:d>
                              <m:dPr>
                                <m:begChr m:val="("/>
                                <m:endChr m:val=")"/>
                                <m:sepChr m:val=""/>
                                <m:grow/>
                              </m:dPr>
                              <m:e>
                                <m:r>
                                  <m:t>p</m:t>
                                </m:r>
                              </m:e>
                            </m:d>
                          </m:e>
                        </m:d>
                      </m:e>
                    </m:nary>
                    <m:r>
                      <m:rPr>
                        <m:sty m:val="p"/>
                      </m:rPr>
                      <m:t>+</m:t>
                    </m:r>
                    <m:r>
                      <m:t>0.002</m:t>
                    </m:r>
                  </m:e>
                </m:d>
                <m:r>
                  <m:rPr>
                    <m:sty m:val="p"/>
                  </m:rPr>
                  <m:t>.</m:t>
                </m:r>
              </m:oMath>
            </m:oMathPara>
          </w:p>
        </w:tc>
        <w:tc>
          <w:tcPr>
            <w:tcW w:type="dxa" w:w="5112"/>
          </w:tcPr>
          <w:p>
            <w:pPr>
              <w:jc w:val="right"/>
            </w:pPr>
            <w:r>
              <w:t>(14)</w:t>
            </w:r>
          </w:p>
        </w:tc>
      </w:tr>
    </w:tbl>
    <w:p>
      <w:pPr>
        <w:pStyle w:val="FirstParagraph"/>
      </w:pPr>
      <w:r>
        <w:t xml:space="preserve">The</w:t>
      </w:r>
      <w:r>
        <w:t xml:space="preserve"> </w:t>
      </w:r>
      <m:oMath>
        <m:r>
          <m:t>0.002</m:t>
        </m:r>
      </m:oMath>
      <w:r>
        <w:t xml:space="preserve"> </w:t>
      </w:r>
      <w:r>
        <w:t xml:space="preserve">term covers the reference compositor’s two-sided early-termination discrepancy: each endpoint may omit at most</w:t>
      </w:r>
      <w:r>
        <w:t xml:space="preserve"> </w:t>
      </w:r>
      <m:oMath>
        <m:r>
          <m:t>0.001</m:t>
        </m:r>
      </m:oMath>
      <w:r>
        <w:t xml:space="preserve"> </w:t>
      </w:r>
      <w:r>
        <w:t xml:space="preserve">transmittance after accumulated alpha exceeds</w:t>
      </w:r>
      <w:r>
        <w:t xml:space="preserve"> </w:t>
      </w:r>
      <m:oMath>
        <m:r>
          <m:t>0.999</m:t>
        </m:r>
      </m:oMath>
      <w:r>
        <w:t xml:space="preserve">. The allowance is added only where an opacity delta is actually admitted, so pixels outside changed support retain a zero bound. The routine fails closed if any paired primitive changes geometry, rotation, covariance, spherical-harmonic coefficients, or camera visibility unexpectedly. V5 and v6 use this refinement for opacity residuals; their translation control continues to use Eq. 13.</w:t>
      </w:r>
    </w:p>
    <w:bookmarkEnd w:id="46"/>
    <w:bookmarkEnd w:id="47"/>
    <w:bookmarkStart w:id="48"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(15)</w:t>
            </w:r>
          </w:p>
        </w:tc>
      </w:tr>
    </w:tbl>
    <w:p>
      <w:pPr>
        <w:pStyle w:val="FirstParagraph"/>
      </w:pPr>
      <w:r>
        <w:t xml:space="preserve">If validation, reprojection, or disocclusion can itself change, MAVEB does not apply Eq. 15;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8"/>
    <w:bookmarkStart w:id="49"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(16)</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returns a certified feasible cone; global minimum-work optimality is outside its guarantee.</w:t>
      </w:r>
    </w:p>
    <w:bookmarkEnd w:id="49"/>
    <w:bookmarkEnd w:id="50"/>
    <w:bookmarkStart w:id="55" w:name="system-implementation"/>
    <w:p>
      <w:pPr>
        <w:pStyle w:val="Heading1"/>
      </w:pPr>
      <w:r>
        <w:rPr>
          <w:rStyle w:val="SectionNumber"/>
        </w:rPr>
        <w:t xml:space="preserve">5</w:t>
      </w:r>
      <w:r>
        <w:tab/>
      </w:r>
      <w:r>
        <w:t xml:space="preserve">System Implementation</w:t>
      </w:r>
    </w:p>
    <w:p>
      <w:pPr>
        <w:pStyle w:val="FirstParagraph"/>
      </w:pPr>
      <w:r>
        <w:t xml:space="preserve">Throughout this section, MAVEB names the experimental CBRC research system and AETHER names its underlying native persistent-world software stack. MAVEB keeps the scientific reference path separate from the production-oriented AETHER execution path. The dense Python certifier follows the mathematical contract directly and serves as a falsification and regression reference. The native C++23 AETHER implementation uses a sparse typed revision graph, sparse analytic propagation over supported DAG exteriors, exact predecessor checks, greedy feasible-cone search, and deterministic certificate serialization. For the frozen campaign, the bound production output-cone graph is evaluated by both the native planner and the Python reference planner; their final decisions are compared rather than assumed equivalent.</w:t>
      </w:r>
    </w:p>
    <w:bookmarkStart w:id="51"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1"/>
    <w:bookmarkStart w:id="52"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2"/>
    <w:bookmarkStart w:id="53"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3"/>
    <w:bookmarkStart w:id="54" w:name="representation-scope."/>
    <w:p>
      <w:pPr>
        <w:pStyle w:val="Heading4"/>
      </w:pPr>
      <w:r>
        <w:t xml:space="preserve">Representation scope.</w:t>
      </w:r>
    </w:p>
    <w:p>
      <w:pPr>
        <w:pStyle w:val="FirstParagraph"/>
      </w:pPr>
      <w:r>
        <w:t xml:space="preserve">The paper-grade campaign contains two representation classes. Seventy-two scenes from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use dataset-native geometry seeded into deterministic Gaussian fields after the public capture assets are normalized into the benchmark coordinate convention. Thirteen scenes use pinned pretrained GraphDECO 3DGS representations from the standard evaluation suite: nine Mip-NeRF 360 scenes</w:t>
      </w:r>
      <w:r>
        <w:t xml:space="preserve"> </w:t>
      </w:r>
      <w:r>
        <w:t xml:space="preserve">(Barron et al. 2022)</w:t>
      </w:r>
      <w:r>
        <w:t xml:space="preserve">, Train and Truck from Tanks &amp; Temples</w:t>
      </w:r>
      <w:r>
        <w:t xml:space="preserve"> </w:t>
      </w:r>
      <w:r>
        <w:t xml:space="preserve">(Knapitsch et al. 2017)</w:t>
      </w:r>
      <w:r>
        <w:t xml:space="preserve">, and Dr Johnson and Playroom from Deep Blending</w:t>
      </w:r>
      <w:r>
        <w:t xml:space="preserve"> </w:t>
      </w:r>
      <w:r>
        <w:t xml:space="preserve">(Hedman et al. 2018)</w:t>
      </w:r>
      <w:r>
        <w:t xml:space="preserve">; the Gaussian representations preserve spherical-harmonic coefficients, opacity, anisotropic scale, and rotation</w:t>
      </w:r>
      <w:r>
        <w:t xml:space="preserve"> </w:t>
      </w:r>
      <w:r>
        <w:t xml:space="preserve">(Kerbl et al. 2023)</w:t>
      </w:r>
      <w:r>
        <w:t xml:space="preserve">. Ownership is deterministic and spatial in both paths and serves revision bookkeeping; semantic segmentation is outside its role. Selected-to-</w:t>
      </w:r>
      <w:r>
        <w:rPr>
          <w:smallCaps/>
        </w:rPr>
        <w:t xml:space="preserve">Full</w:t>
      </w:r>
      <w:r>
        <w:t xml:space="preserve"> </w:t>
      </w:r>
      <w:r>
        <w:t xml:space="preserve">render fidelity is measured within the evaluated representation, separately from reconstruction quality against original camera photographs.</w:t>
      </w:r>
    </w:p>
    <w:bookmarkEnd w:id="54"/>
    <w:bookmarkEnd w:id="55"/>
    <w:bookmarkStart w:id="61" w:name="evaluation"/>
    <w:p>
      <w:pPr>
        <w:pStyle w:val="Heading1"/>
      </w:pPr>
      <w:r>
        <w:rPr>
          <w:rStyle w:val="SectionNumber"/>
        </w:rPr>
        <w:t xml:space="preserve">6</w:t>
      </w:r>
      <w:r>
        <w:tab/>
      </w:r>
      <w:r>
        <w:t xml:space="preserve">Evaluation</w:t>
      </w:r>
    </w:p>
    <w:bookmarkStart w:id="58" w:name="questions-and-frozen-protocol"/>
    <w:p>
      <w:pPr>
        <w:pStyle w:val="Heading2"/>
      </w:pPr>
      <w:r>
        <w:rPr>
          <w:rStyle w:val="SectionNumber"/>
        </w:rPr>
        <w:t xml:space="preserve">6.1</w:t>
      </w:r>
      <w:r>
        <w:tab/>
      </w:r>
      <w:r>
        <w:t xml:space="preserve">Questions and frozen protocol</w:t>
      </w:r>
    </w:p>
    <w:p>
      <w:pPr>
        <w:pStyle w:val="FirstParagraph"/>
      </w:pPr>
      <w:r>
        <w:t xml:space="preserve">The paper-grade evaluation asks six questions. RQ1 tests whether every published</w:t>
      </w:r>
      <w:r>
        <w:t xml:space="preserve"> </w:t>
      </w:r>
      <w:r>
        <w:rPr>
          <w:smallCaps/>
        </w:rPr>
        <w:t xml:space="preserve">Local</w:t>
      </w:r>
      <w:r>
        <w:t xml:space="preserve"> </w:t>
      </w:r>
      <w:r>
        <w:t xml:space="preserve">decision satisfies the emitted certificate under independent full-after replay. RQ2 measures how often the fail-closed rule selects</w:t>
      </w:r>
      <w:r>
        <w:t xml:space="preserve"> </w:t>
      </w:r>
      <w:r>
        <w:rPr>
          <w:smallCaps/>
        </w:rPr>
        <w:t xml:space="preserve">Local</w:t>
      </w:r>
      <w:r>
        <w:t xml:space="preserve"> </w:t>
      </w:r>
      <w:r>
        <w:t xml:space="preserve">versus</w:t>
      </w:r>
      <w:r>
        <w:t xml:space="preserve"> </w:t>
      </w:r>
      <w:r>
        <w:rPr>
          <w:smallCaps/>
        </w:rPr>
        <w:t xml:space="preserve">Full</w:t>
      </w:r>
      <w:r>
        <w:t xml:space="preserve"> </w:t>
      </w:r>
      <w:r>
        <w:t xml:space="preserve">as coupling increases. RQ3 measures calibrated selected work relative to the frozen full baseline. RQ4 tests whether the behavior persists across datasets and across seeded versus trained Gaussian representations. RQ5 tests translation, rotation, uniform-scale, and opacity edits under the same revision contract. RQ6 compares the resulting decisions with full, exact, fixed-radius, changed-fraction, empirical-order, and mechanism-ablation policies.</w:t>
      </w:r>
    </w:p>
    <w:p>
      <w:pPr>
        <w:pStyle w:val="BodyText"/>
      </w:pPr>
      <w:r>
        <w:t xml:space="preserve">The campaign is frozen before outcome inspection. It contains 1,275 revisions over 85 scenes: 600 cases on 40 3RScan reference/rescan worlds</w:t>
      </w:r>
      <w:r>
        <w:t xml:space="preserve"> </w:t>
      </w:r>
      <w:r>
        <w:t xml:space="preserve">(Wald et al. 2019)</w:t>
      </w:r>
      <w:r>
        <w:t xml:space="preserve">, 300 cases on 20 ARKitScenes worlds</w:t>
      </w:r>
      <w:r>
        <w:t xml:space="preserve"> </w:t>
      </w:r>
      <w:r>
        <w:t xml:space="preserve">(Baruch et al. 2021)</w:t>
      </w:r>
      <w:r>
        <w:t xml:space="preserve">, 180 cases on 12 Bonn dynamic RGB-D sequences</w:t>
      </w:r>
      <w:r>
        <w:t xml:space="preserve"> </w:t>
      </w:r>
      <w:r>
        <w:t xml:space="preserve">(Palazzolo et al. 2019)</w:t>
      </w:r>
      <w:r>
        <w:t xml:space="preserve">, and 195 cases on 13 pinned pretrained GraphDECO 3DGS scenes drawn from Mip-NeRF 360, Tanks &amp; Temples, and Deep Blending</w:t>
      </w:r>
      <w:r>
        <w:t xml:space="preserve"> </w:t>
      </w:r>
      <w:r>
        <w:t xml:space="preserve">(Kerbl et al. 2023; Barron et al. 2022; Knapitsch et al. 2017; Hedman et al. 2018)</w:t>
      </w:r>
      <w:r>
        <w:t xml:space="preserve">. Every scene contributes the same 15-case coupling template, while edit family rotates through translation, rotation, uniform scale, and opacity. The frozen protocol therefore separates outcome inspection from threshold or case construction.</w:t>
      </w:r>
    </w:p>
    <w:p>
      <w:pPr>
        <w:pStyle w:val="BodyText"/>
      </w:pPr>
      <w:r>
        <w:t xml:space="preserve">Each case records the source edit, chosen cone, decision (</w:t>
      </w:r>
      <w:r>
        <w:rPr>
          <w:smallCaps/>
        </w:rPr>
        <w:t xml:space="preserve">Local</w:t>
      </w:r>
      <w:r>
        <w:t xml:space="preserve"> </w:t>
      </w:r>
      <w:r>
        <w:t xml:space="preserve">or</w:t>
      </w:r>
      <w:r>
        <w:t xml:space="preserve"> </w:t>
      </w:r>
      <w:r>
        <w:rPr>
          <w:smallCaps/>
        </w:rPr>
        <w:t xml:space="preserve">Full</w:t>
      </w:r>
      <w:r>
        <w:t xml:space="preserve">), certificate, independent full-after replay, work, baselines, ablations, and provenance. Fallbacks stay in the dataset because they are part of the method’s behavior. The final visual audit compares the selected output with the independent</w:t>
      </w:r>
      <w:r>
        <w:t xml:space="preserve"> </w:t>
      </w:r>
      <w:r>
        <w:rPr>
          <w:smallCaps/>
        </w:rPr>
        <w:t xml:space="preserve">Full</w:t>
      </w:r>
      <w:r>
        <w:t xml:space="preserve">-after render at the same camera.</w:t>
      </w:r>
    </w:p>
    <w:bookmarkStart w:id="56" w:name="work-metric."/>
    <w:p>
      <w:pPr>
        <w:pStyle w:val="Heading4"/>
      </w:pPr>
      <w:r>
        <w:t xml:space="preserve">Work metric.</w:t>
      </w:r>
    </w:p>
    <w:p>
      <w:pPr>
        <w:pStyle w:val="FirstParagraph"/>
      </w:pPr>
      <w:r>
        <w:t xml:space="preserve">The headline work ratio uses the frozen heterogeneous work model from Eq. 4. The four calibrated domains are Gaussian inspection, Gaussian update, GPU publication bytes, and temporal invalidation pixels. Bootstrap intervals use 5,000 resamples. The work ratio is an execution-independent accounting metric; paired local-versus-full wall-clock timing remains outside the current claim.</w:t>
      </w:r>
    </w:p>
    <w:bookmarkEnd w:id="56"/>
    <w:bookmarkStart w:id="57" w:name="statistical-reporting."/>
    <w:p>
      <w:pPr>
        <w:pStyle w:val="Heading4"/>
      </w:pPr>
      <w:r>
        <w:t xml:space="preserve">Statistical reporting.</w:t>
      </w:r>
    </w:p>
    <w:p>
      <w:pPr>
        <w:pStyle w:val="FirstParagraph"/>
      </w:pPr>
      <w:r>
        <w:t xml:space="preserve">Local and violation rates in the broad campaign use Wilson 95% intervals. Median work ratios use bootstrap 95% intervals. Paired baseline comparisons count cases in which both policies certify, then report which policy uses less calibrated work, ties, and an exact two-sided sign test when the comparison is informative. The confirmatory residual study uses the scene as its primary sampling unit. Its 95% intervals resample scenes within each fixed dataset stratum, preserving the five-scene-per-dataset design in every bootstrap replicate; the 3,840 parameter cases are pooled evidence, not 3,840 independent samples.</w:t>
      </w:r>
    </w:p>
    <w:bookmarkEnd w:id="57"/>
    <w:bookmarkEnd w:id="58"/>
    <w:bookmarkStart w:id="59" w:name="residual-sensitive-protocol"/>
    <w:p>
      <w:pPr>
        <w:pStyle w:val="Heading2"/>
      </w:pPr>
      <w:r>
        <w:rPr>
          <w:rStyle w:val="SectionNumber"/>
        </w:rPr>
        <w:t xml:space="preserve">6.2</w:t>
      </w:r>
      <w:r>
        <w:tab/>
      </w:r>
      <w:r>
        <w:t xml:space="preserve">Residual-sensitive protocol</w:t>
      </w:r>
    </w:p>
    <w:p>
      <w:pPr>
        <w:pStyle w:val="FirstParagraph"/>
      </w:pPr>
      <w:r>
        <w:t xml:space="preserve">The non-zero-residual experiments are frozen separately from the 1,275-case base campaign. The v4 diagnostic uses four scenes, four locality profiles, exact and</w:t>
      </w:r>
      <w:r>
        <w:t xml:space="preserve"> </w:t>
      </w:r>
      <m:oMath>
        <m:r>
          <m:t>1</m:t>
        </m:r>
        <m:r>
          <m:rPr>
            <m:sty m:val="p"/>
          </m:rPr>
          <m:t>/</m:t>
        </m:r>
        <m:r>
          <m:t>1024</m:t>
        </m:r>
      </m:oMath>
      <w:r>
        <w:t xml:space="preserve"> </w:t>
      </w:r>
      <w:r>
        <w:t xml:space="preserve">residuals, and an epsilon ladder of</w:t>
      </w:r>
      <w:r>
        <w:t xml:space="preserve"> </w:t>
      </w:r>
      <m:oMath>
        <m:r>
          <m:t>1</m:t>
        </m:r>
        <m:r>
          <m:rPr>
            <m:sty m:val="p"/>
          </m:rPr>
          <m:t>,</m:t>
        </m:r>
        <m:r>
          <m:t>4</m:t>
        </m:r>
        <m:r>
          <m:rPr>
            <m:sty m:val="p"/>
          </m:rPr>
          <m:t>,</m:t>
        </m:r>
        <m:r>
          <m:t>16</m:t>
        </m:r>
        <m:r>
          <m:rPr>
            <m:sty m:val="p"/>
          </m:rPr>
          <m:t>,</m:t>
        </m:r>
        <m:r>
          <m:t>32</m:t>
        </m:r>
      </m:oMath>
      <w:r>
        <w:t xml:space="preserve"> </w:t>
      </w:r>
      <w:r>
        <w:t xml:space="preserve">divided by 255. It is retained unchanged after inspection. V5 changes the image certificate only for opacity residuals: corresponding Gaussian records must be identical except for opacity logit, and the bound uses the admitted change in pixel alpha rather than the older magnitude-insensitive opacity envelope. Translation remains on the older envelope as a control. V5 uses four scenes, residuals exact,</w:t>
      </w:r>
      <w:r>
        <w:t xml:space="preserve"> </w:t>
      </w:r>
      <m:oMath>
        <m:r>
          <m:t>1</m:t>
        </m:r>
        <m:r>
          <m:rPr>
            <m:sty m:val="p"/>
          </m:rPr>
          <m:t>/</m:t>
        </m:r>
        <m:r>
          <m:t>4096</m:t>
        </m:r>
      </m:oMath>
      <w:r>
        <w:t xml:space="preserve">,</w:t>
      </w:r>
      <w:r>
        <w:t xml:space="preserve"> </w:t>
      </w:r>
      <m:oMath>
        <m:r>
          <m:t>1</m:t>
        </m:r>
        <m:r>
          <m:rPr>
            <m:sty m:val="p"/>
          </m:rPr>
          <m:t>/</m:t>
        </m:r>
        <m:r>
          <m:t>1024</m:t>
        </m:r>
      </m:oMath>
      <w:r>
        <w:t xml:space="preserve">, and</w:t>
      </w:r>
      <w:r>
        <w:t xml:space="preserve"> </w:t>
      </w:r>
      <m:oMath>
        <m:r>
          <m:t>1</m:t>
        </m:r>
        <m:r>
          <m:rPr>
            <m:sty m:val="p"/>
          </m:rPr>
          <m:t>/</m:t>
        </m:r>
        <m:r>
          <m:t>256</m:t>
        </m:r>
      </m:oMath>
      <w:r>
        <w:t xml:space="preserve">, and six epsilon values from</w:t>
      </w:r>
      <w:r>
        <w:t xml:space="preserve"> </w:t>
      </w:r>
      <m:oMath>
        <m:r>
          <m:t>1</m:t>
        </m:r>
        <m:r>
          <m:rPr>
            <m:sty m:val="p"/>
          </m:rPr>
          <m:t>/</m:t>
        </m:r>
        <m:r>
          <m:t>255</m:t>
        </m:r>
      </m:oMath>
      <w:r>
        <w:t xml:space="preserve"> </w:t>
      </w:r>
      <w:r>
        <w:t xml:space="preserve">to</w:t>
      </w:r>
      <w:r>
        <w:t xml:space="preserve"> </w:t>
      </w:r>
      <m:oMath>
        <m:r>
          <m:t>32</m:t>
        </m:r>
        <m:r>
          <m:rPr>
            <m:sty m:val="p"/>
          </m:rPr>
          <m:t>/</m:t>
        </m:r>
        <m:r>
          <m:t>255</m:t>
        </m:r>
      </m:oMath>
      <w:r>
        <w:t xml:space="preserve">.</w:t>
      </w:r>
    </w:p>
    <w:p>
      <w:pPr>
        <w:pStyle w:val="BodyText"/>
      </w:pPr>
      <w:r>
        <w:t xml:space="preserve">V6 is a confirmatory breadth run of the unchanged v5 mechanism. Thresholds, residual scales, edit magnitudes, locality profiles, and the control family remain fixed. Five deterministically ranked scenes are selected from each of 3RScan, ARKitScenes, Bonn RGB-D Dynamic, and trained GraphDECO 3DGS, giving 20 scenes and 3,840 pooled parameter cases. Confirmation gates are fixed before execution, and outcome inspection cannot trigger scene or case replacement.</w:t>
      </w:r>
    </w:p>
    <w:bookmarkEnd w:id="59"/>
    <w:bookmarkStart w:id="60" w:name="baselines-and-ablations"/>
    <w:p>
      <w:pPr>
        <w:pStyle w:val="Heading2"/>
      </w:pPr>
      <w:r>
        <w:rPr>
          <w:rStyle w:val="SectionNumber"/>
        </w:rPr>
        <w:t xml:space="preserve">6.3</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 graph radii, changed-fraction selection, empirical ordering followed by analytic re-certification, and CBRC. Structural ablations remove individual mechanisms while retaining the frozen campaign. We preserve neutral ablations as neutral results. A mechanism can remain important to the contract even when this real matrix does not separate its aggregate work from the full method; deterministic mechanism-isolation tests are retained separately for falsifiability.</w:t>
      </w:r>
    </w:p>
    <w:bookmarkEnd w:id="60"/>
    <w:bookmarkEnd w:id="61"/>
    <w:bookmarkStart w:id="73" w:name="sec:results"/>
    <w:p>
      <w:pPr>
        <w:pStyle w:val="Heading1"/>
      </w:pPr>
      <w:r>
        <w:rPr>
          <w:rStyle w:val="SectionNumber"/>
        </w:rPr>
        <w:t xml:space="preserve">7</w:t>
      </w:r>
      <w:r>
        <w:tab/>
      </w:r>
      <w:r>
        <w:t xml:space="preserve">Results</w:t>
      </w:r>
    </w:p>
    <w:bookmarkStart w:id="63" w:name="overall-paper-grade-campaign"/>
    <w:p>
      <w:pPr>
        <w:pStyle w:val="Heading2"/>
      </w:pPr>
      <w:r>
        <w:rPr>
          <w:rStyle w:val="SectionNumber"/>
        </w:rPr>
        <w:t xml:space="preserve">7.1</w:t>
      </w:r>
      <w:r>
        <w:tab/>
      </w:r>
      <w:r>
        <w:t xml:space="preserve">Overall paper-grade campaign</w:t>
      </w:r>
    </w:p>
    <w:p>
      <w:pPr>
        <w:pStyle w:val="FirstParagraph"/>
      </w:pPr>
      <w:r>
        <w:t xml:space="preserve">All 1,275 frozen cases complete across all 85 scenes. CBRC selects 935 certified</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giving a local rate of 73.33% (95% CI 70.84–75.69%). We observe zero certificate violations; the corresponding 95% Wilson interval for the violation rate is 0–0.3004%. Both local and fallback outcomes appear in every representation class.</w:t>
      </w:r>
    </w:p>
    <w:p>
      <w:pPr>
        <w:pStyle w:val="BodyText"/>
      </w:pPr>
      <w:r>
        <w:t xml:space="preserve">The median calibrated selected work ratio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0.4744733</m:t>
                </m:r>
                <m:r>
                  <m:rPr>
                    <m:sty m:val="p"/>
                  </m:rPr>
                  <m:t>,</m:t>
                </m:r>
              </m:oMath>
            </m:oMathPara>
          </w:p>
        </w:tc>
        <w:tc>
          <w:tcPr>
            <w:tcW w:type="dxa" w:w="5112"/>
          </w:tcPr>
          <w:p>
            <w:pPr>
              <w:jc w:val="right"/>
            </w:pPr>
            <w:r>
              <w:t>(17)</w:t>
            </w:r>
          </w:p>
        </w:tc>
      </w:tr>
    </w:tbl>
    <w:p>
      <w:pPr>
        <w:pStyle w:val="FirstParagraph"/>
      </w:pPr>
      <w:r>
        <w:t xml:space="preserve">with bootstrap 95% CI [0.46657, 0.47885]. At the median, this is 52.55% lower calibrated work than</w:t>
      </w:r>
      <w:r>
        <w:t xml:space="preserve"> </w:t>
      </w:r>
      <w:r>
        <w:rPr>
          <w:smallCaps/>
        </w:rPr>
        <w:t xml:space="preserve">Full</w:t>
      </w:r>
      <w:r>
        <w:t xml:space="preserve">. The minimum observed ratio is 0.07030; fallback cases have ratio 1 by construction.</w:t>
      </w:r>
    </w:p>
    <w:bookmarkStart w:id="62" w:name="tab:datasets"/>
    <w:p>
      <w:pPr>
        <w:pStyle w:val="TableCaption"/>
        <w:keepNext/>
      </w:pPr>
      <w:r>
        <w:t xml:space="preserve">Table 2. </w:t>
      </w:r>
      <w:r>
        <w:t xml:space="preserve">Paper-grade results by dataset/representation. Work is calibrated selected work divided by the frozen</w:t>
      </w:r>
      <w:r>
        <w:t xml:space="preserve"> </w:t>
      </w:r>
      <w:r>
        <w:rPr>
          <w:smallCaps/>
        </w:rPr>
        <w:t xml:space="preserve">Full</w:t>
      </w:r>
      <w:r>
        <w:t xml:space="preserve"> </w:t>
      </w:r>
      <w:r>
        <w:t xml:space="preserve">baseline. Confidence intervals are Wilson intervals for local rate and bootstrap intervals for median work.</w:t>
      </w:r>
    </w:p>
    <w:tbl>
      <w:tblPr>
        <w:tblW w:type="auto" w:w="0"/>
        <w:tblLayout w:type="fixed"/>
        <w:tblLook w:firstRow="1" w:lastRow="0" w:firstColumn="0" w:lastColumn="0" w:noHBand="0" w:noVBand="0" w:val="0020"/>
        <w:jc w:val="start"/>
        <w:tblCaption w:val="Paper-grade results by dataset/representation. Work is calibrated selected work divided by the frozen Full baseline. Confidence intervals are Wilson intervals for local rate and bootstrap intervals for median work."/>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Dataset / representation</w:t>
            </w:r>
          </w:p>
        </w:tc>
        <w:tc>
          <w:tcPr>
            <w:tcW w:type="dxa" w:w="936"/>
          </w:tcPr>
          <w:p>
            <w:pPr>
              <w:pStyle w:val="Compact"/>
              <w:spacing w:after="40" w:before="40"/>
              <w:jc w:val="left"/>
            </w:pPr>
            <w:r>
              <w:rPr>
                <w:b/>
                <w:sz w:val="18"/>
              </w:rPr>
              <w:t xml:space="preserve">Cases</w:t>
            </w:r>
          </w:p>
        </w:tc>
        <w:tc>
          <w:tcPr>
            <w:tcW w:type="dxa" w:w="1152"/>
          </w:tcPr>
          <w:p>
            <w:pPr>
              <w:pStyle w:val="Compact"/>
              <w:spacing w:after="40" w:before="40"/>
              <w:jc w:val="left"/>
            </w:pPr>
            <w:r>
              <w:rPr>
                <w:b/>
                <w:smallCaps/>
                <w:sz w:val="18"/>
              </w:rPr>
              <w:t xml:space="preserve">Local</w:t>
            </w:r>
          </w:p>
        </w:tc>
        <w:tc>
          <w:tcPr>
            <w:tcW w:type="dxa" w:w="936"/>
          </w:tcPr>
          <w:p>
            <w:pPr>
              <w:pStyle w:val="Compact"/>
              <w:spacing w:after="40" w:before="40"/>
              <w:jc w:val="left"/>
            </w:pPr>
            <w:r>
              <w:rPr>
                <w:b/>
                <w:smallCaps/>
                <w:sz w:val="18"/>
              </w:rPr>
              <w:t xml:space="preserve">Full</w:t>
            </w:r>
          </w:p>
        </w:tc>
        <w:tc>
          <w:tcPr>
            <w:tcW w:type="dxa" w:w="1440"/>
          </w:tcPr>
          <w:p>
            <w:pPr>
              <w:pStyle w:val="Compact"/>
              <w:spacing w:after="40" w:before="40"/>
              <w:jc w:val="left"/>
            </w:pPr>
            <w:r>
              <w:rPr>
                <w:b/>
                <w:sz w:val="18"/>
              </w:rPr>
              <w:t xml:space="preserve">Local rate (95% CI)</w:t>
            </w:r>
          </w:p>
        </w:tc>
        <w:tc>
          <w:tcPr>
            <w:tcW w:type="dxa" w:w="3600"/>
          </w:tcPr>
          <w:p>
            <w:pPr>
              <w:pStyle w:val="Compact"/>
              <w:spacing w:after="40" w:before="40"/>
              <w:jc w:val="left"/>
            </w:pPr>
            <w:r>
              <w:rPr>
                <w:b/>
                <w:sz w:val="18"/>
              </w:rPr>
              <w:t xml:space="preserve">Median work/</w:t>
            </w:r>
            <w:r>
              <w:rPr>
                <w:b/>
                <w:smallCaps/>
                <w:sz w:val="18"/>
              </w:rPr>
              <w:t xml:space="preserve">Full</w:t>
            </w:r>
            <w:r>
              <w:rPr>
                <w:b/>
                <w:sz w:val="18"/>
              </w:rPr>
              <w:t xml:space="preserve"> </w:t>
            </w:r>
            <w:r>
              <w:rPr>
                <w:b/>
                <w:sz w:val="18"/>
              </w:rPr>
              <w:t xml:space="preserve">(95% CI)</w:t>
            </w:r>
          </w:p>
        </w:tc>
      </w:tr>
      <w:tr>
        <w:trPr>
          <w:cantSplit/>
        </w:trPr>
        <w:tc>
          <w:tcPr>
            <w:tcW w:type="dxa" w:w="2160"/>
          </w:tcPr>
          <w:p>
            <w:pPr>
              <w:pStyle w:val="Compact"/>
              <w:spacing w:after="40" w:before="40"/>
              <w:jc w:val="left"/>
            </w:pPr>
            <w:r>
              <w:rPr>
                <w:sz w:val="18"/>
              </w:rPr>
              <w:t xml:space="preserve">3RScan</w:t>
            </w:r>
          </w:p>
        </w:tc>
        <w:tc>
          <w:tcPr>
            <w:tcW w:type="dxa" w:w="936"/>
          </w:tcPr>
          <w:p>
            <w:pPr>
              <w:pStyle w:val="Compact"/>
              <w:spacing w:after="40" w:before="40"/>
              <w:jc w:val="left"/>
            </w:pPr>
            <w:r>
              <w:rPr>
                <w:sz w:val="18"/>
              </w:rPr>
              <w:t xml:space="preserve">600</w:t>
            </w:r>
          </w:p>
        </w:tc>
        <w:tc>
          <w:tcPr>
            <w:tcW w:type="dxa" w:w="1152"/>
          </w:tcPr>
          <w:p>
            <w:pPr>
              <w:pStyle w:val="Compact"/>
              <w:spacing w:after="40" w:before="40"/>
              <w:jc w:val="left"/>
            </w:pPr>
            <w:r>
              <w:rPr>
                <w:sz w:val="18"/>
              </w:rPr>
              <w:t xml:space="preserve">440</w:t>
            </w:r>
          </w:p>
        </w:tc>
        <w:tc>
          <w:tcPr>
            <w:tcW w:type="dxa" w:w="936"/>
          </w:tcPr>
          <w:p>
            <w:pPr>
              <w:pStyle w:val="Compact"/>
              <w:spacing w:after="40" w:before="40"/>
              <w:jc w:val="left"/>
            </w:pPr>
            <w:r>
              <w:rPr>
                <w:sz w:val="18"/>
              </w:rPr>
              <w:t xml:space="preserve">160</w:t>
            </w:r>
          </w:p>
        </w:tc>
        <w:tc>
          <w:tcPr>
            <w:tcW w:type="dxa" w:w="1440"/>
          </w:tcPr>
          <w:p>
            <w:pPr>
              <w:pStyle w:val="Compact"/>
              <w:spacing w:after="40" w:before="40"/>
              <w:jc w:val="left"/>
            </w:pPr>
            <w:r>
              <w:rPr>
                <w:sz w:val="18"/>
              </w:rPr>
              <w:t xml:space="preserve">0.733 [0.697, 0.767]</w:t>
            </w:r>
          </w:p>
        </w:tc>
        <w:tc>
          <w:tcPr>
            <w:tcW w:type="dxa" w:w="3600"/>
          </w:tcPr>
          <w:p>
            <w:pPr>
              <w:pStyle w:val="Compact"/>
              <w:spacing w:after="40" w:before="40"/>
              <w:jc w:val="left"/>
            </w:pPr>
            <w:r>
              <w:rPr>
                <w:sz w:val="18"/>
              </w:rPr>
              <w:t xml:space="preserve">0.341 [0.337, 0.341]</w:t>
            </w:r>
          </w:p>
        </w:tc>
      </w:tr>
      <w:tr>
        <w:trPr>
          <w:cantSplit/>
        </w:trPr>
        <w:tc>
          <w:tcPr>
            <w:tcW w:type="dxa" w:w="2160"/>
          </w:tcPr>
          <w:p>
            <w:pPr>
              <w:pStyle w:val="Compact"/>
              <w:spacing w:after="40" w:before="40"/>
              <w:jc w:val="left"/>
            </w:pPr>
            <w:r>
              <w:rPr>
                <w:sz w:val="18"/>
              </w:rPr>
              <w:t xml:space="preserve">ARKitScenes</w:t>
            </w:r>
          </w:p>
        </w:tc>
        <w:tc>
          <w:tcPr>
            <w:tcW w:type="dxa" w:w="936"/>
          </w:tcPr>
          <w:p>
            <w:pPr>
              <w:pStyle w:val="Compact"/>
              <w:spacing w:after="40" w:before="40"/>
              <w:jc w:val="left"/>
            </w:pPr>
            <w:r>
              <w:rPr>
                <w:sz w:val="18"/>
              </w:rPr>
              <w:t xml:space="preserve">300</w:t>
            </w:r>
          </w:p>
        </w:tc>
        <w:tc>
          <w:tcPr>
            <w:tcW w:type="dxa" w:w="1152"/>
          </w:tcPr>
          <w:p>
            <w:pPr>
              <w:pStyle w:val="Compact"/>
              <w:spacing w:after="40" w:before="40"/>
              <w:jc w:val="left"/>
            </w:pPr>
            <w:r>
              <w:rPr>
                <w:sz w:val="18"/>
              </w:rPr>
              <w:t xml:space="preserve">220</w:t>
            </w:r>
          </w:p>
        </w:tc>
        <w:tc>
          <w:tcPr>
            <w:tcW w:type="dxa" w:w="936"/>
          </w:tcPr>
          <w:p>
            <w:pPr>
              <w:pStyle w:val="Compact"/>
              <w:spacing w:after="40" w:before="40"/>
              <w:jc w:val="left"/>
            </w:pPr>
            <w:r>
              <w:rPr>
                <w:sz w:val="18"/>
              </w:rPr>
              <w:t xml:space="preserve">80</w:t>
            </w:r>
          </w:p>
        </w:tc>
        <w:tc>
          <w:tcPr>
            <w:tcW w:type="dxa" w:w="1440"/>
          </w:tcPr>
          <w:p>
            <w:pPr>
              <w:pStyle w:val="Compact"/>
              <w:spacing w:after="40" w:before="40"/>
              <w:jc w:val="left"/>
            </w:pPr>
            <w:r>
              <w:rPr>
                <w:sz w:val="18"/>
              </w:rPr>
              <w:t xml:space="preserve">0.733 [0.681, 0.780]</w:t>
            </w:r>
          </w:p>
        </w:tc>
        <w:tc>
          <w:tcPr>
            <w:tcW w:type="dxa" w:w="3600"/>
          </w:tcPr>
          <w:p>
            <w:pPr>
              <w:pStyle w:val="Compact"/>
              <w:spacing w:after="40" w:before="40"/>
              <w:jc w:val="left"/>
            </w:pPr>
            <w:r>
              <w:rPr>
                <w:sz w:val="18"/>
              </w:rPr>
              <w:t xml:space="preserve">0.483 [0.480, 0.494]</w:t>
            </w:r>
          </w:p>
        </w:tc>
      </w:tr>
      <w:tr>
        <w:trPr>
          <w:cantSplit/>
        </w:trPr>
        <w:tc>
          <w:tcPr>
            <w:tcW w:type="dxa" w:w="2160"/>
          </w:tcPr>
          <w:p>
            <w:pPr>
              <w:pStyle w:val="Compact"/>
              <w:spacing w:after="40" w:before="40"/>
              <w:jc w:val="left"/>
            </w:pPr>
            <w:r>
              <w:rPr>
                <w:sz w:val="18"/>
              </w:rPr>
              <w:t xml:space="preserve">Bonn RGB-D Dynamic</w:t>
            </w:r>
          </w:p>
        </w:tc>
        <w:tc>
          <w:tcPr>
            <w:tcW w:type="dxa" w:w="936"/>
          </w:tcPr>
          <w:p>
            <w:pPr>
              <w:pStyle w:val="Compact"/>
              <w:spacing w:after="40" w:before="40"/>
              <w:jc w:val="left"/>
            </w:pPr>
            <w:r>
              <w:rPr>
                <w:sz w:val="18"/>
              </w:rPr>
              <w:t xml:space="preserve">180</w:t>
            </w:r>
          </w:p>
        </w:tc>
        <w:tc>
          <w:tcPr>
            <w:tcW w:type="dxa" w:w="1152"/>
          </w:tcPr>
          <w:p>
            <w:pPr>
              <w:pStyle w:val="Compact"/>
              <w:spacing w:after="40" w:before="40"/>
              <w:jc w:val="left"/>
            </w:pPr>
            <w:r>
              <w:rPr>
                <w:sz w:val="18"/>
              </w:rPr>
              <w:t xml:space="preserve">132</w:t>
            </w:r>
          </w:p>
        </w:tc>
        <w:tc>
          <w:tcPr>
            <w:tcW w:type="dxa" w:w="936"/>
          </w:tcPr>
          <w:p>
            <w:pPr>
              <w:pStyle w:val="Compact"/>
              <w:spacing w:after="40" w:before="40"/>
              <w:jc w:val="left"/>
            </w:pPr>
            <w:r>
              <w:rPr>
                <w:sz w:val="18"/>
              </w:rPr>
              <w:t xml:space="preserve">48</w:t>
            </w:r>
          </w:p>
        </w:tc>
        <w:tc>
          <w:tcPr>
            <w:tcW w:type="dxa" w:w="1440"/>
          </w:tcPr>
          <w:p>
            <w:pPr>
              <w:pStyle w:val="Compact"/>
              <w:spacing w:after="40" w:before="40"/>
              <w:jc w:val="left"/>
            </w:pPr>
            <w:r>
              <w:rPr>
                <w:sz w:val="18"/>
              </w:rPr>
              <w:t xml:space="preserve">0.733 [0.664, 0.793]</w:t>
            </w:r>
          </w:p>
        </w:tc>
        <w:tc>
          <w:tcPr>
            <w:tcW w:type="dxa" w:w="3600"/>
          </w:tcPr>
          <w:p>
            <w:pPr>
              <w:pStyle w:val="Compact"/>
              <w:spacing w:after="40" w:before="40"/>
              <w:jc w:val="left"/>
            </w:pPr>
            <w:r>
              <w:rPr>
                <w:sz w:val="18"/>
              </w:rPr>
              <w:t xml:space="preserve">0.475 [0.474, 0.488]</w:t>
            </w:r>
          </w:p>
        </w:tc>
      </w:tr>
      <w:tr>
        <w:trPr>
          <w:cantSplit/>
        </w:trPr>
        <w:tc>
          <w:tcPr>
            <w:tcW w:type="dxa" w:w="2160"/>
          </w:tcPr>
          <w:p>
            <w:pPr>
              <w:pStyle w:val="Compact"/>
              <w:spacing w:after="40" w:before="40"/>
              <w:jc w:val="left"/>
            </w:pPr>
            <w:r>
              <w:rPr>
                <w:sz w:val="18"/>
              </w:rPr>
              <w:t xml:space="preserve">Trained GraphDECO 3DGS</w:t>
            </w:r>
          </w:p>
        </w:tc>
        <w:tc>
          <w:tcPr>
            <w:tcW w:type="dxa" w:w="936"/>
          </w:tcPr>
          <w:p>
            <w:pPr>
              <w:pStyle w:val="Compact"/>
              <w:spacing w:after="40" w:before="40"/>
              <w:jc w:val="left"/>
            </w:pPr>
            <w:r>
              <w:rPr>
                <w:sz w:val="18"/>
              </w:rPr>
              <w:t xml:space="preserve">195</w:t>
            </w:r>
          </w:p>
        </w:tc>
        <w:tc>
          <w:tcPr>
            <w:tcW w:type="dxa" w:w="1152"/>
          </w:tcPr>
          <w:p>
            <w:pPr>
              <w:pStyle w:val="Compact"/>
              <w:spacing w:after="40" w:before="40"/>
              <w:jc w:val="left"/>
            </w:pPr>
            <w:r>
              <w:rPr>
                <w:sz w:val="18"/>
              </w:rPr>
              <w:t xml:space="preserve">143</w:t>
            </w:r>
          </w:p>
        </w:tc>
        <w:tc>
          <w:tcPr>
            <w:tcW w:type="dxa" w:w="936"/>
          </w:tcPr>
          <w:p>
            <w:pPr>
              <w:pStyle w:val="Compact"/>
              <w:spacing w:after="40" w:before="40"/>
              <w:jc w:val="left"/>
            </w:pPr>
            <w:r>
              <w:rPr>
                <w:sz w:val="18"/>
              </w:rPr>
              <w:t xml:space="preserve">52</w:t>
            </w:r>
          </w:p>
        </w:tc>
        <w:tc>
          <w:tcPr>
            <w:tcW w:type="dxa" w:w="1440"/>
          </w:tcPr>
          <w:p>
            <w:pPr>
              <w:pStyle w:val="Compact"/>
              <w:spacing w:after="40" w:before="40"/>
              <w:jc w:val="left"/>
            </w:pPr>
            <w:r>
              <w:rPr>
                <w:sz w:val="18"/>
              </w:rPr>
              <w:t xml:space="preserve">0.733 [0.667, 0.790]</w:t>
            </w:r>
          </w:p>
        </w:tc>
        <w:tc>
          <w:tcPr>
            <w:tcW w:type="dxa" w:w="3600"/>
          </w:tcPr>
          <w:p>
            <w:pPr>
              <w:pStyle w:val="Compact"/>
              <w:spacing w:after="40" w:before="40"/>
              <w:jc w:val="left"/>
            </w:pPr>
            <w:r>
              <w:rPr>
                <w:sz w:val="18"/>
              </w:rPr>
              <w:t xml:space="preserve">0.519 [0.513, 0.541]</w:t>
            </w:r>
          </w:p>
        </w:tc>
      </w:tr>
      <w:tr>
        <w:trPr>
          <w:cantSplit/>
        </w:trPr>
        <w:tc>
          <w:tcPr>
            <w:tcW w:type="dxa" w:w="2160"/>
          </w:tcPr>
          <w:p>
            <w:pPr>
              <w:pStyle w:val="Compact"/>
              <w:spacing w:after="40" w:before="40"/>
              <w:jc w:val="left"/>
            </w:pPr>
            <w:r>
              <w:rPr>
                <w:sz w:val="18"/>
              </w:rPr>
              <w:t xml:space="preserve">Overall</w:t>
            </w:r>
          </w:p>
        </w:tc>
        <w:tc>
          <w:tcPr>
            <w:tcW w:type="dxa" w:w="936"/>
          </w:tcPr>
          <w:p>
            <w:pPr>
              <w:pStyle w:val="Compact"/>
              <w:spacing w:after="40" w:before="40"/>
              <w:jc w:val="left"/>
            </w:pPr>
            <w:r>
              <w:rPr>
                <w:sz w:val="18"/>
              </w:rPr>
              <w:t xml:space="preserve">1275</w:t>
            </w:r>
          </w:p>
        </w:tc>
        <w:tc>
          <w:tcPr>
            <w:tcW w:type="dxa" w:w="1152"/>
          </w:tcPr>
          <w:p>
            <w:pPr>
              <w:pStyle w:val="Compact"/>
              <w:spacing w:after="40" w:before="40"/>
              <w:jc w:val="left"/>
            </w:pPr>
            <w:r>
              <w:rPr>
                <w:sz w:val="18"/>
              </w:rPr>
              <w:t xml:space="preserve">935</w:t>
            </w:r>
          </w:p>
        </w:tc>
        <w:tc>
          <w:tcPr>
            <w:tcW w:type="dxa" w:w="936"/>
          </w:tcPr>
          <w:p>
            <w:pPr>
              <w:pStyle w:val="Compact"/>
              <w:spacing w:after="40" w:before="40"/>
              <w:jc w:val="left"/>
            </w:pPr>
            <w:r>
              <w:rPr>
                <w:sz w:val="18"/>
              </w:rPr>
              <w:t xml:space="preserve">340</w:t>
            </w:r>
          </w:p>
        </w:tc>
        <w:tc>
          <w:tcPr>
            <w:tcW w:type="dxa" w:w="1440"/>
          </w:tcPr>
          <w:p>
            <w:pPr>
              <w:pStyle w:val="Compact"/>
              <w:spacing w:after="40" w:before="40"/>
              <w:jc w:val="left"/>
            </w:pPr>
            <w:r>
              <w:rPr>
                <w:sz w:val="18"/>
              </w:rPr>
              <w:t xml:space="preserve">0.733 [0.708, 0.757]</w:t>
            </w:r>
          </w:p>
        </w:tc>
        <w:tc>
          <w:tcPr>
            <w:tcW w:type="dxa" w:w="3600"/>
          </w:tcPr>
          <w:p>
            <w:pPr>
              <w:pStyle w:val="Compact"/>
              <w:spacing w:after="40" w:before="40"/>
              <w:jc w:val="left"/>
            </w:pPr>
            <w:r>
              <w:rPr>
                <w:sz w:val="18"/>
              </w:rPr>
              <w:t xml:space="preserve">0.474 [0.467, 0.479]</w:t>
            </w:r>
          </w:p>
        </w:tc>
      </w:tr>
    </w:tbl>
    <w:bookmarkEnd w:id="62"/>
    <w:p>
      <w:pPr>
        <w:pStyle w:val="BodyText"/>
      </w:pPr>
      <w:r>
        <w:t xml:space="preserve">The identical 73.33% local rate across datasets is a consequence of applying the same frozen 15-case coupling template to every scene; it should not be interpreted as evidence that the datasets behave identically. Dataset-dependent work differs substantially: the median ratio is 0.341 on 3RScan and 0.519 on trained 3DGS.</w:t>
      </w:r>
    </w:p>
    <w:bookmarkEnd w:id="63"/>
    <w:bookmarkStart w:id="65" w:name="coupling-controls-fallback-behavior"/>
    <w:p>
      <w:pPr>
        <w:pStyle w:val="Heading2"/>
      </w:pPr>
      <w:r>
        <w:rPr>
          <w:rStyle w:val="SectionNumber"/>
        </w:rPr>
        <w:t xml:space="preserve">7.2</w:t>
      </w:r>
      <w:r>
        <w:tab/>
      </w:r>
      <w:r>
        <w:t xml:space="preserve">Coupling controls fallback behavior</w:t>
      </w:r>
    </w:p>
    <w:p>
      <w:pPr>
        <w:pStyle w:val="FirstParagraph"/>
      </w:pPr>
      <w:r>
        <w:t xml:space="preserve">The fail-closed envelope becomes visible when the campaign is grouped by coupling regime. All low and medium cases remain local. High coupling produces 170 local repairs and 85 fallbacks, while adversarial coupling produces 85 local repairs and 255 fallbacks. The frozen matrix therefore shows a monotonic shift toward fallback as coupling strengthens.</w:t>
      </w:r>
    </w:p>
    <w:bookmarkStart w:id="64" w:name="tab:coupling"/>
    <w:p>
      <w:pPr>
        <w:pStyle w:val="TableCaption"/>
        <w:keepNext/>
      </w:pPr>
      <w:r>
        <w:t xml:space="preserve">Table 3. </w:t>
      </w:r>
      <w:r>
        <w:t xml:space="preserve">Decision envelope by coupling regime.</w:t>
      </w:r>
    </w:p>
    <w:tbl>
      <w:tblPr>
        <w:tblW w:type="auto" w:w="0"/>
        <w:tblLayout w:type="fixed"/>
        <w:tblLook w:firstRow="1" w:lastRow="0" w:firstColumn="0" w:lastColumn="0" w:noHBand="0" w:noVBand="0" w:val="0020"/>
        <w:jc w:val="start"/>
        <w:tblCaption w:val="Decision envelope by coupling regime."/>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Regime</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Low</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0.415</w:t>
            </w:r>
          </w:p>
        </w:tc>
      </w:tr>
      <w:tr>
        <w:trPr>
          <w:cantSplit/>
        </w:trPr>
        <w:tc>
          <w:tcPr>
            <w:tcW w:type="dxa" w:w="3168"/>
          </w:tcPr>
          <w:p>
            <w:pPr>
              <w:pStyle w:val="Compact"/>
              <w:spacing w:after="40" w:before="40"/>
              <w:jc w:val="left"/>
            </w:pPr>
            <w:r>
              <w:rPr>
                <w:sz w:val="18"/>
              </w:rPr>
              <w:t xml:space="preserve">Medium</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0.445</w:t>
            </w:r>
          </w:p>
        </w:tc>
      </w:tr>
      <w:tr>
        <w:trPr>
          <w:cantSplit/>
        </w:trPr>
        <w:tc>
          <w:tcPr>
            <w:tcW w:type="dxa" w:w="3168"/>
          </w:tcPr>
          <w:p>
            <w:pPr>
              <w:pStyle w:val="Compact"/>
              <w:spacing w:after="40" w:before="40"/>
              <w:jc w:val="left"/>
            </w:pPr>
            <w:r>
              <w:rPr>
                <w:sz w:val="18"/>
              </w:rPr>
              <w:t xml:space="preserve">High</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0.510</w:t>
            </w:r>
          </w:p>
        </w:tc>
      </w:tr>
      <w:tr>
        <w:trPr>
          <w:cantSplit/>
        </w:trPr>
        <w:tc>
          <w:tcPr>
            <w:tcW w:type="dxa" w:w="3168"/>
          </w:tcPr>
          <w:p>
            <w:pPr>
              <w:pStyle w:val="Compact"/>
              <w:spacing w:after="40" w:before="40"/>
              <w:jc w:val="left"/>
            </w:pPr>
            <w:r>
              <w:rPr>
                <w:sz w:val="18"/>
              </w:rPr>
              <w:t xml:space="preserve">Adversarial</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85</w:t>
            </w:r>
          </w:p>
        </w:tc>
        <w:tc>
          <w:tcPr>
            <w:tcW w:type="dxa" w:w="1080"/>
          </w:tcPr>
          <w:p>
            <w:pPr>
              <w:pStyle w:val="Compact"/>
              <w:spacing w:after="40" w:before="40"/>
              <w:jc w:val="left"/>
            </w:pPr>
            <w:r>
              <w:rPr>
                <w:sz w:val="18"/>
              </w:rPr>
              <w:t xml:space="preserve">255</w:t>
            </w:r>
          </w:p>
        </w:tc>
        <w:tc>
          <w:tcPr>
            <w:tcW w:type="dxa" w:w="3816"/>
          </w:tcPr>
          <w:p>
            <w:pPr>
              <w:pStyle w:val="Compact"/>
              <w:spacing w:after="40" w:before="40"/>
              <w:jc w:val="left"/>
            </w:pPr>
            <w:r>
              <w:rPr>
                <w:sz w:val="18"/>
              </w:rPr>
              <w:t xml:space="preserve">1.000</w:t>
            </w:r>
          </w:p>
        </w:tc>
      </w:tr>
    </w:tbl>
    <w:bookmarkEnd w:id="64"/>
    <w:bookmarkEnd w:id="65"/>
    <w:bookmarkStart w:id="67" w:name="generalization-across-edit-families"/>
    <w:p>
      <w:pPr>
        <w:pStyle w:val="Heading2"/>
      </w:pPr>
      <w:r>
        <w:rPr>
          <w:rStyle w:val="SectionNumber"/>
        </w:rPr>
        <w:t xml:space="preserve">7.3</w:t>
      </w:r>
      <w:r>
        <w:tab/>
      </w:r>
      <w:r>
        <w:t xml:space="preserve">Generalization across edit families</w:t>
      </w:r>
    </w:p>
    <w:p>
      <w:pPr>
        <w:pStyle w:val="FirstParagraph"/>
      </w:pPr>
      <w:r>
        <w:t xml:space="preserve">The same revision contract is exercised across four edit families. Opacity remains local in all 255 cases. Translation and rotation each remain local in 255 of 340 cases. Uniform scale is the hardest family in the frozen matrix, with 170 local repairs and 170 fallbacks. No edit family contains an observed certificate violation.</w:t>
      </w:r>
    </w:p>
    <w:bookmarkStart w:id="66" w:name="tab:edits"/>
    <w:p>
      <w:pPr>
        <w:pStyle w:val="TableCaption"/>
        <w:keepNext/>
      </w:pPr>
      <w:r>
        <w:t xml:space="preserve">Table 4. </w:t>
      </w:r>
      <w:r>
        <w:t xml:space="preserve">Paper-grade outcomes by edit family.</w:t>
      </w:r>
    </w:p>
    <w:tbl>
      <w:tblPr>
        <w:tblW w:type="auto" w:w="0"/>
        <w:tblLayout w:type="fixed"/>
        <w:tblLook w:firstRow="1" w:lastRow="0" w:firstColumn="0" w:lastColumn="0" w:noHBand="0" w:noVBand="0" w:val="0020"/>
        <w:jc w:val="start"/>
        <w:tblCaption w:val="Paper-grade outcomes by edit family."/>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Edit</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Opacity</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0.457</w:t>
            </w:r>
          </w:p>
        </w:tc>
      </w:tr>
      <w:tr>
        <w:trPr>
          <w:cantSplit/>
        </w:trPr>
        <w:tc>
          <w:tcPr>
            <w:tcW w:type="dxa" w:w="3168"/>
          </w:tcPr>
          <w:p>
            <w:pPr>
              <w:pStyle w:val="Compact"/>
              <w:spacing w:after="40" w:before="40"/>
              <w:jc w:val="left"/>
            </w:pPr>
            <w:r>
              <w:rPr>
                <w:sz w:val="18"/>
              </w:rPr>
              <w:t xml:space="preserve">Rotation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0.453</w:t>
            </w:r>
          </w:p>
        </w:tc>
      </w:tr>
      <w:tr>
        <w:trPr>
          <w:cantSplit/>
        </w:trPr>
        <w:tc>
          <w:tcPr>
            <w:tcW w:type="dxa" w:w="3168"/>
          </w:tcPr>
          <w:p>
            <w:pPr>
              <w:pStyle w:val="Compact"/>
              <w:spacing w:after="40" w:before="40"/>
              <w:jc w:val="left"/>
            </w:pPr>
            <w:r>
              <w:rPr>
                <w:sz w:val="18"/>
              </w:rPr>
              <w:t xml:space="preserve">Translation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0.475</w:t>
            </w:r>
          </w:p>
        </w:tc>
      </w:tr>
      <w:tr>
        <w:trPr>
          <w:cantSplit/>
        </w:trPr>
        <w:tc>
          <w:tcPr>
            <w:tcW w:type="dxa" w:w="3168"/>
          </w:tcPr>
          <w:p>
            <w:pPr>
              <w:pStyle w:val="Compact"/>
              <w:spacing w:after="40" w:before="40"/>
              <w:jc w:val="left"/>
            </w:pPr>
            <w:r>
              <w:rPr>
                <w:sz w:val="18"/>
              </w:rPr>
              <w:t xml:space="preserve">Uniform scale</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170</w:t>
            </w:r>
          </w:p>
        </w:tc>
        <w:tc>
          <w:tcPr>
            <w:tcW w:type="dxa" w:w="3816"/>
          </w:tcPr>
          <w:p>
            <w:pPr>
              <w:pStyle w:val="Compact"/>
              <w:spacing w:after="40" w:before="40"/>
              <w:jc w:val="left"/>
            </w:pPr>
            <w:r>
              <w:rPr>
                <w:sz w:val="18"/>
              </w:rPr>
              <w:t xml:space="preserve">0.770</w:t>
            </w:r>
          </w:p>
        </w:tc>
      </w:tr>
    </w:tbl>
    <w:bookmarkEnd w:id="66"/>
    <w:bookmarkEnd w:id="67"/>
    <w:bookmarkStart w:id="68" w:name="independent-selected-render-audit"/>
    <w:p>
      <w:pPr>
        <w:pStyle w:val="Heading2"/>
      </w:pPr>
      <w:r>
        <w:rPr>
          <w:rStyle w:val="SectionNumber"/>
        </w:rPr>
        <w:t xml:space="preserve">7.4</w:t>
      </w:r>
      <w:r>
        <w:tab/>
      </w:r>
      <w:r>
        <w:t xml:space="preserve">Independent selected-render audit</w:t>
      </w:r>
    </w:p>
    <w:p>
      <w:pPr>
        <w:pStyle w:val="FirstParagraph"/>
      </w:pPr>
      <w:r>
        <w:t xml:space="preserve">The selected render is byte-identical to the independent</w:t>
      </w:r>
      <w:r>
        <w:t xml:space="preserve"> </w:t>
      </w:r>
      <w:r>
        <w:rPr>
          <w:smallCaps/>
        </w:rPr>
        <w:t xml:space="preserve">Full</w:t>
      </w:r>
      <w:r>
        <w:t xml:space="preserve">-after render in all 1,275 cases on the evaluated benchmark views: the selected exact-case rate is 1.0. For fallback cases this equality follows from selecting</w:t>
      </w:r>
      <w:r>
        <w:t xml:space="preserve"> </w:t>
      </w:r>
      <w:r>
        <w:rPr>
          <w:smallCaps/>
        </w:rPr>
        <w:t xml:space="preserve">Full</w:t>
      </w:r>
      <w:r>
        <w:t xml:space="preserve">. For the 935</w:t>
      </w:r>
      <w:r>
        <w:t xml:space="preserve"> </w:t>
      </w:r>
      <w:r>
        <w:rPr>
          <w:smallCaps/>
        </w:rPr>
        <w:t xml:space="preserve">Local</w:t>
      </w:r>
      <w:r>
        <w:t xml:space="preserve"> </w:t>
      </w:r>
      <w:r>
        <w:t xml:space="preserve">cases it means the executed repair reproduces the full-after raster exactly at 8-bit RGB precision on the audited view.</w:t>
      </w:r>
    </w:p>
    <w:p>
      <w:pPr>
        <w:pStyle w:val="BodyText"/>
      </w:pPr>
      <w:r>
        <w:t xml:space="preserve">This result is strong evidence for the selection/fallback implementation, but it is deliberately separated from certificate tightness. Because the measured selected-to-</w:t>
      </w:r>
      <w:r>
        <w:rPr>
          <w:smallCaps/>
        </w:rPr>
        <w:t xml:space="preserve">Full</w:t>
      </w:r>
      <w:r>
        <w:t xml:space="preserve"> </w:t>
      </w:r>
      <w:r>
        <w:t xml:space="preserve">residual is zero throughout this broad campaign, the matrix does not demonstrate a useful case with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0</m:t>
                </m:r>
                <m:r>
                  <m:rPr>
                    <m:sty m:val="p"/>
                  </m:rPr>
                  <m:t>&lt;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(18)</w:t>
            </w:r>
          </w:p>
        </w:tc>
      </w:tr>
    </w:tbl>
    <w:p>
      <w:pPr>
        <w:pStyle w:val="FirstParagraph"/>
      </w:pPr>
      <w:r>
        <w:t xml:space="preserve">The separately frozen residual-sensitive sequence below targets exactly this regime without changing the broad campaign.</w:t>
      </w:r>
    </w:p>
    <w:bookmarkEnd w:id="68"/>
    <w:bookmarkStart w:id="71" w:name="X24b105bc73302b772c5af53b6ce76fa00fabece"/>
    <w:p>
      <w:pPr>
        <w:pStyle w:val="Heading2"/>
      </w:pPr>
      <w:r>
        <w:rPr>
          <w:rStyle w:val="SectionNumber"/>
        </w:rPr>
        <w:t xml:space="preserve">7.5</w:t>
      </w:r>
      <w:r>
        <w:tab/>
      </w:r>
      <w:r>
        <w:t xml:space="preserve">From diagnostic failure to confirmatory non-zero locality</w:t>
      </w:r>
    </w:p>
    <w:p>
      <w:pPr>
        <w:pStyle w:val="FirstParagraph"/>
      </w:pPr>
      <w:r>
        <w:t xml:space="preserve">The first residual-sensitive freeze, v4, is a negative result. Across 512 cases, the 256 exact-residual cases remain local, while every one of the 256 non-zero-residual cases falls back to</w:t>
      </w:r>
      <w:r>
        <w:t xml:space="preserve"> </w:t>
      </w:r>
      <w:r>
        <w:rPr>
          <w:smallCaps/>
        </w:rPr>
        <w:t xml:space="preserve">Full</w:t>
      </w:r>
      <w:r>
        <w:t xml:space="preserve">. There are no certified non-zero local cases and no tolerance crossovers. Postmortem analysis attributes all 256 non-zero fallbacks to the post-repair certified bound exceeding epsilon. The outcome is insensitive to the locality profile and to the tested epsilon ladder. This rules out a convenient interpretation in which the test scenes were simply too globally coupled: the bottleneck is the certificate used for the residual.</w:t>
      </w:r>
    </w:p>
    <w:p>
      <w:pPr>
        <w:pStyle w:val="BodyText"/>
      </w:pPr>
      <w:r>
        <w:t xml:space="preserve">V5 changes one mechanism. For opacity-only residuals, geometry, covariance, rotation, depth, and spherical-harmonic color remain fixed, while the certificate accumulates the actual change in admitted per-pixel alpha with a conservative transmittance allowance. Translation continues to use the old opacity-envelope certificate. All certificate-routing, monotonicity, selected-output, and repair-certificate validity gates pass. Of 384 opacity cases, 251 select</w:t>
      </w:r>
      <w:r>
        <w:t xml:space="preserve"> </w:t>
      </w:r>
      <w:r>
        <w:rPr>
          <w:smallCaps/>
        </w:rPr>
        <w:t xml:space="preserve">Local</w:t>
      </w:r>
      <w:r>
        <w:t xml:space="preserve"> </w:t>
      </w:r>
      <w:r>
        <w:t xml:space="preserve">and 133 select</w:t>
      </w:r>
      <w:r>
        <w:t xml:space="preserve"> </w:t>
      </w:r>
      <w:r>
        <w:rPr>
          <w:smallCaps/>
        </w:rPr>
        <w:t xml:space="preserve">Full</w:t>
      </w:r>
      <w:r>
        <w:t xml:space="preserve">; 142 are certified non-zero local cases and 29 stress keys cross from full to local as epsilon changes. The 384 translation controls contain 96 exact local cases and 288 full fallbacks, with zero non-zero local cases and zero crossovers. With translation held as the control, this separation attributes the restored locality to certificate sensitivity.</w:t>
      </w:r>
    </w:p>
    <w:p>
      <w:pPr>
        <w:pStyle w:val="BodyText"/>
      </w:pPr>
      <w:r>
        <w:t xml:space="preserve">V6 repeats the same mechanism across 20 independent scenes. The confirmatory audit passes every predeclared gate, with no selected-certificate or repair-certificate violation. Non-zero opacity locality occurs in all 20 scenes and all four dataset families; opacity crossover also occurs in all 20 scenes. Across scenes, the mean opacity non-zero-local rate is 0.477, with a dataset-stratified scene-bootstrap 95% interval of [0.432, 0.517]. Translation remains at 0.000 [0.000, 0.000], so the paired opacity-minus-translation difference is numerically the same 0.477 [0.432, 0.517]. The generic audit contains 687 certified non-zero local cases and 151 tolerance-crossover groups.</w:t>
      </w:r>
    </w:p>
    <w:bookmarkStart w:id="69" w:name="tab:residual-sequence"/>
    <w:p>
      <w:pPr>
        <w:pStyle w:val="TableCaption"/>
        <w:keepNext/>
      </w:pPr>
      <w:r>
        <w:t xml:space="preserve">Table 5. </w:t>
      </w:r>
      <w:r>
        <w:t xml:space="preserve">Residual-sensitive evidence sequence. Pooled case counts describe frozen parameter grids; v6 inference uses 20 scenes as the primary sampling units, stratified five per dataset. Non-zero</w:t>
      </w:r>
      <w:r>
        <w:t xml:space="preserve"> </w:t>
      </w:r>
      <w:r>
        <w:rPr>
          <w:smallCaps/>
        </w:rPr>
        <w:t xml:space="preserve">Local</w:t>
      </w:r>
      <w:r>
        <w:t xml:space="preserve"> </w:t>
      </w:r>
      <w:r>
        <w:t xml:space="preserve">means a selected local repair with a measured non-zero residual that remains within its certified bound and tolerance.</w:t>
      </w:r>
    </w:p>
    <w:tbl>
      <w:tblPr>
        <w:tblW w:type="auto" w:w="0"/>
        <w:tblLayout w:type="fixed"/>
        <w:tblLook w:firstRow="1" w:lastRow="0" w:firstColumn="0" w:lastColumn="0" w:noHBand="0" w:noVBand="0" w:val="0020"/>
        <w:jc w:val="start"/>
        <w:tblCaption w:val="Residual-sensitive evidence sequence. Pooled case counts describe frozen parameter grids; v6 inference uses 20 scenes as the primary sampling units, stratified five per dataset. Non-zero Local means a selected local repair with a measured non-zero residual that remains within its certified bound and tolerance."/>
        <w:tblBorders>
          <w:top w:val="single" w:sz="4" w:color="B0B0B0"/>
          <w:bottom w:val="single" w:sz="4" w:color="B0B0B0"/>
          <w:insideH w:val="single" w:sz="4" w:color="B0B0B0"/>
        </w:tblBorders>
      </w:tblPr>
      <w:tblGrid>
        <w:gridCol w:w="1512"/>
        <w:gridCol w:w="2088"/>
        <w:gridCol w:w="3312"/>
        <w:gridCol w:w="3312"/>
      </w:tblGrid>
      <w:tr>
        <w:trPr>
          <w:tblHeader w:val="true"/>
          <w:cantSplit/>
          <w:tblHeader/>
        </w:trPr>
        <w:tc>
          <w:tcPr>
            <w:tcW w:type="dxa" w:w="1512"/>
          </w:tcPr>
          <w:p>
            <w:pPr>
              <w:pStyle w:val="Compact"/>
              <w:spacing w:after="40" w:before="40"/>
              <w:jc w:val="left"/>
            </w:pPr>
            <w:r>
              <w:rPr>
                <w:b/>
                <w:sz w:val="18"/>
              </w:rPr>
              <w:t xml:space="preserve">Stage</w:t>
            </w:r>
          </w:p>
        </w:tc>
        <w:tc>
          <w:tcPr>
            <w:tcW w:type="dxa" w:w="2088"/>
          </w:tcPr>
          <w:p>
            <w:pPr>
              <w:pStyle w:val="Compact"/>
              <w:spacing w:after="40" w:before="40"/>
              <w:jc w:val="left"/>
            </w:pPr>
            <w:r>
              <w:rPr>
                <w:b/>
                <w:sz w:val="18"/>
              </w:rPr>
              <w:t xml:space="preserve">Frozen population</w:t>
            </w:r>
          </w:p>
        </w:tc>
        <w:tc>
          <w:tcPr>
            <w:tcW w:type="dxa" w:w="3312"/>
          </w:tcPr>
          <w:p>
            <w:pPr>
              <w:pStyle w:val="Compact"/>
              <w:spacing w:after="40" w:before="40"/>
              <w:jc w:val="left"/>
            </w:pPr>
            <w:r>
              <w:rPr>
                <w:b/>
                <w:sz w:val="18"/>
              </w:rPr>
              <w:t xml:space="preserve">Non-zero</w:t>
            </w:r>
            <w:r>
              <w:rPr>
                <w:b/>
                <w:sz w:val="18"/>
              </w:rPr>
              <w:t xml:space="preserve"> </w:t>
            </w:r>
            <w:r>
              <w:rPr>
                <w:b/>
                <w:smallCaps/>
                <w:sz w:val="18"/>
              </w:rPr>
              <w:t xml:space="preserve">Local</w:t>
            </w:r>
            <w:r>
              <w:rPr>
                <w:b/>
                <w:sz w:val="18"/>
              </w:rPr>
              <w:t xml:space="preserve"> </w:t>
            </w:r>
            <w:r>
              <w:rPr>
                <w:b/>
                <w:sz w:val="18"/>
              </w:rPr>
              <w:t xml:space="preserve">evidence</w:t>
            </w:r>
          </w:p>
        </w:tc>
        <w:tc>
          <w:tcPr>
            <w:tcW w:type="dxa" w:w="3312"/>
          </w:tcPr>
          <w:p>
            <w:pPr>
              <w:pStyle w:val="Compact"/>
              <w:spacing w:after="40" w:before="40"/>
              <w:jc w:val="left"/>
            </w:pPr>
            <w:r>
              <w:rPr>
                <w:b/>
                <w:sz w:val="18"/>
              </w:rPr>
              <w:t xml:space="preserve">Main diagnostic / control result</w:t>
            </w:r>
          </w:p>
        </w:tc>
      </w:tr>
      <w:tr>
        <w:trPr>
          <w:cantSplit/>
        </w:trPr>
        <w:tc>
          <w:tcPr>
            <w:tcW w:type="dxa" w:w="1512"/>
          </w:tcPr>
          <w:p>
            <w:pPr>
              <w:pStyle w:val="Compact"/>
              <w:spacing w:after="40" w:before="40"/>
              <w:jc w:val="left"/>
            </w:pPr>
            <w:r>
              <w:rPr>
                <w:sz w:val="18"/>
              </w:rPr>
              <w:t xml:space="preserve">v4 diagnostic</w:t>
            </w:r>
          </w:p>
        </w:tc>
        <w:tc>
          <w:tcPr>
            <w:tcW w:type="dxa" w:w="2088"/>
          </w:tcPr>
          <w:p>
            <w:pPr>
              <w:pStyle w:val="Compact"/>
              <w:spacing w:after="40" w:before="40"/>
              <w:jc w:val="left"/>
            </w:pPr>
            <w:r>
              <w:rPr>
                <w:sz w:val="18"/>
              </w:rPr>
              <w:t xml:space="preserve">4 scenes, 512 cases</w:t>
            </w:r>
          </w:p>
        </w:tc>
        <w:tc>
          <w:tcPr>
            <w:tcW w:type="dxa" w:w="3312"/>
          </w:tcPr>
          <w:p>
            <w:pPr>
              <w:pStyle w:val="Compact"/>
              <w:spacing w:after="40" w:before="40"/>
              <w:jc w:val="left"/>
            </w:pPr>
            <w:r>
              <w:rPr>
                <w:sz w:val="18"/>
              </w:rPr>
              <w:t xml:space="preserve">0 cases; 0 tolerance crossovers</w:t>
            </w:r>
          </w:p>
        </w:tc>
        <w:tc>
          <w:tcPr>
            <w:tcW w:type="dxa" w:w="3312"/>
          </w:tcPr>
          <w:p>
            <w:pPr>
              <w:pStyle w:val="Compact"/>
              <w:spacing w:after="40" w:before="40"/>
              <w:jc w:val="left"/>
            </w:pPr>
            <w:r>
              <w:rPr>
                <w:sz w:val="18"/>
              </w:rPr>
              <w:t xml:space="preserve">All 256 non-zero-residual cases fall back because the certified post-repair bound exceeds epsilon.</w:t>
            </w:r>
          </w:p>
        </w:tc>
      </w:tr>
      <w:tr>
        <w:trPr>
          <w:cantSplit/>
        </w:trPr>
        <w:tc>
          <w:tcPr>
            <w:tcW w:type="dxa" w:w="1512"/>
          </w:tcPr>
          <w:p>
            <w:pPr>
              <w:pStyle w:val="Compact"/>
              <w:spacing w:after="40" w:before="40"/>
              <w:jc w:val="left"/>
            </w:pPr>
            <w:r>
              <w:rPr>
                <w:sz w:val="18"/>
              </w:rPr>
              <w:t xml:space="preserve">v5 mechanism</w:t>
            </w:r>
          </w:p>
        </w:tc>
        <w:tc>
          <w:tcPr>
            <w:tcW w:type="dxa" w:w="2088"/>
          </w:tcPr>
          <w:p>
            <w:pPr>
              <w:pStyle w:val="Compact"/>
              <w:spacing w:after="40" w:before="40"/>
              <w:jc w:val="left"/>
            </w:pPr>
            <w:r>
              <w:rPr>
                <w:sz w:val="18"/>
              </w:rPr>
              <w:t xml:space="preserve">4 scenes, 768 cases</w:t>
            </w:r>
          </w:p>
        </w:tc>
        <w:tc>
          <w:tcPr>
            <w:tcW w:type="dxa" w:w="3312"/>
          </w:tcPr>
          <w:p>
            <w:pPr>
              <w:pStyle w:val="Compact"/>
              <w:spacing w:after="40" w:before="40"/>
              <w:jc w:val="left"/>
            </w:pPr>
            <w:r>
              <w:rPr>
                <w:sz w:val="18"/>
              </w:rPr>
              <w:t xml:space="preserve">142 opacity cases across all 4 datasets; 29 crossover keys</w:t>
            </w:r>
          </w:p>
        </w:tc>
        <w:tc>
          <w:tcPr>
            <w:tcW w:type="dxa" w:w="3312"/>
          </w:tcPr>
          <w:p>
            <w:pPr>
              <w:pStyle w:val="Compact"/>
              <w:spacing w:after="40" w:before="40"/>
              <w:jc w:val="left"/>
            </w:pPr>
            <w:r>
              <w:rPr>
                <w:sz w:val="18"/>
              </w:rPr>
              <w:t xml:space="preserve">Opacity: 251</w:t>
            </w:r>
            <w:r>
              <w:rPr>
                <w:sz w:val="18"/>
              </w:rPr>
              <w:t xml:space="preserve"> </w:t>
            </w:r>
            <w:r>
              <w:rPr>
                <w:smallCaps/>
                <w:sz w:val="18"/>
              </w:rPr>
              <w:t xml:space="preserve">Local</w:t>
            </w:r>
            <w:r>
              <w:rPr>
                <w:sz w:val="18"/>
              </w:rPr>
              <w:t xml:space="preserve">/133</w:t>
            </w:r>
            <w:r>
              <w:rPr>
                <w:sz w:val="18"/>
              </w:rPr>
              <w:t xml:space="preserve"> </w:t>
            </w:r>
            <w:r>
              <w:rPr>
                <w:smallCaps/>
                <w:sz w:val="18"/>
              </w:rPr>
              <w:t xml:space="preserve">Full</w:t>
            </w:r>
            <w:r>
              <w:rPr>
                <w:sz w:val="18"/>
              </w:rPr>
              <w:t xml:space="preserve">. Translation control: 0 non-zero</w:t>
            </w:r>
            <w:r>
              <w:rPr>
                <w:sz w:val="18"/>
              </w:rPr>
              <w:t xml:space="preserve"> </w:t>
            </w:r>
            <w:r>
              <w:rPr>
                <w:smallCaps/>
                <w:sz w:val="18"/>
              </w:rPr>
              <w:t xml:space="preserve">Local</w:t>
            </w:r>
            <w:r>
              <w:rPr>
                <w:sz w:val="18"/>
              </w:rPr>
              <w:t xml:space="preserve">, 0 crossovers.</w:t>
            </w:r>
          </w:p>
        </w:tc>
      </w:tr>
      <w:tr>
        <w:trPr>
          <w:cantSplit/>
        </w:trPr>
        <w:tc>
          <w:tcPr>
            <w:tcW w:type="dxa" w:w="1512"/>
          </w:tcPr>
          <w:p>
            <w:pPr>
              <w:pStyle w:val="Compact"/>
              <w:spacing w:after="40" w:before="40"/>
              <w:jc w:val="left"/>
            </w:pPr>
            <w:r>
              <w:rPr>
                <w:sz w:val="18"/>
              </w:rPr>
              <w:t xml:space="preserve">v6 confirmation</w:t>
            </w:r>
          </w:p>
        </w:tc>
        <w:tc>
          <w:tcPr>
            <w:tcW w:type="dxa" w:w="2088"/>
          </w:tcPr>
          <w:p>
            <w:pPr>
              <w:pStyle w:val="Compact"/>
              <w:spacing w:after="40" w:before="40"/>
              <w:jc w:val="left"/>
            </w:pPr>
            <w:r>
              <w:rPr>
                <w:sz w:val="18"/>
              </w:rPr>
              <w:t xml:space="preserve">20 scenes, 3,840 cases</w:t>
            </w:r>
          </w:p>
        </w:tc>
        <w:tc>
          <w:tcPr>
            <w:tcW w:type="dxa" w:w="3312"/>
          </w:tcPr>
          <w:p>
            <w:pPr>
              <w:pStyle w:val="Compact"/>
              <w:spacing w:after="40" w:before="40"/>
              <w:jc w:val="left"/>
            </w:pPr>
            <w:r>
              <w:rPr>
                <w:sz w:val="18"/>
              </w:rPr>
              <w:t xml:space="preserve">687 cases; all 20 scenes and all 4 datasets; 151 crossover groups</w:t>
            </w:r>
          </w:p>
        </w:tc>
        <w:tc>
          <w:tcPr>
            <w:tcW w:type="dxa" w:w="3312"/>
          </w:tcPr>
          <w:p>
            <w:pPr>
              <w:pStyle w:val="Compact"/>
              <w:spacing w:after="40" w:before="40"/>
              <w:jc w:val="left"/>
            </w:pPr>
            <w:r>
              <w:rPr>
                <w:sz w:val="18"/>
              </w:rPr>
              <w:t xml:space="preserve">Scene-level opacity–translation difference 0.477, 95% CI [0.432, 0.517]; all frozen gates pass.</w:t>
            </w:r>
          </w:p>
        </w:tc>
      </w:tr>
    </w:tbl>
    <w:bookmarkEnd w:id="69"/>
    <w:p>
      <w:pPr>
        <w:pStyle w:val="BodyText"/>
      </w:pPr>
      <w:r>
        <w:t xml:space="preserve">The same-opacity legacy-envelope counterfactual provides a direct mechanism check in v6. Holding the physical opacity edit fixed, the delta-sensitive certificate rescues a mean 0.531 of cases per scene that the legacy envelope would reject (95% interval [0.512, 0.549]); all 20 scenes contain at least one such rescue. The median scene-level ratio of legacy residual bound to delta-sensitive bound is 122.3. This comparison addresses sensitivity; tightness remains a separate question. The accepted cases remain far from the tolerance boundary: the largest scene maximum of measured residual divided by epsilon is 0.0812, the median of those scene maxima is 0.0195, and there are no near-boundary local cases. The median scene-level residual effectivity is approximately 1168, so conservatism remains measured alongside the positive locality result.</w:t>
      </w:r>
    </w:p>
    <w:bookmarkStart w:id="70" w:name="tab:v6-scene"/>
    <w:p>
      <w:pPr>
        <w:pStyle w:val="TableCaption"/>
        <w:keepNext/>
      </w:pPr>
      <w:r>
        <w:t xml:space="preserve">Table 6. </w:t>
      </w:r>
      <w:r>
        <w:t xml:space="preserve">Scene-level v6 confirmation. Intervals are dataset-stratified scene-bootstrap 95% intervals over 20 scenes; pooled case totals serve as descriptive evidence, with inference at scene level.</w:t>
      </w:r>
    </w:p>
    <w:tbl>
      <w:tblPr>
        <w:tblW w:type="auto" w:w="0"/>
        <w:tblLayout w:type="fixed"/>
        <w:tblLook w:firstRow="1" w:lastRow="0" w:firstColumn="0" w:lastColumn="0" w:noHBand="0" w:noVBand="0" w:val="0020"/>
        <w:jc w:val="start"/>
        <w:tblCaption w:val="Scene-level v6 confirmation. Intervals are dataset-stratified scene-bootstrap 95% intervals over 20 scenes; pooled case totals serve as descriptive evidence, with inference at scene level."/>
        <w:tblBorders>
          <w:top w:val="single" w:sz="4" w:color="B0B0B0"/>
          <w:bottom w:val="single" w:sz="4" w:color="B0B0B0"/>
          <w:insideH w:val="single" w:sz="4" w:color="B0B0B0"/>
        </w:tblBorders>
      </w:tblPr>
      <w:tblGrid>
        <w:gridCol w:w="6912"/>
        <w:gridCol w:w="3312"/>
      </w:tblGrid>
      <w:tr>
        <w:trPr>
          <w:tblHeader w:val="true"/>
          <w:cantSplit/>
          <w:tblHeader/>
        </w:trPr>
        <w:tc>
          <w:tcPr>
            <w:tcW w:type="dxa" w:w="6912"/>
          </w:tcPr>
          <w:p>
            <w:pPr>
              <w:pStyle w:val="Compact"/>
              <w:spacing w:after="40" w:before="40"/>
              <w:jc w:val="left"/>
            </w:pPr>
            <w:r>
              <w:rPr>
                <w:b/>
                <w:sz w:val="18"/>
              </w:rPr>
              <w:t xml:space="preserve">Metric</w:t>
            </w:r>
          </w:p>
        </w:tc>
        <w:tc>
          <w:tcPr>
            <w:tcW w:type="dxa" w:w="3312"/>
          </w:tcPr>
          <w:p>
            <w:pPr>
              <w:pStyle w:val="Compact"/>
              <w:spacing w:after="40" w:before="40"/>
              <w:jc w:val="left"/>
            </w:pPr>
            <w:r>
              <w:rPr>
                <w:b/>
                <w:sz w:val="18"/>
              </w:rPr>
              <w:t xml:space="preserve">Result</w:t>
            </w:r>
          </w:p>
        </w:tc>
      </w:tr>
      <w:tr>
        <w:trPr>
          <w:cantSplit/>
        </w:trPr>
        <w:tc>
          <w:tcPr>
            <w:tcW w:type="dxa" w:w="6912"/>
          </w:tcPr>
          <w:p>
            <w:pPr>
              <w:pStyle w:val="Compact"/>
              <w:spacing w:after="40" w:before="40"/>
              <w:jc w:val="left"/>
            </w:pPr>
            <w:r>
              <w:rPr>
                <w:sz w:val="18"/>
              </w:rPr>
              <w:t xml:space="preserve">Scenes with non-zero opacity</w:t>
            </w:r>
            <w:r>
              <w:rPr>
                <w:sz w:val="18"/>
              </w:rPr>
              <w:t xml:space="preserve"> </w:t>
            </w:r>
            <w:r>
              <w:rPr>
                <w:smallCaps/>
                <w:sz w:val="18"/>
              </w:rPr>
              <w:t xml:space="preserve">Local</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Scenes with opacity tolerance crossover</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Opacity non-zero-local rate</w:t>
            </w:r>
          </w:p>
        </w:tc>
        <w:tc>
          <w:tcPr>
            <w:tcW w:type="dxa" w:w="3312"/>
          </w:tcPr>
          <w:p>
            <w:pPr>
              <w:pStyle w:val="Compact"/>
              <w:spacing w:after="40" w:before="40"/>
              <w:jc w:val="left"/>
            </w:pPr>
            <w:r>
              <w:rPr>
                <w:sz w:val="18"/>
              </w:rPr>
              <w:t xml:space="preserve">0.477 [0.432, 0.517]</w:t>
            </w:r>
          </w:p>
        </w:tc>
      </w:tr>
      <w:tr>
        <w:trPr>
          <w:cantSplit/>
        </w:trPr>
        <w:tc>
          <w:tcPr>
            <w:tcW w:type="dxa" w:w="6912"/>
          </w:tcPr>
          <w:p>
            <w:pPr>
              <w:pStyle w:val="Compact"/>
              <w:spacing w:after="40" w:before="40"/>
              <w:jc w:val="left"/>
            </w:pPr>
            <w:r>
              <w:rPr>
                <w:sz w:val="18"/>
              </w:rPr>
              <w:t xml:space="preserve">Translation non-zero-local rate</w:t>
            </w:r>
          </w:p>
        </w:tc>
        <w:tc>
          <w:tcPr>
            <w:tcW w:type="dxa" w:w="3312"/>
          </w:tcPr>
          <w:p>
            <w:pPr>
              <w:pStyle w:val="Compact"/>
              <w:spacing w:after="40" w:before="40"/>
              <w:jc w:val="left"/>
            </w:pPr>
            <w:r>
              <w:rPr>
                <w:sz w:val="18"/>
              </w:rPr>
              <w:t xml:space="preserve">0.000 [0.000, 0.000]</w:t>
            </w:r>
          </w:p>
        </w:tc>
      </w:tr>
      <w:tr>
        <w:trPr>
          <w:cantSplit/>
        </w:trPr>
        <w:tc>
          <w:tcPr>
            <w:tcW w:type="dxa" w:w="6912"/>
          </w:tcPr>
          <w:p>
            <w:pPr>
              <w:pStyle w:val="Compact"/>
              <w:spacing w:after="40" w:before="40"/>
              <w:jc w:val="left"/>
            </w:pPr>
            <w:r>
              <w:rPr>
                <w:sz w:val="18"/>
              </w:rPr>
              <w:t xml:space="preserve">Same-opacity legacy-envelope rescue rate</w:t>
            </w:r>
          </w:p>
        </w:tc>
        <w:tc>
          <w:tcPr>
            <w:tcW w:type="dxa" w:w="3312"/>
          </w:tcPr>
          <w:p>
            <w:pPr>
              <w:pStyle w:val="Compact"/>
              <w:spacing w:after="40" w:before="40"/>
              <w:jc w:val="left"/>
            </w:pPr>
            <w:r>
              <w:rPr>
                <w:sz w:val="18"/>
              </w:rPr>
              <w:t xml:space="preserve">0.531 [0.512, 0.549]</w:t>
            </w:r>
          </w:p>
        </w:tc>
      </w:tr>
      <w:tr>
        <w:trPr>
          <w:cantSplit/>
        </w:trPr>
        <w:tc>
          <w:tcPr>
            <w:tcW w:type="dxa" w:w="6912"/>
          </w:tcPr>
          <w:p>
            <w:pPr>
              <w:pStyle w:val="Compact"/>
              <w:spacing w:after="40" w:before="40"/>
              <w:jc w:val="left"/>
            </w:pPr>
            <w:r>
              <w:rPr>
                <w:sz w:val="18"/>
              </w:rPr>
              <w:t xml:space="preserve">Largest scene maximum of residual / epsilon</w:t>
            </w:r>
          </w:p>
        </w:tc>
        <w:tc>
          <w:tcPr>
            <w:tcW w:type="dxa" w:w="3312"/>
          </w:tcPr>
          <w:p>
            <w:pPr>
              <w:pStyle w:val="Compact"/>
              <w:spacing w:after="40" w:before="40"/>
              <w:jc w:val="left"/>
            </w:pPr>
            <w:r>
              <w:rPr>
                <w:sz w:val="18"/>
              </w:rPr>
              <w:t xml:space="preserve">0.0812</w:t>
            </w:r>
          </w:p>
        </w:tc>
      </w:tr>
      <w:tr>
        <w:trPr>
          <w:cantSplit/>
        </w:trPr>
        <w:tc>
          <w:tcPr>
            <w:tcW w:type="dxa" w:w="6912"/>
          </w:tcPr>
          <w:p>
            <w:pPr>
              <w:pStyle w:val="Compact"/>
              <w:spacing w:after="40" w:before="40"/>
              <w:jc w:val="left"/>
            </w:pPr>
            <w:r>
              <w:rPr>
                <w:sz w:val="18"/>
              </w:rPr>
              <w:t xml:space="preserve">Median scene residual effectivity</w:t>
            </w:r>
          </w:p>
        </w:tc>
        <w:tc>
          <w:tcPr>
            <w:tcW w:type="dxa" w:w="3312"/>
          </w:tcPr>
          <w:p>
            <w:pPr>
              <w:pStyle w:val="Compact"/>
              <w:spacing w:after="40" w:before="40"/>
              <w:jc w:val="left"/>
            </w:pPr>
            <w:r>
              <w:rPr>
                <w:sz w:val="18"/>
              </w:rPr>
              <w:t xml:space="preserve">1168.2</w:t>
            </w:r>
          </w:p>
        </w:tc>
      </w:tr>
    </w:tbl>
    <w:bookmarkEnd w:id="70"/>
    <w:bookmarkEnd w:id="71"/>
    <w:bookmarkStart w:id="72" w:name="baselines-and-ablations-1"/>
    <w:p>
      <w:pPr>
        <w:pStyle w:val="Heading2"/>
      </w:pPr>
      <w:r>
        <w:rPr>
          <w:rStyle w:val="SectionNumber"/>
        </w:rPr>
        <w:t xml:space="preserve">7.6</w:t>
      </w:r>
      <w:r>
        <w:tab/>
      </w:r>
      <w:r>
        <w:t xml:space="preserve">Baselines and ablations</w:t>
      </w:r>
    </w:p>
    <w:p>
      <w:pPr>
        <w:pStyle w:val="FirstParagraph"/>
      </w:pPr>
      <w:r>
        <w:t xml:space="preserve">The paired statistics expose both useful separation and neutral mechanisms. Against</w:t>
      </w:r>
      <w:r>
        <w:t xml:space="preserve"> </w:t>
      </w:r>
      <w:r>
        <w:rPr>
          <w:smallCaps/>
        </w:rPr>
        <w:t xml:space="preserve">Full</w:t>
      </w:r>
      <w:r>
        <w:t xml:space="preserve">, all 1,275 cases are jointly certified; CBRC uses lower calibrated work in 935 and ties in 340, with exact two-sided sign-test</w:t>
      </w:r>
      <w:r>
        <w:t xml:space="preserve"> </w:t>
      </w:r>
      <m:oMath>
        <m:r>
          <m:t>p</m:t>
        </m:r>
        <m:r>
          <m:rPr>
            <m:sty m:val="p"/>
          </m:rPr>
          <m:t>=</m:t>
        </m:r>
        <m:r>
          <m:t>6.89</m:t>
        </m:r>
        <m:r>
          <m:rPr>
            <m:sty m:val="p"/>
          </m:rPr>
          <m:t>×</m:t>
        </m:r>
        <m:sSup>
          <m:e>
            <m:r>
              <m:t>10</m:t>
            </m:r>
          </m:e>
          <m:sup>
            <m:r>
              <m:rPr>
                <m:sty m:val="p"/>
              </m:rPr>
              <m:t>−</m:t>
            </m:r>
            <m:r>
              <m:t>282</m:t>
            </m:r>
          </m:sup>
        </m:sSup>
      </m:oMath>
      <w:r>
        <w:t xml:space="preserve">. Replacing the exterior tail with a global-norm bound produces the same 935-versus-340 separation, showing that the localized tail is the dominant source of work reduction on this matrix.</w:t>
      </w:r>
    </w:p>
    <w:p>
      <w:pPr>
        <w:pStyle w:val="BodyText"/>
      </w:pPr>
      <w:r>
        <w:t xml:space="preserve">Several comparisons are neutral. Empirical ordering followed by analytic re-certification ties CBRC in all 1,275 jointly certified cases. Five ablations also tie on aggregate work: Gaussian bound, hard/soft distinction, predecessor closure, QoI specialization, and temporal bound. Exact-only and fixed-radius policies certify 340 of 1,275 cases. The changed-fraction policy certifies 537. Removing fallback leaves 340 certified cases. We retain these results because the experiment characterizes the contract instead of forcing every mechanism to separate.</w:t>
      </w:r>
    </w:p>
    <w:bookmarkEnd w:id="72"/>
    <w:bookmarkEnd w:id="73"/>
    <w:bookmarkStart w:id="83" w:name="discussion"/>
    <w:p>
      <w:pPr>
        <w:pStyle w:val="Heading1"/>
      </w:pPr>
      <w:r>
        <w:rPr>
          <w:rStyle w:val="SectionNumber"/>
        </w:rPr>
        <w:t xml:space="preserve">8</w:t>
      </w:r>
      <w:r>
        <w:tab/>
      </w:r>
      <w:r>
        <w:t xml:space="preserve">Discussion</w:t>
      </w:r>
    </w:p>
    <w:bookmarkStart w:id="74" w:name="what-the-evidence-establishes"/>
    <w:p>
      <w:pPr>
        <w:pStyle w:val="Heading2"/>
      </w:pPr>
      <w:r>
        <w:rPr>
          <w:rStyle w:val="SectionNumber"/>
        </w:rPr>
        <w:t xml:space="preserve">8.1</w:t>
      </w:r>
      <w:r>
        <w:tab/>
      </w:r>
      <w:r>
        <w:t xml:space="preserve">What the evidence establishes</w:t>
      </w:r>
    </w:p>
    <w:p>
      <w:pPr>
        <w:pStyle w:val="FirstParagraph"/>
      </w:pPr>
      <w:r>
        <w:t xml:space="preserve">The broad campaign establishes the normal operating envelope: independent replay exercises both local repair and full fallback across four datasets and two representation classes, with work reduction varying by dataset, edit family, and coupling strength. The residual-sensitive sequence answers a different question. V4 shows that a magnitude-insensitive image certificate can erase useful locality even when the repair itself is graded; V5 isolates a certificate change that restores non-zero opacity locality while leaving the translation control unchanged; and V6 tests the same mechanism on a wider frozen scene set. Taken together, the stages separate implementation fidelity, certificate sensitivity, and breadth instead of compressing them into one aggregate success metric.</w:t>
      </w:r>
    </w:p>
    <w:p>
      <w:pPr>
        <w:pStyle w:val="BodyText"/>
      </w:pPr>
      <w:r>
        <w:t xml:space="preserve">The result is best understood as a systems contract built from established dependency and error-estimation ideas. Dependency-aware recomputation, self-adjusting computation, norm bounds, and goal-oriented error estimation provide the underlying traditions. CBRC specializes them into a persistent captured-world rule that requires exact structural closure, conservative exterior accounting, output-specific tolerances, a frozen work crossover, explicit fallback, immutable evidence, and independent full-after falsification.</w:t>
      </w:r>
    </w:p>
    <w:bookmarkEnd w:id="74"/>
    <w:bookmarkStart w:id="81" w:name="limitations"/>
    <w:p>
      <w:pPr>
        <w:pStyle w:val="Heading2"/>
      </w:pPr>
      <w:r>
        <w:rPr>
          <w:rStyle w:val="SectionNumber"/>
        </w:rPr>
        <w:t xml:space="preserve">8.2</w:t>
      </w:r>
      <w:r>
        <w:tab/>
      </w:r>
      <w:r>
        <w:t xml:space="preserve">Limitations</w:t>
      </w:r>
    </w:p>
    <w:bookmarkStart w:id="75" w:name="X3dd20d9e9f03d02c05d7041b35ed7e30f0fc43a"/>
    <w:p>
      <w:pPr>
        <w:pStyle w:val="Heading4"/>
      </w:pPr>
      <w:r>
        <w:t xml:space="preserve">Correctness and certificate tightness remain separate.</w:t>
      </w:r>
    </w:p>
    <w:p>
      <w:pPr>
        <w:pStyle w:val="FirstParagraph"/>
      </w:pPr>
      <w:r>
        <w:t xml:space="preserve">The broad campaign is exact at the audited 8-bit raster, while v5 and v6 demonstrate certified non-zero residuals. That closes the earlier evidence gap while leaving certificate tightness unresolved. Accepted v6 cases remain comfortably inside the tolerance boundary and residual effectivity remains high (Table 6), showing substantial safety margin alongside substantial conservatism. The supported claim is repeatable residual-sensitive locality under the tested opacity-only assumptions; tighter display-space error estimation remains open.</w:t>
      </w:r>
    </w:p>
    <w:bookmarkEnd w:id="75"/>
    <w:bookmarkStart w:id="76" w:name="X5849c22a44d2c0856a55e902847917a7307dde0"/>
    <w:p>
      <w:pPr>
        <w:pStyle w:val="Heading4"/>
      </w:pPr>
      <w:r>
        <w:t xml:space="preserve">Calibrated work is distinct from runtime.</w:t>
      </w:r>
    </w:p>
    <w:p>
      <w:pPr>
        <w:pStyle w:val="FirstParagraph"/>
      </w:pPr>
      <w:r>
        <w:t xml:space="preserve">The headline work result is a frozen four-domain accounting ratio. It captures heterogeneous work under a versioned calibration while omitting allocator behavior, synchronization, cache locality, command submission, and pipeline overlap. Paired end-to-end timing therefore remains a separate matched-runtime study.</w:t>
      </w:r>
    </w:p>
    <w:bookmarkEnd w:id="76"/>
    <w:bookmarkStart w:id="77" w:name="X2365b001744f4c2f543c90fcb9e5db402bb7d25"/>
    <w:p>
      <w:pPr>
        <w:pStyle w:val="Heading4"/>
      </w:pPr>
      <w:r>
        <w:t xml:space="preserve">Representation coverage remains output-side.</w:t>
      </w:r>
    </w:p>
    <w:p>
      <w:pPr>
        <w:pStyle w:val="FirstParagraph"/>
      </w:pPr>
      <w:r>
        <w:t xml:space="preserve">The broad campaign is materially wider than the earlier four-scene experiment: it contains 72 dataset-native geometry worlds and 13 trained 3DGS scenes. Even so, the measured revision path concentrates on Gaussian inspection/update, GPU publication, and temporal output invalidation. The wider observation/TSDF/mesh/texture/material ledger is implemented and regression-tested; an equally broad paper-grade performance campaign for that ledger remains future work.</w:t>
      </w:r>
    </w:p>
    <w:bookmarkEnd w:id="77"/>
    <w:bookmarkStart w:id="78" w:name="Xa0683ce4ad7cba86b3be8bf2130203078c33852"/>
    <w:p>
      <w:pPr>
        <w:pStyle w:val="Heading4"/>
      </w:pPr>
      <w:r>
        <w:t xml:space="preserve">Dataset-normalized worlds measure revision fidelity.</w:t>
      </w:r>
    </w:p>
    <w:p>
      <w:pPr>
        <w:pStyle w:val="FirstParagraph"/>
      </w:pPr>
      <w:r>
        <w:t xml:space="preserve">For 3RScan, ARKitScenes, and Bonn, the benchmark evaluates deterministic seeded Gaussian representations derived from public captured-world assets. The trained GraphDECO subset evaluates pinned trained 3DGS. Selected-to-</w:t>
      </w:r>
      <w:r>
        <w:rPr>
          <w:smallCaps/>
        </w:rPr>
        <w:t xml:space="preserve">Full</w:t>
      </w:r>
      <w:r>
        <w:t xml:space="preserve"> </w:t>
      </w:r>
      <w:r>
        <w:t xml:space="preserve">equality therefore measures revision fidelity within each evaluated representation. Photorealistic reconstruction quality against held-out photographs lies outside this benchmark’s scope.</w:t>
      </w:r>
    </w:p>
    <w:bookmarkEnd w:id="78"/>
    <w:bookmarkStart w:id="79" w:name="X3685eeeb62b2a4a177916a1d22ac9c0ec887228"/>
    <w:p>
      <w:pPr>
        <w:pStyle w:val="Heading4"/>
      </w:pPr>
      <w:r>
        <w:t xml:space="preserve">Some mechanisms are weakly identifiable on the real matrix.</w:t>
      </w:r>
    </w:p>
    <w:p>
      <w:pPr>
        <w:pStyle w:val="FirstParagraph"/>
      </w:pPr>
      <w:r>
        <w:t xml:space="preserve">Several ablations tie the full method on aggregate work and certification. We keep those ties visible. The mechanism-isolation tests establish that those components can become consequential under controlled stress, while the paper-grade matrix shows limited influence from them on aggregate real-scene outcomes.</w:t>
      </w:r>
    </w:p>
    <w:bookmarkEnd w:id="79"/>
    <w:bookmarkStart w:id="80" w:name="X689c205daaaf6af64c9bf5871238fbb527c769c"/>
    <w:p>
      <w:pPr>
        <w:pStyle w:val="Heading4"/>
      </w:pPr>
      <w:r>
        <w:t xml:space="preserve">The planner is deliberately conservative.</w:t>
      </w:r>
    </w:p>
    <w:p>
      <w:pPr>
        <w:pStyle w:val="FirstParagraph"/>
      </w:pPr>
      <w:r>
        <w:t xml:space="preserve">Uniform-scale and adversarial cases trigger many full rebuilds. Those fallbacks are part of the intended behavior: when exterior influence, temporal stability, or work crossover cannot support a local result, the system prefers a full revision. The selected cones carry no global optimality guarantee.</w:t>
      </w:r>
    </w:p>
    <w:bookmarkEnd w:id="80"/>
    <w:bookmarkEnd w:id="81"/>
    <w:bookmarkStart w:id="82" w:name="implications"/>
    <w:p>
      <w:pPr>
        <w:pStyle w:val="Heading2"/>
      </w:pPr>
      <w:r>
        <w:rPr>
          <w:rStyle w:val="SectionNumber"/>
        </w:rPr>
        <w:t xml:space="preserve">8.3</w:t>
      </w:r>
      <w:r>
        <w:tab/>
      </w:r>
      <w:r>
        <w:t xml:space="preserve">Implications</w:t>
      </w:r>
    </w:p>
    <w:p>
      <w:pPr>
        <w:pStyle w:val="FirstParagraph"/>
      </w:pPr>
      <w:r>
        <w:t xml:space="preserve">The main practical lesson is to treat locality as a contract instead of a geometric assumption. A small physical edit is a useful starting cue, but the publishable decision depends on the dependency closure, the protected output, the tolerated residual, and the cost of carrying the repair through derived state. This framing also makes failure informative. A</w:t>
      </w:r>
      <w:r>
        <w:t xml:space="preserve"> </w:t>
      </w:r>
      <w:r>
        <w:rPr>
          <w:smallCaps/>
        </w:rPr>
        <w:t xml:space="preserve">Full</w:t>
      </w:r>
      <w:r>
        <w:t xml:space="preserve"> </w:t>
      </w:r>
      <w:r>
        <w:t xml:space="preserve">result identifies a revision for which the current model cannot justify leaving enough of the world untouched.</w:t>
      </w:r>
    </w:p>
    <w:p>
      <w:pPr>
        <w:pStyle w:val="BodyText"/>
      </w:pPr>
      <w:r>
        <w:t xml:space="preserve">The residual-sensitive experiments make this distinction concrete. A local result can differ measurably from the full-after result and remain admissible when the measured residual stays below both the conservative bound and the declared tolerance. The v4 failure shows that permitting error is insufficient; the certificate must represent residual magnitude. V5 and v6 show that this behavior is repeatable for opacity-only residuals across the tested datasets. The open problem is how far the conservative bound can be tightened while preserving the fail-closed guarantee.</w:t>
      </w:r>
    </w:p>
    <w:bookmarkEnd w:id="82"/>
    <w:bookmarkEnd w:id="83"/>
    <w:bookmarkStart w:id="84" w:name="reproducibility-and-artifact-scope"/>
    <w:p>
      <w:pPr>
        <w:pStyle w:val="Heading1"/>
      </w:pPr>
      <w:r>
        <w:rPr>
          <w:rStyle w:val="SectionNumber"/>
        </w:rPr>
        <w:t xml:space="preserve">9</w:t>
      </w:r>
      <w:r>
        <w:tab/>
      </w:r>
      <w:r>
        <w:t xml:space="preserve">Reproducibility and Artifact Scope</w:t>
      </w:r>
    </w:p>
    <w:p>
      <w:pPr>
        <w:pStyle w:val="FirstParagraph"/>
      </w:pPr>
      <w:r>
        <w:t xml:space="preserve">The base completion manifest binds the 1,275 campaign rows, 85 prepared worlds, dataset import manifests, frozen case matrix, work calibration, visual audit, cross-dataset statistics, tool fingerprints, and evidence Git SHA. The residual-sensitive line keeps v4 and v5 immutable and freezes v6 independently at 20 scenes and 3,840 cases. Its retained evidence includes the frozen campaign and provenance, canonical rows and baselines, scene-level metrics, the generic and v6 audits, the manuscript claim packet, case-decision trace, and deterministic reviewer-figure index. Cases resume only under matching deterministic fingerprints; bulky per-case render material is reproducible and may be compacted after the canonical row, baseline, replay manifest, and completion marker are retained.</w:t>
      </w:r>
    </w:p>
    <w:p>
      <w:pPr>
        <w:pStyle w:val="BodyText"/>
      </w:pPr>
      <w:r>
        <w:t xml:space="preserve">Public datasets remain upstream assets, and the repository excludes their redistribution. The repository contains the dense reference certifier, native planner and Gaussian oracle, trained and seeded representation paths, baseline and ablation suites, deterministic statistics and visual-audit generators, residual-sensitive certificate tests, regression tests, and storage-safe campaign runners. For double-blind review, identifiable repository and author metadata should be replaced with an anonymized frozen supplement that follows the target venue’s policy.</w:t>
      </w:r>
    </w:p>
    <w:bookmarkEnd w:id="84"/>
    <w:bookmarkStart w:id="85" w:name="conclusion"/>
    <w:p>
      <w:pPr>
        <w:pStyle w:val="Heading1"/>
      </w:pPr>
      <w:r>
        <w:rPr>
          <w:rStyle w:val="SectionNumber"/>
        </w:rPr>
        <w:t xml:space="preserve">10</w:t>
      </w:r>
      <w:r>
        <w:tab/>
      </w:r>
      <w:r>
        <w:t xml:space="preserve">Conclusion</w:t>
      </w:r>
    </w:p>
    <w:p>
      <w:pPr>
        <w:pStyle w:val="FirstParagraph"/>
      </w:pPr>
      <w:r>
        <w:t xml:space="preserve">Criticality-Bounded Revision Cones give persistent 3D systems a way to avoid unnecessary global rebuilds while treating spatial locality as a hypothesis that must earn certification. A repair proceeds only when structural dependencies are closed, the effect left outside the selected region stays within the declared output tolerance, and the work remains worthwhile; otherwise MAVEB rebuilds. In the broad campaign, median calibrated selected work is 0.474 of</w:t>
      </w:r>
      <w:r>
        <w:t xml:space="preserve"> </w:t>
      </w:r>
      <w:r>
        <w:rPr>
          <w:smallCaps/>
        </w:rPr>
        <w:t xml:space="preserve">Full</w:t>
      </w:r>
      <w:r>
        <w:t xml:space="preserve">, with both selective maintenance and fail-closed fallback exercised under independent replay. Stronger coupling progressively reduces the opportunity for reuse.</w:t>
      </w:r>
    </w:p>
    <w:p>
      <w:pPr>
        <w:pStyle w:val="BodyText"/>
      </w:pPr>
      <w:r>
        <w:t xml:space="preserve">The residual-sensitive sequence addresses the broad campaign’s exact-output limitation. V4 exposes the original certificate bottleneck, the opacity-delta refinement restores non-zero locality in v5, and the unchanged mechanism survives the 20-scene v6 confirmation. The paired opacity-minus-translation scene-level difference is 0.477 with 95% interval [0.432, 0.517]. Accepted residuals remain far from the tolerance boundary, making certificate tightness the main unresolved technical issue. The practical result is bounded and testable: recomputation shrinks when the dependency and error model can justify it and expands when that justification disappears.</w:t>
      </w:r>
    </w:p>
    <w:bookmarkEnd w:id="85"/>
    <w:bookmarkStart w:id="137" w:name="acknowledgments"/>
    <w:p>
      <w:pPr>
        <w:pStyle w:val="Heading1"/>
      </w:pPr>
      <w:r>
        <w:t xml:space="preserve">Acknowledgments</w:t>
      </w:r>
    </w:p>
    <w:bookmarkStart w:id="86" w:name="dataset-acknowledgments."/>
    <w:p>
      <w:pPr>
        <w:pStyle w:val="Heading4"/>
      </w:pPr>
      <w:r>
        <w:t xml:space="preserve">Dataset acknowledgments.</w:t>
      </w:r>
    </w:p>
    <w:p>
      <w:pPr>
        <w:pStyle w:val="FirstParagraph"/>
      </w:pPr>
      <w:r>
        <w:t xml:space="preserve">We thank the authors and maintainers of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for making their data available for research. We also use pretrained 3DGS models released by GraphDECO</w:t>
      </w:r>
      <w:r>
        <w:t xml:space="preserve"> </w:t>
      </w:r>
      <w:r>
        <w:t xml:space="preserve">(Kerbl et al. 2023)</w:t>
      </w:r>
      <w:r>
        <w:t xml:space="preserve">. Their source scenes come from Mip-NeRF 360</w:t>
      </w:r>
      <w:r>
        <w:t xml:space="preserve"> </w:t>
      </w:r>
      <w:r>
        <w:t xml:space="preserve">(Barron et al. 2022)</w:t>
      </w:r>
      <w:r>
        <w:t xml:space="preserve">, Tanks &amp; Temples</w:t>
      </w:r>
      <w:r>
        <w:t xml:space="preserve"> </w:t>
      </w:r>
      <w:r>
        <w:t xml:space="preserve">(Knapitsch et al. 2017)</w:t>
      </w:r>
      <w:r>
        <w:t xml:space="preserve">, and Deep Blending</w:t>
      </w:r>
      <w:r>
        <w:t xml:space="preserve"> </w:t>
      </w:r>
      <w:r>
        <w:t xml:space="preserve">(Hedman et al. 2018)</w:t>
      </w:r>
      <w:r>
        <w:t xml:space="preserve">. These citations follow the dataset providers’ requested publication references; upstream assets remain under their original terms and are not redistributed with this repository.</w:t>
      </w:r>
    </w:p>
    <w:bookmarkEnd w:id="86"/>
    <w:bookmarkStart w:id="136" w:name="generative-ai-use-disclosure."/>
    <w:p>
      <w:pPr>
        <w:pStyle w:val="Heading4"/>
      </w:pPr>
      <w:r>
        <w:t xml:space="preserve">Generative AI use disclosure.</w:t>
      </w:r>
    </w:p>
    <w:p>
      <w:pPr>
        <w:pStyle w:val="FirstParagraph"/>
      </w:pPr>
      <w:r>
        <w:t xml:space="preserve">OpenAI ChatGPT was used for literature-search support, software and scripting assistance, debugging, experiment planning, visualization and manuscript tooling, and drafting or language editing. Reported measurements and frozen evidence came from project software and experimental artifacts. The author is responsible for the code, citations, analysis, claims, conclusions, and final text; no generative AI system is listed as an author.</w:t>
      </w:r>
    </w:p>
    <w:bookmarkStart w:id="135" w:name="refs"/>
    <w:bookmarkStart w:id="88"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7">
        <w:r>
          <w:rPr>
            <w:rStyle w:val="Hyperlink"/>
          </w:rPr>
          <w:t xml:space="preserve">https://doi.org/10.1017/S0956796813000099</w:t>
        </w:r>
      </w:hyperlink>
      <w:r>
        <w:t xml:space="preserve">.</w:t>
      </w:r>
    </w:p>
    <w:bookmarkEnd w:id="88"/>
    <w:bookmarkStart w:id="89"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89"/>
    <w:bookmarkStart w:id="91"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0">
        <w:r>
          <w:rPr>
            <w:rStyle w:val="Hyperlink"/>
          </w:rPr>
          <w:t xml:space="preserve">https://doi.org/10.2312/EGWR/EGWR99/031-044</w:t>
        </w:r>
      </w:hyperlink>
      <w:r>
        <w:t xml:space="preserve">.</w:t>
      </w:r>
    </w:p>
    <w:bookmarkEnd w:id="91"/>
    <w:bookmarkStart w:id="93" w:name="ref-barron2022mipnerf360"/>
    <w:p>
      <w:pPr>
        <w:pStyle w:val="Bibliography"/>
      </w:pPr>
      <w:r>
        <w:t xml:space="preserve">Barron, Jonathan T., Ben Mildenhall, Dor Verbin, Pratul P. Srinivasan, and Peter Hedman. 2022.</w:t>
      </w:r>
      <w:r>
        <w:t xml:space="preserve"> </w:t>
      </w:r>
      <w:r>
        <w:t xml:space="preserve">“Mip-NeRF 360: Unbounded Anti-Aliased Neural Radiance Fields.”</w:t>
      </w:r>
      <w:r>
        <w:t xml:space="preserve"> </w:t>
      </w:r>
      <w:r>
        <w:t xml:space="preserve">In</w:t>
      </w:r>
      <w:r>
        <w:t xml:space="preserve"> </w:t>
      </w:r>
      <w:r>
        <w:rPr>
          <w:iCs/>
          <w:i/>
        </w:rPr>
        <w:t xml:space="preserve">Proceedings of the IEEE/CVF Conference on Computer Vision and Pattern Recognition</w:t>
      </w:r>
      <w:r>
        <w:t xml:space="preserve">, 5470–79.</w:t>
      </w:r>
      <w:r>
        <w:t xml:space="preserve"> </w:t>
      </w:r>
      <w:hyperlink r:id="rId92">
        <w:r>
          <w:rPr>
            <w:rStyle w:val="Hyperlink"/>
          </w:rPr>
          <w:t xml:space="preserve">https://doi.org/10.1109/CVPR52688.2022.00539</w:t>
        </w:r>
      </w:hyperlink>
      <w:r>
        <w:t xml:space="preserve">.</w:t>
      </w:r>
    </w:p>
    <w:bookmarkEnd w:id="93"/>
    <w:bookmarkStart w:id="94" w:name="ref-baruch2021arkitscenes"/>
    <w:p>
      <w:pPr>
        <w:pStyle w:val="Bibliography"/>
      </w:pPr>
      <w:r>
        <w:t xml:space="preserve">Baruch, Gilad, Zhuoyuan Chen, Afshin Dehghan, Tal Dimry, Yuri Feigin, Peter Fu, Thomas Gebauer, et al. 2021.</w:t>
      </w:r>
      <w:r>
        <w:t xml:space="preserve"> </w:t>
      </w:r>
      <w:r>
        <w:t xml:space="preserve">“</w:t>
      </w:r>
      <w:r>
        <w:t xml:space="preserve">ARKitScenes</w:t>
      </w:r>
      <w:r>
        <w:t xml:space="preserve">: A Diverse Real-World Dataset for 3D Indoor Scene Understanding Using Mobile</w:t>
      </w:r>
      <w:r>
        <w:t xml:space="preserve"> </w:t>
      </w:r>
      <w:r>
        <w:t xml:space="preserve">RGB-D</w:t>
      </w:r>
      <w:r>
        <w:t xml:space="preserve"> </w:t>
      </w:r>
      <w:r>
        <w:t xml:space="preserve">Data.”</w:t>
      </w:r>
      <w:r>
        <w:t xml:space="preserve"> </w:t>
      </w:r>
      <w:r>
        <w:t xml:space="preserve">In</w:t>
      </w:r>
      <w:r>
        <w:t xml:space="preserve"> </w:t>
      </w:r>
      <w:r>
        <w:rPr>
          <w:iCs/>
          <w:i/>
        </w:rPr>
        <w:t xml:space="preserve">Advances in Neural Information Processing Systems: Datasets and Benchmarks Track</w:t>
      </w:r>
      <w:r>
        <w:t xml:space="preserve">.</w:t>
      </w:r>
    </w:p>
    <w:bookmarkEnd w:id="94"/>
    <w:bookmarkStart w:id="96"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5">
        <w:r>
          <w:rPr>
            <w:rStyle w:val="Hyperlink"/>
          </w:rPr>
          <w:t xml:space="preserve">https://doi.org/10.1109/CVPR52733.2024.02029</w:t>
        </w:r>
      </w:hyperlink>
      <w:r>
        <w:t xml:space="preserve">.</w:t>
      </w:r>
    </w:p>
    <w:bookmarkEnd w:id="96"/>
    <w:bookmarkStart w:id="97"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7"/>
    <w:bookmarkStart w:id="99"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98">
        <w:r>
          <w:rPr>
            <w:rStyle w:val="Hyperlink"/>
          </w:rPr>
          <w:t xml:space="preserve">https://doi.org/10.1145/3072959.3054739</w:t>
        </w:r>
      </w:hyperlink>
      <w:r>
        <w:t xml:space="preserve">.</w:t>
      </w:r>
    </w:p>
    <w:bookmarkEnd w:id="99"/>
    <w:bookmarkStart w:id="100"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100"/>
    <w:bookmarkStart w:id="101"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101"/>
    <w:bookmarkStart w:id="103"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102">
        <w:r>
          <w:rPr>
            <w:rStyle w:val="Hyperlink"/>
          </w:rPr>
          <w:t xml:space="preserve">https://doi.org/10.1145/3272127.3275084</w:t>
        </w:r>
      </w:hyperlink>
      <w:r>
        <w:t xml:space="preserve">.</w:t>
      </w:r>
    </w:p>
    <w:bookmarkEnd w:id="103"/>
    <w:bookmarkStart w:id="105"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04">
        <w:r>
          <w:rPr>
            <w:rStyle w:val="Hyperlink"/>
          </w:rPr>
          <w:t xml:space="preserve">https://doi.org/10.1109/CVPR52733.2024.00404</w:t>
        </w:r>
      </w:hyperlink>
      <w:r>
        <w:t xml:space="preserve">.</w:t>
      </w:r>
    </w:p>
    <w:bookmarkEnd w:id="105"/>
    <w:bookmarkStart w:id="106"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06"/>
    <w:bookmarkStart w:id="108"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7">
        <w:r>
          <w:rPr>
            <w:rStyle w:val="Hyperlink"/>
          </w:rPr>
          <w:t xml:space="preserve">https://doi.org/10.1145/3592433</w:t>
        </w:r>
      </w:hyperlink>
      <w:r>
        <w:t xml:space="preserve">.</w:t>
      </w:r>
    </w:p>
    <w:bookmarkEnd w:id="108"/>
    <w:bookmarkStart w:id="110"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09">
        <w:r>
          <w:rPr>
            <w:rStyle w:val="Hyperlink"/>
          </w:rPr>
          <w:t xml:space="preserve">https://doi.org/10.1145/3072959.3073599</w:t>
        </w:r>
      </w:hyperlink>
      <w:r>
        <w:t xml:space="preserve">.</w:t>
      </w:r>
    </w:p>
    <w:bookmarkEnd w:id="110"/>
    <w:bookmarkStart w:id="112"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11">
        <w:r>
          <w:rPr>
            <w:rStyle w:val="Hyperlink"/>
          </w:rPr>
          <w:t xml:space="preserve">https://doi.org/10.1109/3DV62453.2024.00044</w:t>
        </w:r>
      </w:hyperlink>
      <w:r>
        <w:t xml:space="preserve">.</w:t>
      </w:r>
    </w:p>
    <w:bookmarkEnd w:id="112"/>
    <w:bookmarkStart w:id="114"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13">
        <w:r>
          <w:rPr>
            <w:rStyle w:val="Hyperlink"/>
          </w:rPr>
          <w:t xml:space="preserve">https://doi.org/10.1109/CVPR52733.2024.01708</w:t>
        </w:r>
      </w:hyperlink>
      <w:r>
        <w:t xml:space="preserve">.</w:t>
      </w:r>
    </w:p>
    <w:bookmarkEnd w:id="114"/>
    <w:bookmarkStart w:id="115"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15"/>
    <w:bookmarkStart w:id="116"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16"/>
    <w:bookmarkStart w:id="118"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17">
        <w:r>
          <w:rPr>
            <w:rStyle w:val="Hyperlink"/>
          </w:rPr>
          <w:t xml:space="preserve">https://doi.org/10.1016/S0898-1221(00)00317-5</w:t>
        </w:r>
      </w:hyperlink>
      <w:r>
        <w:t xml:space="preserve">.</w:t>
      </w:r>
    </w:p>
    <w:bookmarkEnd w:id="118"/>
    <w:bookmarkStart w:id="119" w:name="ref-palazzolo2019refusion"/>
    <w:p>
      <w:pPr>
        <w:pStyle w:val="Bibliography"/>
      </w:pPr>
      <w:r>
        <w:t xml:space="preserve">Palazzolo, Emanuele, Jens Behley, Philipp Lottes, Philippe Gigu‘ere, and Cyrill Stachniss. 2019.</w:t>
      </w:r>
      <w:r>
        <w:t xml:space="preserve"> </w:t>
      </w:r>
      <w:r>
        <w:t xml:space="preserve">“ReFusion: 3D Reconstruction in Dynamic Environments for</w:t>
      </w:r>
      <w:r>
        <w:t xml:space="preserve"> </w:t>
      </w:r>
      <w:r>
        <w:t xml:space="preserve">RGB-D</w:t>
      </w:r>
      <w:r>
        <w:t xml:space="preserve"> </w:t>
      </w:r>
      <w:r>
        <w:t xml:space="preserve">Cameras Exploiting Residuals.”</w:t>
      </w:r>
      <w:r>
        <w:t xml:space="preserve"> </w:t>
      </w:r>
      <w:r>
        <w:t xml:space="preserve">In</w:t>
      </w:r>
      <w:r>
        <w:t xml:space="preserve"> </w:t>
      </w:r>
      <w:r>
        <w:rPr>
          <w:iCs/>
          <w:i/>
        </w:rPr>
        <w:t xml:space="preserve">IEEE/RSJ International Conference on Intelligent Robots and Systems</w:t>
      </w:r>
      <w:r>
        <w:t xml:space="preserve">.</w:t>
      </w:r>
    </w:p>
    <w:bookmarkEnd w:id="119"/>
    <w:bookmarkStart w:id="121"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20">
        <w:r>
          <w:rPr>
            <w:rStyle w:val="Hyperlink"/>
          </w:rPr>
          <w:t xml:space="preserve">https://doi.org/10.1145/344779.344936</w:t>
        </w:r>
      </w:hyperlink>
      <w:r>
        <w:t xml:space="preserve">.</w:t>
      </w:r>
    </w:p>
    <w:bookmarkEnd w:id="121"/>
    <w:bookmarkStart w:id="123"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22">
        <w:r>
          <w:rPr>
            <w:rStyle w:val="Hyperlink"/>
          </w:rPr>
          <w:t xml:space="preserve">https://doi.org/10.1109/ICCV48922.2021.00617</w:t>
        </w:r>
      </w:hyperlink>
      <w:r>
        <w:t xml:space="preserve">.</w:t>
      </w:r>
    </w:p>
    <w:bookmarkEnd w:id="123"/>
    <w:bookmarkStart w:id="124" w:name="ref-wald2019rio"/>
    <w:p>
      <w:pPr>
        <w:pStyle w:val="Bibliography"/>
      </w:pPr>
      <w:r>
        <w:t xml:space="preserve">Wald, Johanna, Armen Avetisyan, Nassir Navab, Federico Tombari, and Matthias Niessner. 2019.</w:t>
      </w:r>
      <w:r>
        <w:t xml:space="preserve"> </w:t>
      </w:r>
      <w:r>
        <w:t xml:space="preserve">“RIO: 3D Object Instance Re-Localization in Changing Indoor Environments.”</w:t>
      </w:r>
      <w:r>
        <w:t xml:space="preserve"> </w:t>
      </w:r>
      <w:r>
        <w:t xml:space="preserve">In</w:t>
      </w:r>
      <w:r>
        <w:t xml:space="preserve"> </w:t>
      </w:r>
      <w:r>
        <w:rPr>
          <w:iCs/>
          <w:i/>
        </w:rPr>
        <w:t xml:space="preserve">Proceedings of the IEEE/CVF International Conference on Computer Vision</w:t>
      </w:r>
      <w:r>
        <w:t xml:space="preserve">, 7658–67.</w:t>
      </w:r>
    </w:p>
    <w:bookmarkEnd w:id="124"/>
    <w:bookmarkStart w:id="125"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25"/>
    <w:bookmarkStart w:id="127"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26">
        <w:r>
          <w:rPr>
            <w:rStyle w:val="Hyperlink"/>
          </w:rPr>
          <w:t xml:space="preserve">https://doi.org/10.1145/2492045.2492051</w:t>
        </w:r>
      </w:hyperlink>
      <w:r>
        <w:t xml:space="preserve">.</w:t>
      </w:r>
    </w:p>
    <w:bookmarkEnd w:id="127"/>
    <w:bookmarkStart w:id="129"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28">
        <w:r>
          <w:rPr>
            <w:rStyle w:val="Hyperlink"/>
          </w:rPr>
          <w:t xml:space="preserve">https://doi.org/10.1109/CVPR52733.2024.01920</w:t>
        </w:r>
      </w:hyperlink>
      <w:r>
        <w:t xml:space="preserve">.</w:t>
      </w:r>
    </w:p>
    <w:bookmarkEnd w:id="129"/>
    <w:bookmarkStart w:id="130"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30"/>
    <w:bookmarkStart w:id="131"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31"/>
    <w:bookmarkStart w:id="133"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32">
        <w:r>
          <w:rPr>
            <w:rStyle w:val="Hyperlink"/>
          </w:rPr>
          <w:t xml:space="preserve">https://doi.org/10.1109/ICCV51701.2025.02393</w:t>
        </w:r>
      </w:hyperlink>
      <w:r>
        <w:t xml:space="preserve">.</w:t>
      </w:r>
    </w:p>
    <w:bookmarkEnd w:id="133"/>
    <w:bookmarkStart w:id="134"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34"/>
    <w:bookmarkEnd w:id="135"/>
    <w:bookmarkEnd w:id="136"/>
    <w:bookmarkEnd w:id="137"/>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117" Type="http://schemas.openxmlformats.org/officeDocument/2006/relationships/hyperlink" Target="https://doi.org/10.1016/S0898-1221(00)00317-5" TargetMode="External"/><Relationship Id="rId87" Type="http://schemas.openxmlformats.org/officeDocument/2006/relationships/hyperlink" Target="https://doi.org/10.1017/S0956796813000099" TargetMode="External"/><Relationship Id="rId111" Type="http://schemas.openxmlformats.org/officeDocument/2006/relationships/hyperlink" Target="https://doi.org/10.1109/3DV62453.2024.00044" TargetMode="External"/><Relationship Id="rId92" Type="http://schemas.openxmlformats.org/officeDocument/2006/relationships/hyperlink" Target="https://doi.org/10.1109/CVPR52688.2022.00539" TargetMode="External"/><Relationship Id="rId104" Type="http://schemas.openxmlformats.org/officeDocument/2006/relationships/hyperlink" Target="https://doi.org/10.1109/CVPR52733.2024.00404" TargetMode="External"/><Relationship Id="rId113" Type="http://schemas.openxmlformats.org/officeDocument/2006/relationships/hyperlink" Target="https://doi.org/10.1109/CVPR52733.2024.01708" TargetMode="External"/><Relationship Id="rId128" Type="http://schemas.openxmlformats.org/officeDocument/2006/relationships/hyperlink" Target="https://doi.org/10.1109/CVPR52733.2024.01920" TargetMode="External"/><Relationship Id="rId95" Type="http://schemas.openxmlformats.org/officeDocument/2006/relationships/hyperlink" Target="https://doi.org/10.1109/CVPR52733.2024.02029" TargetMode="External"/><Relationship Id="rId122" Type="http://schemas.openxmlformats.org/officeDocument/2006/relationships/hyperlink" Target="https://doi.org/10.1109/ICCV48922.2021.00617" TargetMode="External"/><Relationship Id="rId132" Type="http://schemas.openxmlformats.org/officeDocument/2006/relationships/hyperlink" Target="https://doi.org/10.1109/ICCV51701.2025.02393" TargetMode="External"/><Relationship Id="rId126" Type="http://schemas.openxmlformats.org/officeDocument/2006/relationships/hyperlink" Target="https://doi.org/10.1145/2492045.2492051" TargetMode="External"/><Relationship Id="rId98" Type="http://schemas.openxmlformats.org/officeDocument/2006/relationships/hyperlink" Target="https://doi.org/10.1145/3072959.3054739" TargetMode="External"/><Relationship Id="rId109" Type="http://schemas.openxmlformats.org/officeDocument/2006/relationships/hyperlink" Target="https://doi.org/10.1145/3072959.3073599" TargetMode="External"/><Relationship Id="rId102" Type="http://schemas.openxmlformats.org/officeDocument/2006/relationships/hyperlink" Target="https://doi.org/10.1145/3272127.3275084" TargetMode="External"/><Relationship Id="rId120" Type="http://schemas.openxmlformats.org/officeDocument/2006/relationships/hyperlink" Target="https://doi.org/10.1145/344779.344936" TargetMode="External"/><Relationship Id="rId107" Type="http://schemas.openxmlformats.org/officeDocument/2006/relationships/hyperlink" Target="https://doi.org/10.1145/3592433" TargetMode="External"/><Relationship Id="rId90"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doi.org/10.1016/S0898-1221(00)00317-5" TargetMode="External"/><Relationship Id="rId87" Type="http://schemas.openxmlformats.org/officeDocument/2006/relationships/hyperlink" Target="https://doi.org/10.1017/S0956796813000099" TargetMode="External"/><Relationship Id="rId111" Type="http://schemas.openxmlformats.org/officeDocument/2006/relationships/hyperlink" Target="https://doi.org/10.1109/3DV62453.2024.00044" TargetMode="External"/><Relationship Id="rId92" Type="http://schemas.openxmlformats.org/officeDocument/2006/relationships/hyperlink" Target="https://doi.org/10.1109/CVPR52688.2022.00539" TargetMode="External"/><Relationship Id="rId104" Type="http://schemas.openxmlformats.org/officeDocument/2006/relationships/hyperlink" Target="https://doi.org/10.1109/CVPR52733.2024.00404" TargetMode="External"/><Relationship Id="rId113" Type="http://schemas.openxmlformats.org/officeDocument/2006/relationships/hyperlink" Target="https://doi.org/10.1109/CVPR52733.2024.01708" TargetMode="External"/><Relationship Id="rId128" Type="http://schemas.openxmlformats.org/officeDocument/2006/relationships/hyperlink" Target="https://doi.org/10.1109/CVPR52733.2024.01920" TargetMode="External"/><Relationship Id="rId95" Type="http://schemas.openxmlformats.org/officeDocument/2006/relationships/hyperlink" Target="https://doi.org/10.1109/CVPR52733.2024.02029" TargetMode="External"/><Relationship Id="rId122" Type="http://schemas.openxmlformats.org/officeDocument/2006/relationships/hyperlink" Target="https://doi.org/10.1109/ICCV48922.2021.00617" TargetMode="External"/><Relationship Id="rId132" Type="http://schemas.openxmlformats.org/officeDocument/2006/relationships/hyperlink" Target="https://doi.org/10.1109/ICCV51701.2025.02393" TargetMode="External"/><Relationship Id="rId126" Type="http://schemas.openxmlformats.org/officeDocument/2006/relationships/hyperlink" Target="https://doi.org/10.1145/2492045.2492051" TargetMode="External"/><Relationship Id="rId98" Type="http://schemas.openxmlformats.org/officeDocument/2006/relationships/hyperlink" Target="https://doi.org/10.1145/3072959.3054739" TargetMode="External"/><Relationship Id="rId109" Type="http://schemas.openxmlformats.org/officeDocument/2006/relationships/hyperlink" Target="https://doi.org/10.1145/3072959.3073599" TargetMode="External"/><Relationship Id="rId102" Type="http://schemas.openxmlformats.org/officeDocument/2006/relationships/hyperlink" Target="https://doi.org/10.1145/3272127.3275084" TargetMode="External"/><Relationship Id="rId120" Type="http://schemas.openxmlformats.org/officeDocument/2006/relationships/hyperlink" Target="https://doi.org/10.1145/344779.344936" TargetMode="External"/><Relationship Id="rId107" Type="http://schemas.openxmlformats.org/officeDocument/2006/relationships/hyperlink" Target="https://doi.org/10.1145/3592433" TargetMode="External"/><Relationship Id="rId90"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2026-09-25T06:52:14Z</dcterms:created>
  <dcterms:modified xsi:type="dcterms:W3CDTF">2026-09-25T06:52:14Z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