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captured-world systems maintain more than a geometric model: they accumulate observations, reconstruction state, explicit surface and appearance representations, GPU-published records, and temporal rendering history. When the physical world changes locally, the corresponding computational revision need not be local, and a spatially restricted update can leave stale dependent state outside the edited region. Rebuilding all state avoids this risk but discards locality when most of the world cannot affect the output of interest.</w:t>
      </w:r>
    </w:p>
    <w:p>
      <w:pPr>
        <w:pStyle w:val="BodyText"/>
      </w:pPr>
      <w:r>
        <w:t xml:space="preserve">We present</w:t>
      </w:r>
      <w:r>
        <w:t xml:space="preserve"> </w:t>
      </w:r>
      <w:r>
        <w:rPr>
          <w:iCs/>
          <w:i/>
        </w:rPr>
        <w:t xml:space="preserve">Criticality-Bounded Revision Cones</w:t>
      </w:r>
      <w:r>
        <w:t xml:space="preserve"> </w:t>
      </w:r>
      <w:r>
        <w:t xml:space="preserve">(CBRC), implemented in MAVEB, a fail-closed revision framework that selects regional recomputation only when the unrepaired exterior can be conservatively bounded for an explicit quantity of interest. CBRC combines exact predecessor closure for structural dependencies, conservative finite-change bounds for certifiable soft dependencies, a quantity-of-interest error contract, a frozen heterogeneous work model, and an automatic</w:t>
      </w:r>
      <w:r>
        <w:t xml:space="preserve"> </w:t>
      </w:r>
      <w:r>
        <w:rPr>
          <w:smallCaps/>
        </w:rPr>
        <w:t xml:space="preserve">Full</w:t>
      </w:r>
      <w:r>
        <w:t xml:space="preserve"> </w:t>
      </w:r>
      <w:r>
        <w:t xml:space="preserve">fallback. Every selected result is replayed against an independent full-after reference; the experimental contract is measured full-reference error</w:t>
      </w:r>
      <w:r>
        <w:t xml:space="preserve"> </w:t>
      </w:r>
      <m:oMath>
        <m:r>
          <m:rPr>
            <m:sty m:val="p"/>
          </m:rPr>
          <m:t>≤</m:t>
        </m:r>
      </m:oMath>
      <w:r>
        <w:t xml:space="preserve"> </w:t>
      </w:r>
      <w:r>
        <w:t xml:space="preserve">emitted bound</w:t>
      </w:r>
      <w:r>
        <w:t xml:space="preserve"> </w:t>
      </w:r>
      <m:oMath>
        <m:r>
          <m:rPr>
            <m:sty m:val="p"/>
          </m:rPr>
          <m:t>≤</m:t>
        </m:r>
      </m:oMath>
      <w:r>
        <w:t xml:space="preserve"> </w:t>
      </w:r>
      <w:r>
        <w:t xml:space="preserve">declared tolerance.</w:t>
      </w:r>
    </w:p>
    <w:p>
      <w:pPr>
        <w:pStyle w:val="BodyText"/>
      </w:pPr>
      <w:r>
        <w:t xml:space="preserve">In a frozen public campaign of 60 revisions across four RGB/SfM scenes, CBRC selected 44 certified-local repairs and 16 automatic full rebuilds, with zero observed certificate violations and native/reference-planner parity on all 60 cases. Fifty-six of the 60 source edits exceeded the protected RGB tolerance before repair. The frozen calibrated work model reports a median selected work ratio of 0.36953 of</w:t>
      </w:r>
      <w:r>
        <w:t xml:space="preserve"> </w:t>
      </w:r>
      <w:r>
        <w:rPr>
          <w:smallCaps/>
        </w:rPr>
        <w:t xml:space="preserve">Full</w:t>
      </w:r>
      <w:r>
        <w:t xml:space="preserve"> </w:t>
      </w:r>
      <w:r>
        <w:t xml:space="preserve">(2.706</w:t>
      </w:r>
      <m:oMath>
        <m:r>
          <m:rPr>
            <m:sty m:val="p"/>
          </m:rPr>
          <m:t>×</m:t>
        </m:r>
      </m:oMath>
      <w:r>
        <w:t xml:space="preserve"> </w:t>
      </w:r>
      <w:r>
        <w:t xml:space="preserve">lower calibrated work). A separate five-case validation on a pinned trained 3D Gaussian Splatting representation records four certified-local repairs, one fallback, and zero observed violations. We also identify a remaining systems bottleneck: the frozen end-to-end paths still inspect nearly the full Gaussian set, while a separate exact sparse-discovery study reduces median inspection to 1% without changing candidate selection. These results support certified selective recomputation within the stated assumptions; they do not establish universal safety, global optimality, or end-to-end wall-clock speedup.</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MAVEB implements the method as a C++23 persistent-world stack. It is paired with a dense Python reference certifier and an independent full-after Gaussian oracle. Figure 1 shows the decision path, and Figure 2 illustrates Gaussian support selection and the two possible outcomes.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r>
            <m:t>  </m:t>
          </m:r>
          <m:r>
            <m:rPr>
              <m:nor/>
              <m:sty m:val="p"/>
            </m:rPr>
            <m:t>(1)</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result is then replayed against an independent full-after oracle.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not aggregate campaign results. The frozen public headline is 0.36953 of</w:t>
      </w:r>
      <w:r>
        <w:t xml:space="preserve"> </w:t>
      </w:r>
      <w:r>
        <w:rPr>
          <w:smallCaps/>
        </w:rPr>
        <w:t xml:space="preserve">Full</w:t>
      </w:r>
      <w:r>
        <w:t xml:space="preserve"> </w:t>
      </w:r>
      <w:r>
        <w:t xml:space="preserve">(2.706</w:t>
      </w:r>
      <m:oMath>
        <m:r>
          <m:rPr>
            <m:sty m:val="p"/>
          </m:rPr>
          <m:t>×</m:t>
        </m:r>
      </m:oMath>
      <w:r>
        <w:t xml:space="preserve"> </w:t>
      </w:r>
      <w:r>
        <w:t xml:space="preserve">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9"/>
    <w:bookmarkStart w:id="30"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1, and automatically returns</w:t>
      </w:r>
      <w:r>
        <w:t xml:space="preserve"> </w:t>
      </w:r>
      <w:r>
        <w:rPr>
          <w:smallCaps/>
        </w:rPr>
        <w:t xml:space="preserve">Full</w:t>
      </w:r>
      <w:r>
        <w:t xml:space="preserve"> </w:t>
      </w:r>
      <w:r>
        <w:t xml:space="preserve">when the certificate or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r>
            <m:t>  </m:t>
          </m:r>
          <m:r>
            <m:rPr>
              <m:nor/>
              <m:sty m:val="p"/>
            </m:rPr>
            <m:t>(2)</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r>
            <m:t>  </m:t>
          </m:r>
          <m:r>
            <m:rPr>
              <m:nor/>
              <m:sty m:val="p"/>
            </m:rPr>
            <m:t>(3)</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This separation is intentionally conservative. For example, dependencies from observations to TSDF, from TSDF to mesh ownership, from meshes to texture-page identity, and from Gaussian records to GPU publication remain exact. These relations and unstable temporal validation are</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1.</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r>
            <m:t>  </m:t>
          </m:r>
          <m:r>
            <m:rPr>
              <m:nor/>
              <m:sty m:val="p"/>
            </m:rPr>
            <m:t>(4)</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4 is a work model, not an end-to-end runtime measurement.</w:t>
      </w:r>
    </w:p>
    <w:bookmarkEnd w:id="37"/>
    <w:bookmarkEnd w:id="38"/>
    <w:bookmarkStart w:id="49"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r>
            <m:t>  </m:t>
          </m:r>
          <m:r>
            <m:rPr>
              <m:nor/>
              <m:sty m:val="p"/>
            </m:rPr>
            <m:t>(5)</m:t>
          </m:r>
        </m:oMath>
      </m:oMathPara>
    </w:p>
    <w:p>
      <w:pPr>
        <w:pStyle w:val="FirstParagraph"/>
      </w:pPr>
      <w:r>
        <w:t xml:space="preserve">This rule handles structural dependencies before any approximate reasoning begins. A candidate violating Eq. 5 is invalid, even if a local numeric sensitivity estimate is small.</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r>
            <m:t>  </m:t>
          </m:r>
          <m:r>
            <m:rPr>
              <m:nor/>
              <m:sty m:val="p"/>
            </m:rPr>
            <m:t>(6)</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r>
            <m:t>  </m:t>
          </m:r>
          <m:r>
            <m:rPr>
              <m:nor/>
              <m:sty m:val="p"/>
            </m:rPr>
            <m:t>(7)</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r>
            <m:t>  </m:t>
          </m:r>
          <m:r>
            <m:rPr>
              <m:nor/>
              <m:sty m:val="p"/>
            </m:rPr>
            <m:t>(8)</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8 is therefore the reference formulation, not a claim that arbitrary cyclic systems are handled by the production planner.</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r>
            <m:t>  </m:t>
          </m:r>
          <m:r>
            <m:rPr>
              <m:nor/>
              <m:sty m:val="p"/>
            </m:rPr>
            <m:t>(9)</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define the revision criticality of a candidate cone as the worst normalized certified residual</w:t>
      </w:r>
    </w:p>
    <w:p>
      <w:pPr>
        <w:pStyle w:val="BodyText"/>
      </w:pPr>
      <m:oMathPara>
        <m:oMathParaPr>
          <m:jc m:val="center"/>
        </m:oMathParaPr>
        <m:oMath>
          <m:m>
            <m:mPr>
              <m:baseJc m:val="center"/>
              <m:plcHide m:val="on"/>
              <m:mcs>
                <m:mc>
                  <m:mcPr>
                    <m:mcJc m:val="right"/>
                    <m:count m:val="1"/>
                  </m:mcPr>
                </m:mc>
                <m:mc>
                  <m:mcPr>
                    <m:mcJc m:val="left"/>
                    <m:count m:val="1"/>
                  </m:mcPr>
                </m:mc>
              </m:mcs>
            </m:mPr>
            <m:mr>
              <m:e>
                <m:r>
                  <m:t>χ</m:t>
                </m:r>
                <m:d>
                  <m:dPr>
                    <m:begChr m:val="("/>
                    <m:endChr m:val=")"/>
                    <m:sepChr m:val=""/>
                    <m:grow/>
                  </m:dPr>
                  <m:e>
                    <m:r>
                      <m:t>C</m:t>
                    </m:r>
                  </m:e>
                </m:d>
              </m:e>
              <m:e>
                <m:r>
                  <m:rPr>
                    <m:sty m:val="p"/>
                  </m:rPr>
                  <m:t>=</m:t>
                </m:r>
                <m:limLow>
                  <m:e>
                    <m:r>
                      <m:rPr>
                        <m:sty m:val="p"/>
                      </m:rPr>
                      <m:t>max</m:t>
                    </m:r>
                  </m:e>
                  <m:lim>
                    <m:r>
                      <m:t>q</m:t>
                    </m:r>
                  </m:lim>
                </m:limLow>
                <m:sSub>
                  <m:e>
                    <m:r>
                      <m:t>r</m:t>
                    </m:r>
                  </m:e>
                  <m:sub>
                    <m:r>
                      <m:t>q</m:t>
                    </m:r>
                  </m:sub>
                </m:sSub>
                <m:d>
                  <m:dPr>
                    <m:begChr m:val="("/>
                    <m:endChr m:val=")"/>
                    <m:sepChr m:val=""/>
                    <m:grow/>
                  </m:dPr>
                  <m:e>
                    <m:r>
                      <m:t>C</m:t>
                    </m:r>
                  </m:e>
                </m:d>
                <m:r>
                  <m:rPr>
                    <m:sty m:val="p"/>
                  </m:rPr>
                  <m:t>,</m:t>
                </m:r>
              </m:e>
            </m:mr>
            <m:mr>
              <m:e>
                <m:sSub>
                  <m:e>
                    <m:r>
                      <m:t>r</m:t>
                    </m:r>
                  </m:e>
                  <m:sub>
                    <m:r>
                      <m:t>q</m:t>
                    </m:r>
                  </m:sub>
                </m:sSub>
                <m:d>
                  <m:dPr>
                    <m:begChr m:val="("/>
                    <m:endChr m:val=")"/>
                    <m:sepChr m:val=""/>
                    <m:grow/>
                  </m:dPr>
                  <m:e>
                    <m:r>
                      <m:t>C</m:t>
                    </m:r>
                  </m:e>
                </m:d>
              </m:e>
              <m:e>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e>
            </m:mr>
          </m:m>
          <m:r>
            <m:t>  </m:t>
          </m:r>
          <m:r>
            <m:rPr>
              <m:nor/>
              <m:sty m:val="p"/>
            </m:rPr>
            <m:t>(10)</m:t>
          </m:r>
        </m:oMath>
      </m:oMathPara>
    </w:p>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42"/>
    <w:bookmarkStart w:id="46"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r>
            <m:t>  </m:t>
          </m:r>
          <m:r>
            <m:rPr>
              <m:nor/>
              <m:sty m:val="p"/>
            </m:rPr>
            <m:t>(11)</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In the bound below,</w:t>
      </w:r>
      <w:r>
        <w:t xml:space="preserve"> </w:t>
      </w:r>
      <m:oMath>
        <m:sSub>
          <m:e>
            <m:r>
              <m:t>α</m:t>
            </m:r>
          </m:e>
          <m:sub>
            <m:r>
              <m:t>i</m:t>
            </m:r>
          </m:sub>
        </m:sSub>
      </m:oMath>
      <w:r>
        <w:t xml:space="preserve"> </w:t>
      </w:r>
      <w:r>
        <w:t xml:space="preserve">denotes the effective value after the renderer’s clamp and cutoff rules, rather than the raw expression in Eq. 11. For edited set</w:t>
      </w:r>
      <w:r>
        <w:t xml:space="preserve"> </w:t>
      </w:r>
      <m:oMath>
        <m:r>
          <m:t>E</m:t>
        </m:r>
      </m:oMath>
      <w:r>
        <w:t xml:space="preserve">, define aggregate opacity mass</w:t>
      </w:r>
    </w:p>
    <w:p>
      <w:pPr>
        <w:pStyle w:val="BodyText"/>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r>
            <m:t>  </m:t>
          </m:r>
          <m:r>
            <m:rPr>
              <m:nor/>
              <m:sty m:val="p"/>
            </m:rPr>
            <m:t>(12)</m:t>
          </m:r>
        </m:oMath>
      </m:oMathPara>
    </w:p>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p</m:t>
                    </m:r>
                  </m:sub>
                </m:sSub>
              </m:e>
              <m:e>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e>
            </m:mr>
            <m:mr>
              <m:e>
                <m:sSub>
                  <m:e>
                    <m:r>
                      <m:t>Δ</m:t>
                    </m:r>
                  </m:e>
                  <m:sub>
                    <m:r>
                      <m:t>p</m:t>
                    </m:r>
                  </m:sub>
                </m:sSub>
              </m:e>
              <m:e>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e>
            </m:mr>
          </m:m>
          <m:r>
            <m:t>  </m:t>
          </m:r>
          <m:r>
            <m:rPr>
              <m:nor/>
              <m:sty m:val="p"/>
            </m:rPr>
            <m:t>(13)</m:t>
          </m:r>
        </m:oMath>
      </m:oMathPara>
    </w:p>
    <w:bookmarkEnd w:id="43"/>
    <w:bookmarkStart w:id="44"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background and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13 over the declared pixel support. A fuller algebraic derivation is included with the manuscript supplement.</w:t>
      </w:r>
    </w:p>
    <w:bookmarkEnd w:id="45"/>
    <w:bookmarkEnd w:id="46"/>
    <w:bookmarkStart w:id="47"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r>
            <m:t>  </m:t>
          </m:r>
          <m:r>
            <m:rPr>
              <m:nor/>
              <m:sty m:val="p"/>
            </m:rPr>
            <m:t>(14)</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14. Thus the temporal path demonstrates the central design rule: use a soft bound only while its preconditions are certifiable.</w:t>
      </w:r>
    </w:p>
    <w:bookmarkEnd w:id="47"/>
    <w:bookmarkStart w:id="48"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orders candidates using the numerical score</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for stable exteriors. This floored score guides search only; acceptance still requires the original inequalities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including when tolerance is zero. For a candidate expansion</w:t>
      </w:r>
      <w:r>
        <w:t xml:space="preserve"> </w:t>
      </w:r>
      <m:oMath>
        <m:r>
          <m:t>C</m:t>
        </m:r>
        <m:r>
          <m:rPr>
            <m:sty m:val="p"/>
          </m:rPr>
          <m:t>→</m:t>
        </m:r>
        <m:r>
          <m:t>C</m:t>
        </m:r>
        <m:r>
          <m:rPr>
            <m:sty m:val="p"/>
          </m:rPr>
          <m:t>′</m:t>
        </m:r>
      </m:oMath>
      <w:r>
        <w:t xml:space="preserve"> </w:t>
      </w:r>
      <w:r>
        <w:t xml:space="preserve">with positive added work, it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r>
            <m:t>  </m:t>
          </m:r>
          <m:r>
            <m:rPr>
              <m:nor/>
              <m:sty m:val="p"/>
            </m:rPr>
            <m:t>(15)</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8"/>
    <w:bookmarkEnd w:id="49"/>
    <w:bookmarkStart w:id="54" w:name="system-implementation"/>
    <w:p>
      <w:pPr>
        <w:pStyle w:val="Heading1"/>
      </w:pPr>
      <w:r>
        <w:rPr>
          <w:rStyle w:val="SectionNumber"/>
        </w:rPr>
        <w:t xml:space="preserve">5</w:t>
      </w:r>
      <w:r>
        <w:tab/>
      </w: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 revision graph with typed nodes and edges, sparse analytic propagation over supported DAG exteriors, exact predecessor consistency, a greedy feasible-cone search, and deterministic certificate serialization. Native and reference-planner decisions are compared in the campaign.</w:t>
      </w:r>
    </w:p>
    <w:bookmarkStart w:id="50"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50"/>
    <w:bookmarkStart w:id="51"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51"/>
    <w:bookmarkStart w:id="52"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1; production/offline certificate disagreement or a measured error above the emitted certificate is a correctness failure. Evidence bundles are hashed, and the canonical campaign records workflow IDs, artifact hashes, source hashes, and planner parity.</w:t>
      </w:r>
    </w:p>
    <w:bookmarkEnd w:id="52"/>
    <w:bookmarkStart w:id="53" w:name="representation-scope."/>
    <w:p>
      <w:pPr>
        <w:pStyle w:val="Heading4"/>
      </w:pPr>
      <w:r>
        <w:t xml:space="preserve">Representation scope.</w:t>
      </w:r>
    </w:p>
    <w:p>
      <w:pPr>
        <w:pStyle w:val="FirstParagraph"/>
      </w:pPr>
      <w:r>
        <w:t xml:space="preserve">The public campaign uses four real scenes reconstructed with COLMAP/SfM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53"/>
    <w:bookmarkEnd w:id="54"/>
    <w:bookmarkStart w:id="59" w:name="evaluation"/>
    <w:p>
      <w:pPr>
        <w:pStyle w:val="Heading1"/>
      </w:pPr>
      <w:r>
        <w:rPr>
          <w:rStyle w:val="SectionNumber"/>
        </w:rPr>
        <w:t xml:space="preserve">6</w:t>
      </w:r>
      <w:r>
        <w:tab/>
      </w:r>
      <w:r>
        <w:t xml:space="preserve">Evaluation</w:t>
      </w:r>
    </w:p>
    <w:bookmarkStart w:id="56" w:name="questions-and-protocol"/>
    <w:p>
      <w:pPr>
        <w:pStyle w:val="Heading2"/>
      </w:pPr>
      <w:r>
        <w:rPr>
          <w:rStyle w:val="SectionNumber"/>
        </w:rPr>
        <w:t xml:space="preserve">6.1</w:t>
      </w:r>
      <w:r>
        <w:tab/>
      </w: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55"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55"/>
    <w:bookmarkEnd w:id="56"/>
    <w:bookmarkStart w:id="57" w:name="baselines-and-ablations"/>
    <w:p>
      <w:pPr>
        <w:pStyle w:val="Heading2"/>
      </w:pPr>
      <w:r>
        <w:rPr>
          <w:rStyle w:val="SectionNumber"/>
        </w:rPr>
        <w:t xml:space="preserve">6.2</w:t>
      </w:r>
      <w:r>
        <w:tab/>
      </w: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7"/>
    <w:bookmarkStart w:id="58" w:name="metrics"/>
    <w:p>
      <w:pPr>
        <w:pStyle w:val="Heading2"/>
      </w:pPr>
      <w:r>
        <w:rPr>
          <w:rStyle w:val="SectionNumber"/>
        </w:rPr>
        <w:t xml:space="preserve">6.3</w:t>
      </w:r>
      <w:r>
        <w:tab/>
      </w:r>
      <w:r>
        <w:t xml:space="preserve">Metrics</w:t>
      </w:r>
    </w:p>
    <w:p>
      <w:pPr>
        <w:pStyle w:val="FirstParagraph"/>
      </w:pPr>
      <w:r>
        <w:t xml:space="preserve">The primary correctness metric is violation count under Eq. 1.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8"/>
    <w:bookmarkEnd w:id="59"/>
    <w:bookmarkStart w:id="73" w:name="sec:results"/>
    <w:p>
      <w:pPr>
        <w:pStyle w:val="Heading1"/>
      </w:pPr>
      <w:r>
        <w:rPr>
          <w:rStyle w:val="SectionNumber"/>
        </w:rPr>
        <w:t xml:space="preserve">7</w:t>
      </w:r>
      <w:r>
        <w:tab/>
      </w:r>
      <w:r>
        <w:t xml:space="preserve">Results</w:t>
      </w:r>
    </w:p>
    <w:bookmarkStart w:id="60" w:name="public-rgbsfm-campaign"/>
    <w:p>
      <w:pPr>
        <w:pStyle w:val="Heading2"/>
      </w:pPr>
      <w:r>
        <w:rPr>
          <w:rStyle w:val="SectionNumber"/>
        </w:rPr>
        <w:t xml:space="preserve">7.1</w:t>
      </w:r>
      <w:r>
        <w:tab/>
      </w: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3 shows representative local and fallback outcomes, while Table 3 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r>
            <m:t>  </m:t>
          </m:r>
          <m:r>
            <m:rPr>
              <m:nor/>
              <m:sty m:val="p"/>
            </m:rPr>
            <m:t>(16)</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60"/>
    <w:bookmarkStart w:id="66" w:name="method-comparison"/>
    <w:p>
      <w:pPr>
        <w:pStyle w:val="Heading2"/>
      </w:pPr>
      <w:r>
        <w:rPr>
          <w:rStyle w:val="SectionNumber"/>
        </w:rPr>
        <w:t xml:space="preserve">7.2</w:t>
      </w:r>
      <w:r>
        <w:tab/>
      </w:r>
      <w:r>
        <w:t xml:space="preserve">Method comparison</w:t>
      </w:r>
    </w:p>
    <w:p>
      <w:pPr>
        <w:pStyle w:val="FirstParagraph"/>
      </w:pPr>
      <w:r>
        <w:t xml:space="preserve">Table 2 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bookmarkStart w:id="61" w:name="tab:baselines"/>
    <w:p>
      <w:pPr>
        <w:pStyle w:val="TableCaption"/>
        <w:keepNext/>
      </w:pPr>
      <w:r>
        <w:t xml:space="preserve">Table 2. </w:t>
      </w:r>
      <w:r>
        <w:t xml:space="preserve">Frozen public method comparison. The work column is the baseline suite’s native work-ratio metric and is distinct from the calibrated heterogeneous headline ratio of 0.36953.</w:t>
      </w:r>
      <w:r>
        <w:t xml:space="preserve"> </w:t>
      </w:r>
      <w:r>
        <w:rPr>
          <w:iCs/>
          <w:i/>
        </w:rPr>
        <w:t xml:space="preserve">Uncertified</w:t>
      </w:r>
      <w:r>
        <w:t xml:space="preserve"> </w:t>
      </w:r>
      <w:r>
        <w:t xml:space="preserve">means the selected cone failed the conservative certificate, not that an independent oracle violation was observed. All four tested radius policies produced the same aggregate values on this matrix.</w:t>
      </w:r>
    </w:p>
    <w:tbl>
      <w:tblPr>
        <w:tblW w:type="auto" w:w="0"/>
        <w:tblLayout w:type="fixed"/>
        <w:tblLook w:firstRow="1" w:lastRow="0" w:firstColumn="0" w:lastColumn="0" w:noHBand="0" w:noVBand="0" w:val="0020"/>
        <w:jc w:val="start"/>
        <w:tblCaption w:val="Frozen public method comparison. The work column is the baseline suite’s native work-ratio metric and is distinct from the calibrated heterogeneous headline ratio of 0.36953. Uncertified means the selected cone failed the conservative certificate, not that an independent oracle violation was observed. All four tested radius policies produced the same aggregate values on this matrix."/>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Method</w:t>
            </w:r>
          </w:p>
        </w:tc>
        <w:tc>
          <w:tcPr>
            <w:tcW w:type="dxa" w:w="936"/>
          </w:tcPr>
          <w:p>
            <w:pPr>
              <w:pStyle w:val="Compact"/>
              <w:spacing w:after="40" w:before="40"/>
              <w:jc w:val="left"/>
            </w:pPr>
            <w:r>
              <w:rPr>
                <w:b/>
                <w:sz w:val="18"/>
              </w:rPr>
              <w:t xml:space="preserve">Cert. pass</w:t>
            </w:r>
          </w:p>
        </w:tc>
        <w:tc>
          <w:tcPr>
            <w:tcW w:type="dxa" w:w="1152"/>
          </w:tcPr>
          <w:p>
            <w:pPr>
              <w:pStyle w:val="Compact"/>
              <w:spacing w:after="40" w:before="40"/>
              <w:jc w:val="left"/>
            </w:pPr>
            <w:r>
              <w:rPr>
                <w:b/>
                <w:sz w:val="18"/>
              </w:rPr>
              <w:t xml:space="preserve">Uncertified</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3600"/>
          </w:tcPr>
          <w:p>
            <w:pPr>
              <w:pStyle w:val="Compact"/>
              <w:spacing w:after="40" w:before="40"/>
              <w:jc w:val="left"/>
            </w:pPr>
            <w:r>
              <w:rPr>
                <w:b/>
                <w:sz w:val="18"/>
              </w:rPr>
              <w:t xml:space="preserve">Decision rule</w:t>
            </w:r>
          </w:p>
        </w:tc>
      </w:tr>
      <w:tr>
        <w:trPr>
          <w:cantSplit/>
        </w:trPr>
        <w:tc>
          <w:tcPr>
            <w:tcW w:type="dxa" w:w="2160"/>
          </w:tcPr>
          <w:p>
            <w:pPr>
              <w:pStyle w:val="Compact"/>
              <w:spacing w:after="40" w:before="40"/>
              <w:jc w:val="left"/>
            </w:pPr>
            <w:r>
              <w:rPr>
                <w:smallCaps/>
                <w:sz w:val="18"/>
              </w:rPr>
              <w:t xml:space="preserve">Full</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3600"/>
          </w:tcPr>
          <w:p>
            <w:pPr>
              <w:pStyle w:val="Compact"/>
              <w:spacing w:after="40" w:before="40"/>
              <w:jc w:val="left"/>
            </w:pPr>
            <w:r>
              <w:rPr>
                <w:sz w:val="18"/>
              </w:rPr>
              <w:t xml:space="preserve">full reference</w:t>
            </w:r>
          </w:p>
        </w:tc>
      </w:tr>
      <w:tr>
        <w:trPr>
          <w:cantSplit/>
        </w:trPr>
        <w:tc>
          <w:tcPr>
            <w:tcW w:type="dxa" w:w="2160"/>
          </w:tcPr>
          <w:p>
            <w:pPr>
              <w:pStyle w:val="Compact"/>
              <w:spacing w:after="40" w:before="40"/>
              <w:jc w:val="left"/>
            </w:pPr>
            <w:r>
              <w:rPr>
                <w:sz w:val="18"/>
              </w:rPr>
              <w:t xml:space="preserve">Exact only</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exact closure only</w:t>
            </w:r>
          </w:p>
        </w:tc>
      </w:tr>
      <w:tr>
        <w:trPr>
          <w:cantSplit/>
        </w:trPr>
        <w:tc>
          <w:tcPr>
            <w:tcW w:type="dxa" w:w="2160"/>
          </w:tcPr>
          <w:p>
            <w:pPr>
              <w:pStyle w:val="Compact"/>
              <w:spacing w:after="40" w:before="40"/>
              <w:jc w:val="left"/>
            </w:pPr>
            <w:r>
              <w:rPr>
                <w:sz w:val="18"/>
              </w:rPr>
              <w:t xml:space="preserve">Radius 0–3</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fixed graph radius</w:t>
            </w:r>
          </w:p>
        </w:tc>
      </w:tr>
      <w:tr>
        <w:trPr>
          <w:cantSplit/>
        </w:trPr>
        <w:tc>
          <w:tcPr>
            <w:tcW w:type="dxa" w:w="2160"/>
          </w:tcPr>
          <w:p>
            <w:pPr>
              <w:pStyle w:val="Compact"/>
              <w:spacing w:after="40" w:before="40"/>
              <w:jc w:val="left"/>
            </w:pPr>
            <w:r>
              <w:rPr>
                <w:sz w:val="18"/>
              </w:rPr>
              <w:t xml:space="preserve">Changed fraction</w:t>
            </w:r>
          </w:p>
        </w:tc>
        <w:tc>
          <w:tcPr>
            <w:tcW w:type="dxa" w:w="936"/>
          </w:tcPr>
          <w:p>
            <w:pPr>
              <w:pStyle w:val="Compact"/>
              <w:spacing w:after="40" w:before="40"/>
              <w:jc w:val="left"/>
            </w:pPr>
            <w:r>
              <w:rPr>
                <w:sz w:val="18"/>
              </w:rPr>
              <w:t xml:space="preserve">40.0%</w:t>
            </w:r>
          </w:p>
        </w:tc>
        <w:tc>
          <w:tcPr>
            <w:tcW w:type="dxa" w:w="1152"/>
          </w:tcPr>
          <w:p>
            <w:pPr>
              <w:pStyle w:val="Compact"/>
              <w:spacing w:after="40" w:before="40"/>
              <w:jc w:val="left"/>
            </w:pPr>
            <w:r>
              <w:rPr>
                <w:sz w:val="18"/>
              </w:rPr>
              <w:t xml:space="preserve">60.0%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threshold policy</w:t>
            </w:r>
          </w:p>
        </w:tc>
      </w:tr>
      <w:tr>
        <w:trPr>
          <w:cantSplit/>
        </w:trPr>
        <w:tc>
          <w:tcPr>
            <w:tcW w:type="dxa" w:w="2160"/>
          </w:tcPr>
          <w:p>
            <w:pPr>
              <w:pStyle w:val="Compact"/>
              <w:spacing w:after="40" w:before="40"/>
              <w:jc w:val="left"/>
            </w:pPr>
            <w:r>
              <w:rPr>
                <w:sz w:val="18"/>
              </w:rPr>
              <w:t xml:space="preserve">Empirical order + certifier</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empirical ordering, analytic recertification</w:t>
            </w:r>
          </w:p>
        </w:tc>
      </w:tr>
      <w:tr>
        <w:trPr>
          <w:cantSplit/>
        </w:trPr>
        <w:tc>
          <w:tcPr>
            <w:tcW w:type="dxa" w:w="2160"/>
          </w:tcPr>
          <w:p>
            <w:pPr>
              <w:pStyle w:val="Compact"/>
              <w:spacing w:after="40" w:before="40"/>
              <w:jc w:val="left"/>
            </w:pPr>
            <w:r>
              <w:rPr>
                <w:sz w:val="18"/>
              </w:rPr>
              <w:t xml:space="preserve">CBRC</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certificate + work crossover + fallback</w:t>
            </w:r>
          </w:p>
        </w:tc>
      </w:tr>
    </w:tbl>
    <w:bookmarkEnd w:id="61"/>
    <w:p>
      <w:pPr>
        <w:pStyle w:val="CaptionedFigure"/>
        <w:keepNext/>
      </w:pPr>
      <w:r>
        <w:drawing>
          <wp:inline>
            <wp:extent cx="5067300" cy="3040379"/>
            <wp:effectExtent b="0" l="0" r="0" t="0"/>
            <wp:docPr descr="" title="" id="63" name="Picture"/>
            <a:graphic>
              <a:graphicData uri="http://schemas.openxmlformats.org/drawingml/2006/picture">
                <pic:pic>
                  <pic:nvPicPr>
                    <pic:cNvPr descr="figures/qualitative_frozen.png" id="64" name="Picture"/>
                    <pic:cNvPicPr>
                      <a:picLocks noChangeArrowheads="1" noChangeAspect="1"/>
                    </pic:cNvPicPr>
                  </pic:nvPicPr>
                  <pic:blipFill>
                    <a:blip r:embed="rId62"/>
                    <a:stretch>
                      <a:fillRect/>
                    </a:stretch>
                  </pic:blipFill>
                  <pic:spPr bwMode="auto">
                    <a:xfrm>
                      <a:off x="0" y="0"/>
                      <a:ext cx="5067300" cy="3040379"/>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frozen revision outcomes. Top: a certified local case repairs only the selected support and matches the independent</w:t>
      </w:r>
      <w:r>
        <w:t xml:space="preserve"> </w:t>
      </w:r>
      <w:r>
        <w:rPr>
          <w:smallCaps/>
        </w:rPr>
        <w:t xml:space="preserve">Full</w:t>
      </w:r>
      <w:r>
        <w:t xml:space="preserve">-after reference at the reported precision. Bottom: a higher-coupling revision expands to an automatic</w:t>
      </w:r>
      <w:r>
        <w:t xml:space="preserve"> </w:t>
      </w:r>
      <w:r>
        <w:rPr>
          <w:smallCaps/>
        </w:rPr>
        <w:t xml:space="preserve">Full</w:t>
      </w:r>
      <w:r>
        <w:t xml:space="preserve"> </w:t>
      </w:r>
      <w:r>
        <w:t xml:space="preserve">fallback rather than forcing a local decision. The intended-edit and certified-support panels make the source effect and selected scope explicit; the residual panel is computed against the independent full-after oracle.</w:t>
      </w:r>
    </w:p>
    <w:bookmarkStart w:id="65" w:name="tab:summary"/>
    <w:p>
      <w:pPr>
        <w:pStyle w:val="TableCaption"/>
        <w:keepNext/>
      </w:pPr>
      <w:r>
        <w:t xml:space="preserve">Table 3. </w:t>
      </w:r>
      <w:r>
        <w:t xml:space="preserve">Canonical evidence summary. Work factors are not wall-clock speedups.</w:t>
      </w:r>
    </w:p>
    <w:tbl>
      <w:tblPr>
        <w:tblW w:type="auto" w:w="0"/>
        <w:tblLayout w:type="fixed"/>
        <w:tblLook w:firstRow="1" w:lastRow="0" w:firstColumn="0" w:lastColumn="0" w:noHBand="0" w:noVBand="0" w:val="0020"/>
        <w:jc w:val="start"/>
        <w:tblCaption w:val="Canonical evidence summary. Work factors are not wall-clock speedups."/>
        <w:tblBorders>
          <w:top w:val="single" w:sz="4" w:color="B0B0B0"/>
          <w:bottom w:val="single" w:sz="4" w:color="B0B0B0"/>
          <w:insideH w:val="single" w:sz="4" w:color="B0B0B0"/>
        </w:tblBorders>
      </w:tblPr>
      <w:tblGrid>
        <w:gridCol w:w="4464"/>
        <w:gridCol w:w="2880"/>
        <w:gridCol w:w="2880"/>
      </w:tblGrid>
      <w:tr>
        <w:trPr>
          <w:tblHeader w:val="true"/>
          <w:cantSplit/>
          <w:tblHeader/>
        </w:trPr>
        <w:tc>
          <w:tcPr>
            <w:tcW w:type="dxa" w:w="4464"/>
          </w:tcPr>
          <w:p>
            <w:pPr>
              <w:pStyle w:val="Compact"/>
              <w:spacing w:after="40" w:before="40"/>
            </w:pPr>
          </w:p>
        </w:tc>
        <w:tc>
          <w:tcPr>
            <w:tcW w:type="dxa" w:w="2880"/>
          </w:tcPr>
          <w:p>
            <w:pPr>
              <w:pStyle w:val="Compact"/>
              <w:spacing w:after="40" w:before="40"/>
              <w:jc w:val="left"/>
            </w:pPr>
            <w:r>
              <w:rPr>
                <w:b/>
                <w:sz w:val="18"/>
              </w:rPr>
              <w:t xml:space="preserve">Public RGB/SfM</w:t>
            </w:r>
          </w:p>
        </w:tc>
        <w:tc>
          <w:tcPr>
            <w:tcW w:type="dxa" w:w="2880"/>
          </w:tcPr>
          <w:p>
            <w:pPr>
              <w:pStyle w:val="Compact"/>
              <w:spacing w:after="40" w:before="40"/>
              <w:jc w:val="left"/>
            </w:pPr>
            <w:r>
              <w:rPr>
                <w:b/>
                <w:sz w:val="18"/>
              </w:rPr>
              <w:t xml:space="preserve">Trained 3DGS</w:t>
            </w:r>
          </w:p>
        </w:tc>
      </w:tr>
      <w:tr>
        <w:trPr>
          <w:cantSplit/>
        </w:trPr>
        <w:tc>
          <w:tcPr>
            <w:tcW w:type="dxa" w:w="4464"/>
          </w:tcPr>
          <w:p>
            <w:pPr>
              <w:pStyle w:val="Compact"/>
              <w:spacing w:after="40" w:before="40"/>
              <w:jc w:val="left"/>
            </w:pPr>
            <w:r>
              <w:rPr>
                <w:sz w:val="18"/>
              </w:rPr>
              <w:t xml:space="preserve">Cases</w:t>
            </w:r>
          </w:p>
        </w:tc>
        <w:tc>
          <w:tcPr>
            <w:tcW w:type="dxa" w:w="2880"/>
          </w:tcPr>
          <w:p>
            <w:pPr>
              <w:pStyle w:val="Compact"/>
              <w:spacing w:after="40" w:before="40"/>
              <w:jc w:val="left"/>
            </w:pPr>
            <w:r>
              <w:rPr>
                <w:sz w:val="18"/>
              </w:rPr>
              <w:t xml:space="preserve">60</w:t>
            </w:r>
          </w:p>
        </w:tc>
        <w:tc>
          <w:tcPr>
            <w:tcW w:type="dxa" w:w="2880"/>
          </w:tcPr>
          <w:p>
            <w:pPr>
              <w:pStyle w:val="Compact"/>
              <w:spacing w:after="40" w:before="40"/>
              <w:jc w:val="left"/>
            </w:pPr>
            <w:r>
              <w:rPr>
                <w:sz w:val="18"/>
              </w:rPr>
              <w:t xml:space="preserve">5</w:t>
            </w:r>
          </w:p>
        </w:tc>
      </w:tr>
      <w:tr>
        <w:trPr>
          <w:cantSplit/>
        </w:trPr>
        <w:tc>
          <w:tcPr>
            <w:tcW w:type="dxa" w:w="4464"/>
          </w:tcPr>
          <w:p>
            <w:pPr>
              <w:pStyle w:val="Compact"/>
              <w:spacing w:after="40" w:before="40"/>
              <w:jc w:val="left"/>
            </w:pPr>
            <w:r>
              <w:rPr>
                <w:sz w:val="18"/>
              </w:rPr>
              <w:t xml:space="preserve">Certified local</w:t>
            </w:r>
          </w:p>
        </w:tc>
        <w:tc>
          <w:tcPr>
            <w:tcW w:type="dxa" w:w="2880"/>
          </w:tcPr>
          <w:p>
            <w:pPr>
              <w:pStyle w:val="Compact"/>
              <w:spacing w:after="40" w:before="40"/>
              <w:jc w:val="left"/>
            </w:pPr>
            <w:r>
              <w:rPr>
                <w:sz w:val="18"/>
              </w:rPr>
              <w:t xml:space="preserve">44</w:t>
            </w:r>
          </w:p>
        </w:tc>
        <w:tc>
          <w:tcPr>
            <w:tcW w:type="dxa" w:w="2880"/>
          </w:tcPr>
          <w:p>
            <w:pPr>
              <w:pStyle w:val="Compact"/>
              <w:spacing w:after="40" w:before="40"/>
              <w:jc w:val="left"/>
            </w:pPr>
            <w:r>
              <w:rPr>
                <w:sz w:val="18"/>
              </w:rPr>
              <w:t xml:space="preserve">4</w:t>
            </w:r>
          </w:p>
        </w:tc>
      </w:tr>
      <w:tr>
        <w:trPr>
          <w:cantSplit/>
        </w:trPr>
        <w:tc>
          <w:tcPr>
            <w:tcW w:type="dxa" w:w="4464"/>
          </w:tcPr>
          <w:p>
            <w:pPr>
              <w:pStyle w:val="Compact"/>
              <w:spacing w:after="40" w:before="40"/>
              <w:jc w:val="left"/>
            </w:pPr>
            <w:r>
              <w:rPr>
                <w:sz w:val="18"/>
              </w:rPr>
              <w:t xml:space="preserve">FULL fallback</w:t>
            </w:r>
          </w:p>
        </w:tc>
        <w:tc>
          <w:tcPr>
            <w:tcW w:type="dxa" w:w="2880"/>
          </w:tcPr>
          <w:p>
            <w:pPr>
              <w:pStyle w:val="Compact"/>
              <w:spacing w:after="40" w:before="40"/>
              <w:jc w:val="left"/>
            </w:pPr>
            <w:r>
              <w:rPr>
                <w:sz w:val="18"/>
              </w:rPr>
              <w:t xml:space="preserve">16</w:t>
            </w:r>
          </w:p>
        </w:tc>
        <w:tc>
          <w:tcPr>
            <w:tcW w:type="dxa" w:w="2880"/>
          </w:tcPr>
          <w:p>
            <w:pPr>
              <w:pStyle w:val="Compact"/>
              <w:spacing w:after="40" w:before="40"/>
              <w:jc w:val="left"/>
            </w:pPr>
            <w:r>
              <w:rPr>
                <w:sz w:val="18"/>
              </w:rPr>
              <w:t xml:space="preserve">1</w:t>
            </w:r>
          </w:p>
        </w:tc>
      </w:tr>
      <w:tr>
        <w:trPr>
          <w:cantSplit/>
        </w:trPr>
        <w:tc>
          <w:tcPr>
            <w:tcW w:type="dxa" w:w="4464"/>
          </w:tcPr>
          <w:p>
            <w:pPr>
              <w:pStyle w:val="Compact"/>
              <w:spacing w:after="40" w:before="40"/>
              <w:jc w:val="left"/>
            </w:pPr>
            <w:r>
              <w:rPr>
                <w:sz w:val="18"/>
              </w:rPr>
              <w:t xml:space="preserve">Observed violations</w:t>
            </w:r>
          </w:p>
        </w:tc>
        <w:tc>
          <w:tcPr>
            <w:tcW w:type="dxa" w:w="2880"/>
          </w:tcPr>
          <w:p>
            <w:pPr>
              <w:pStyle w:val="Compact"/>
              <w:spacing w:after="40" w:before="40"/>
              <w:jc w:val="left"/>
            </w:pPr>
            <w:r>
              <w:rPr>
                <w:sz w:val="18"/>
              </w:rPr>
              <w:t xml:space="preserve">0</w:t>
            </w:r>
          </w:p>
        </w:tc>
        <w:tc>
          <w:tcPr>
            <w:tcW w:type="dxa" w:w="2880"/>
          </w:tcPr>
          <w:p>
            <w:pPr>
              <w:pStyle w:val="Compact"/>
              <w:spacing w:after="40" w:before="40"/>
              <w:jc w:val="left"/>
            </w:pPr>
            <w:r>
              <w:rPr>
                <w:sz w:val="18"/>
              </w:rPr>
              <w:t xml:space="preserve">0</w:t>
            </w:r>
          </w:p>
        </w:tc>
      </w:tr>
      <w:tr>
        <w:trPr>
          <w:cantSplit/>
        </w:trPr>
        <w:tc>
          <w:tcPr>
            <w:tcW w:type="dxa" w:w="4464"/>
          </w:tcPr>
          <w:p>
            <w:pPr>
              <w:pStyle w:val="Compact"/>
              <w:spacing w:after="40" w:before="40"/>
              <w:jc w:val="left"/>
            </w:pPr>
            <w:r>
              <w:rPr>
                <w:sz w:val="18"/>
              </w:rPr>
              <w:t xml:space="preserve">Selected work / FULL</w:t>
            </w:r>
          </w:p>
        </w:tc>
        <w:tc>
          <w:tcPr>
            <w:tcW w:type="dxa" w:w="2880"/>
          </w:tcPr>
          <w:p>
            <w:pPr>
              <w:pStyle w:val="Compact"/>
              <w:spacing w:after="40" w:before="40"/>
              <w:jc w:val="left"/>
            </w:pPr>
            <w:r>
              <w:rPr>
                <w:sz w:val="18"/>
              </w:rPr>
              <w:t xml:space="preserve">0.36953</w:t>
            </w:r>
          </w:p>
        </w:tc>
        <w:tc>
          <w:tcPr>
            <w:tcW w:type="dxa" w:w="2880"/>
          </w:tcPr>
          <w:p>
            <w:pPr>
              <w:pStyle w:val="Compact"/>
              <w:spacing w:after="40" w:before="40"/>
              <w:jc w:val="left"/>
            </w:pPr>
            <w:r>
              <w:rPr>
                <w:sz w:val="18"/>
              </w:rPr>
              <w:t xml:space="preserve">0.03495</w:t>
            </w:r>
            <m:oMath>
              <m:sSup>
                <m:e>
                  <m:r>
                    <m:t>​</m:t>
                  </m:r>
                </m:e>
                <m:sup>
                  <m:r>
                    <m:rPr>
                      <m:sty m:val="p"/>
                    </m:rPr>
                    <m:t>†</m:t>
                  </m:r>
                </m:sup>
              </m:sSup>
            </m:oMath>
          </w:p>
        </w:tc>
      </w:tr>
      <w:tr>
        <w:trPr>
          <w:cantSplit/>
        </w:trPr>
        <w:tc>
          <w:tcPr>
            <w:tcW w:type="dxa" w:w="4464"/>
          </w:tcPr>
          <w:p>
            <w:pPr>
              <w:pStyle w:val="Compact"/>
              <w:spacing w:after="40" w:before="40"/>
              <w:jc w:val="left"/>
            </w:pPr>
            <w:r>
              <w:rPr>
                <w:sz w:val="18"/>
              </w:rPr>
              <w:t xml:space="preserve">Reported reduction</w:t>
            </w:r>
          </w:p>
        </w:tc>
        <w:tc>
          <w:tcPr>
            <w:tcW w:type="dxa" w:w="2880"/>
          </w:tcPr>
          <w:p>
            <w:pPr>
              <w:pStyle w:val="Compact"/>
              <w:spacing w:after="40" w:before="40"/>
              <w:jc w:val="left"/>
            </w:pPr>
            <w:r>
              <w:rPr>
                <w:sz w:val="18"/>
              </w:rPr>
              <w:t xml:space="preserve">2.706</w:t>
            </w:r>
            <m:oMath>
              <m:r>
                <m:rPr>
                  <m:sty m:val="p"/>
                </m:rPr>
                <m:t>×</m:t>
              </m:r>
            </m:oMath>
          </w:p>
        </w:tc>
        <w:tc>
          <w:tcPr>
            <w:tcW w:type="dxa" w:w="2880"/>
          </w:tcPr>
          <w:p>
            <w:pPr>
              <w:pStyle w:val="Compact"/>
              <w:spacing w:after="40" w:before="40"/>
              <w:jc w:val="left"/>
            </w:pPr>
            <w:r>
              <w:rPr>
                <w:sz w:val="18"/>
              </w:rPr>
              <w:t xml:space="preserve">28.614</w:t>
            </w:r>
            <m:oMath>
              <m:r>
                <m:rPr>
                  <m:sty m:val="p"/>
                </m:rPr>
                <m:t>×</m:t>
              </m:r>
            </m:oMath>
            <m:oMath>
              <m:sSup>
                <m:e>
                  <m:r>
                    <m:t>​</m:t>
                  </m:r>
                </m:e>
                <m:sup>
                  <m:r>
                    <m:rPr>
                      <m:sty m:val="p"/>
                    </m:rPr>
                    <m:t>†</m:t>
                  </m:r>
                </m:sup>
              </m:sSup>
            </m:oMath>
          </w:p>
        </w:tc>
      </w:tr>
      <w:tr>
        <w:trPr>
          <w:cantSplit/>
        </w:trPr>
        <w:tc>
          <w:tcPr>
            <w:tcW w:type="dxa" w:w="4464"/>
          </w:tcPr>
          <w:p>
            <w:pPr>
              <w:pStyle w:val="Compact"/>
              <w:spacing w:after="40" w:before="40"/>
              <w:jc w:val="left"/>
            </w:pPr>
            <w:r>
              <w:rPr>
                <w:sz w:val="18"/>
              </w:rPr>
              <w:t xml:space="preserve">Median inspection / FULL</w:t>
            </w:r>
          </w:p>
        </w:tc>
        <w:tc>
          <w:tcPr>
            <w:tcW w:type="dxa" w:w="2880"/>
          </w:tcPr>
          <w:p>
            <w:pPr>
              <w:pStyle w:val="Compact"/>
              <w:spacing w:after="40" w:before="40"/>
              <w:jc w:val="left"/>
            </w:pPr>
            <m:oMath>
              <m:r>
                <m:rPr>
                  <m:sty m:val="p"/>
                </m:rPr>
                <m:t>≈</m:t>
              </m:r>
              <m:r>
                <m:t>1.0</m:t>
              </m:r>
            </m:oMath>
          </w:p>
        </w:tc>
        <w:tc>
          <w:tcPr>
            <w:tcW w:type="dxa" w:w="2880"/>
          </w:tcPr>
          <w:p>
            <w:pPr>
              <w:pStyle w:val="Compact"/>
              <w:spacing w:after="40" w:before="40"/>
              <w:jc w:val="left"/>
            </w:pPr>
            <w:r>
              <w:rPr>
                <w:sz w:val="18"/>
              </w:rPr>
              <w:t xml:space="preserve">0.999997</w:t>
            </w:r>
          </w:p>
        </w:tc>
      </w:tr>
    </w:tbl>
    <w:bookmarkEnd w:id="65"/>
    <w:p>
      <w:pPr>
        <w:pStyle w:val="BodyText"/>
      </w:pPr>
      <m:oMath>
        <m:sSup>
          <m:e>
            <m:r>
              <m:t>​</m:t>
            </m:r>
          </m:e>
          <m:sup>
            <m:r>
              <m:rPr>
                <m:sty m:val="p"/>
              </m:rPr>
              <m:t>†</m:t>
            </m:r>
          </m:sup>
        </m:sSup>
      </m:oMath>
      <w:r>
        <w:t xml:space="preserve">Trained results use native temporal/output work, not the public calibrated model. Ratios and reduction factors are medians.</w:t>
      </w:r>
    </w:p>
    <w:bookmarkEnd w:id="66"/>
    <w:bookmarkStart w:id="68" w:name="trained-3dgs-representation-check"/>
    <w:p>
      <w:pPr>
        <w:pStyle w:val="Heading2"/>
      </w:pPr>
      <w:r>
        <w:rPr>
          <w:rStyle w:val="SectionNumber"/>
        </w:rPr>
        <w:t xml:space="preserve">7.3</w:t>
      </w:r>
      <w:r>
        <w:tab/>
      </w: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4 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67" w:name="tab:trained"/>
    <w:p>
      <w:pPr>
        <w:pStyle w:val="TableCaption"/>
        <w:keepNext/>
      </w:pPr>
      <w:r>
        <w:t xml:space="preserve">Table 4. </w:t>
      </w:r>
      <w:r>
        <w:t xml:space="preserve">Median native-domain ratios in the trained-3DGS validation.</w:t>
      </w:r>
    </w:p>
    <w:tbl>
      <w:tblPr>
        <w:tblW w:type="auto" w:w="0"/>
        <w:tblLayout w:type="fixed"/>
        <w:tblLook w:firstRow="1" w:lastRow="0" w:firstColumn="0" w:lastColumn="0" w:noHBand="0" w:noVBand="0" w:val="0020"/>
        <w:jc w:val="start"/>
        <w:tblCaption w:val="Median native-domain ratios in the trained-3DGS validation."/>
        <w:tblBorders>
          <w:top w:val="single" w:sz="4" w:color="B0B0B0"/>
          <w:bottom w:val="single" w:sz="4" w:color="B0B0B0"/>
          <w:insideH w:val="single" w:sz="4" w:color="B0B0B0"/>
        </w:tblBorders>
      </w:tblPr>
      <w:tblGrid>
        <w:gridCol w:w="7344"/>
        <w:gridCol w:w="2880"/>
      </w:tblGrid>
      <w:tr>
        <w:trPr>
          <w:tblHeader w:val="true"/>
          <w:cantSplit/>
          <w:tblHeader/>
        </w:trPr>
        <w:tc>
          <w:tcPr>
            <w:tcW w:type="dxa" w:w="7344"/>
          </w:tcPr>
          <w:p>
            <w:pPr>
              <w:pStyle w:val="Compact"/>
              <w:spacing w:after="40" w:before="40"/>
              <w:jc w:val="left"/>
            </w:pPr>
            <w:r>
              <w:rPr>
                <w:bCs/>
                <w:b/>
                <w:sz w:val="18"/>
              </w:rPr>
              <w:t xml:space="preserve">Native domain</w:t>
            </w:r>
          </w:p>
        </w:tc>
        <w:tc>
          <w:tcPr>
            <w:tcW w:type="dxa" w:w="2880"/>
          </w:tcPr>
          <w:p>
            <w:pPr>
              <w:pStyle w:val="Compact"/>
              <w:spacing w:after="40" w:before="40"/>
              <w:jc w:val="left"/>
            </w:pPr>
            <w:r>
              <w:rPr>
                <w:bCs/>
                <w:b/>
                <w:sz w:val="18"/>
              </w:rPr>
              <w:t xml:space="preserve">Ratio /</w:t>
            </w:r>
            <w:r>
              <w:rPr>
                <w:bCs/>
                <w:b/>
                <w:sz w:val="18"/>
              </w:rPr>
              <w:t xml:space="preserve"> </w:t>
            </w:r>
            <w:r>
              <w:rPr>
                <w:smallCaps/>
                <w:bCs/>
                <w:b/>
                <w:sz w:val="18"/>
              </w:rPr>
              <w:t xml:space="preserve">Full</w:t>
            </w:r>
          </w:p>
        </w:tc>
      </w:tr>
      <w:tr>
        <w:trPr>
          <w:cantSplit/>
        </w:trPr>
        <w:tc>
          <w:tcPr>
            <w:tcW w:type="dxa" w:w="7344"/>
          </w:tcPr>
          <w:p>
            <w:pPr>
              <w:pStyle w:val="Compact"/>
              <w:spacing w:after="40" w:before="40"/>
              <w:jc w:val="left"/>
            </w:pPr>
            <w:r>
              <w:rPr>
                <w:sz w:val="18"/>
              </w:rPr>
              <w:t xml:space="preserve">Gaussian inspection</w:t>
            </w:r>
          </w:p>
        </w:tc>
        <w:tc>
          <w:tcPr>
            <w:tcW w:type="dxa" w:w="2880"/>
          </w:tcPr>
          <w:p>
            <w:pPr>
              <w:pStyle w:val="Compact"/>
              <w:spacing w:after="40" w:before="40"/>
              <w:jc w:val="left"/>
            </w:pPr>
            <w:r>
              <w:rPr>
                <w:sz w:val="18"/>
              </w:rPr>
              <w:t xml:space="preserve">0.999997</w:t>
            </w:r>
          </w:p>
        </w:tc>
      </w:tr>
      <w:tr>
        <w:trPr>
          <w:cantSplit/>
        </w:trPr>
        <w:tc>
          <w:tcPr>
            <w:tcW w:type="dxa" w:w="7344"/>
          </w:tcPr>
          <w:p>
            <w:pPr>
              <w:pStyle w:val="Compact"/>
              <w:spacing w:after="40" w:before="40"/>
              <w:jc w:val="left"/>
            </w:pPr>
            <w:r>
              <w:rPr>
                <w:sz w:val="18"/>
              </w:rPr>
              <w:t xml:space="preserve">Gaussian update</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GPU publication bytes</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Temporal pixels invalidated</w:t>
            </w:r>
          </w:p>
        </w:tc>
        <w:tc>
          <w:tcPr>
            <w:tcW w:type="dxa" w:w="2880"/>
          </w:tcPr>
          <w:p>
            <w:pPr>
              <w:pStyle w:val="Compact"/>
              <w:spacing w:after="40" w:before="40"/>
              <w:jc w:val="left"/>
            </w:pPr>
            <w:r>
              <w:rPr>
                <w:sz w:val="18"/>
              </w:rPr>
              <w:t xml:space="preserve">0.034948</w:t>
            </w:r>
          </w:p>
        </w:tc>
      </w:tr>
    </w:tbl>
    <w:bookmarkEnd w:id="67"/>
    <w:p>
      <w:pPr>
        <w:pStyle w:val="BodyText"/>
      </w:pPr>
      <w:r>
        <w:t xml:space="preserve">Inspection remains nearly global even when the selected update, publication, and temporal domains are local. The table exposes rather than hides the discovery bottleneck.</w:t>
      </w:r>
    </w:p>
    <w:bookmarkEnd w:id="68"/>
    <w:bookmarkStart w:id="70" w:name="sparse-candidate-discovery"/>
    <w:p>
      <w:pPr>
        <w:pStyle w:val="Heading2"/>
      </w:pPr>
      <w:r>
        <w:rPr>
          <w:rStyle w:val="SectionNumber"/>
        </w:rPr>
        <w:t xml:space="preserve">7.4</w:t>
      </w:r>
      <w:r>
        <w:tab/>
      </w: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5). This result demonstrates that the discovery bottleneck is removable in isolation, but it is not silently credited to the frozen end-to-end work ledger because that index was evaluated separately.</w:t>
      </w:r>
    </w:p>
    <w:bookmarkStart w:id="69" w:name="tab:sparse"/>
    <w:p>
      <w:pPr>
        <w:pStyle w:val="TableCaption"/>
        <w:keepNext/>
      </w:pPr>
      <w:r>
        <w:t xml:space="preserve">Table 5. </w:t>
      </w:r>
      <w:r>
        <w:t xml:space="preserve">Separate sparse-discovery study summary.</w:t>
      </w:r>
    </w:p>
    <w:tbl>
      <w:tblPr>
        <w:tblW w:type="auto" w:w="0"/>
        <w:tblLayout w:type="fixed"/>
        <w:tblLook w:firstRow="1" w:lastRow="0" w:firstColumn="0" w:lastColumn="0" w:noHBand="0" w:noVBand="0" w:val="0020"/>
        <w:jc w:val="start"/>
        <w:tblCaption w:val="Separate sparse-discovery study summary."/>
        <w:tblBorders>
          <w:top w:val="single" w:sz="4" w:color="B0B0B0"/>
          <w:bottom w:val="single" w:sz="4" w:color="B0B0B0"/>
          <w:insideH w:val="single" w:sz="4" w:color="B0B0B0"/>
        </w:tblBorders>
      </w:tblPr>
      <w:tblGrid>
        <w:gridCol w:w="6624"/>
        <w:gridCol w:w="3600"/>
      </w:tblGrid>
      <w:tr>
        <w:trPr>
          <w:tblHeader w:val="true"/>
          <w:cantSplit/>
          <w:tblHeader/>
        </w:trPr>
        <w:tc>
          <w:tcPr>
            <w:tcW w:type="dxa" w:w="6624"/>
          </w:tcPr>
          <w:p>
            <w:pPr>
              <w:pStyle w:val="Compact"/>
              <w:spacing w:after="40" w:before="40"/>
              <w:jc w:val="left"/>
            </w:pPr>
            <w:r>
              <w:rPr>
                <w:bCs/>
                <w:b/>
                <w:sz w:val="18"/>
              </w:rPr>
              <w:t xml:space="preserve">Statistic</w:t>
            </w:r>
          </w:p>
        </w:tc>
        <w:tc>
          <w:tcPr>
            <w:tcW w:type="dxa" w:w="3600"/>
          </w:tcPr>
          <w:p>
            <w:pPr>
              <w:pStyle w:val="Compact"/>
              <w:spacing w:after="40" w:before="40"/>
              <w:jc w:val="left"/>
            </w:pPr>
            <w:r>
              <w:rPr>
                <w:bCs/>
                <w:b/>
                <w:sz w:val="18"/>
              </w:rPr>
              <w:t xml:space="preserve">Value</w:t>
            </w:r>
          </w:p>
        </w:tc>
      </w:tr>
      <w:tr>
        <w:trPr>
          <w:cantSplit/>
        </w:trPr>
        <w:tc>
          <w:tcPr>
            <w:tcW w:type="dxa" w:w="6624"/>
          </w:tcPr>
          <w:p>
            <w:pPr>
              <w:pStyle w:val="Compact"/>
              <w:spacing w:after="40" w:before="40"/>
              <w:jc w:val="left"/>
            </w:pPr>
            <w:r>
              <w:rPr>
                <w:sz w:val="18"/>
              </w:rPr>
              <w:t xml:space="preserve">Exact candidate-selection agreement</w:t>
            </w:r>
          </w:p>
        </w:tc>
        <w:tc>
          <w:tcPr>
            <w:tcW w:type="dxa" w:w="3600"/>
          </w:tcPr>
          <w:p>
            <w:pPr>
              <w:pStyle w:val="Compact"/>
              <w:spacing w:after="40" w:before="40"/>
              <w:jc w:val="left"/>
            </w:pPr>
            <w:r>
              <w:rPr>
                <w:sz w:val="18"/>
              </w:rPr>
              <w:t xml:space="preserve">true</w:t>
            </w:r>
          </w:p>
        </w:tc>
      </w:tr>
      <w:tr>
        <w:trPr>
          <w:cantSplit/>
        </w:trPr>
        <w:tc>
          <w:tcPr>
            <w:tcW w:type="dxa" w:w="6624"/>
          </w:tcPr>
          <w:p>
            <w:pPr>
              <w:pStyle w:val="Compact"/>
              <w:spacing w:after="40" w:before="40"/>
              <w:jc w:val="left"/>
            </w:pPr>
            <w:r>
              <w:rPr>
                <w:sz w:val="18"/>
              </w:rPr>
              <w:t xml:space="preserve">Median inspected fraction</w:t>
            </w:r>
          </w:p>
        </w:tc>
        <w:tc>
          <w:tcPr>
            <w:tcW w:type="dxa" w:w="3600"/>
          </w:tcPr>
          <w:p>
            <w:pPr>
              <w:pStyle w:val="Compact"/>
              <w:spacing w:after="40" w:before="40"/>
              <w:jc w:val="left"/>
            </w:pPr>
            <w:r>
              <w:rPr>
                <w:sz w:val="18"/>
              </w:rPr>
              <w:t xml:space="preserve">0.010</w:t>
            </w:r>
          </w:p>
        </w:tc>
      </w:tr>
      <w:tr>
        <w:trPr>
          <w:cantSplit/>
        </w:trPr>
        <w:tc>
          <w:tcPr>
            <w:tcW w:type="dxa" w:w="6624"/>
          </w:tcPr>
          <w:p>
            <w:pPr>
              <w:pStyle w:val="Compact"/>
              <w:spacing w:after="40" w:before="40"/>
              <w:jc w:val="left"/>
            </w:pPr>
            <w:r>
              <w:rPr>
                <w:sz w:val="18"/>
              </w:rPr>
              <w:t xml:space="preserve">Minimum inspected fraction</w:t>
            </w:r>
          </w:p>
        </w:tc>
        <w:tc>
          <w:tcPr>
            <w:tcW w:type="dxa" w:w="3600"/>
          </w:tcPr>
          <w:p>
            <w:pPr>
              <w:pStyle w:val="Compact"/>
              <w:spacing w:after="40" w:before="40"/>
              <w:jc w:val="left"/>
            </w:pPr>
            <w:r>
              <w:rPr>
                <w:sz w:val="18"/>
              </w:rPr>
              <w:t xml:space="preserve">0.001</w:t>
            </w:r>
          </w:p>
        </w:tc>
      </w:tr>
      <w:tr>
        <w:trPr>
          <w:cantSplit/>
        </w:trPr>
        <w:tc>
          <w:tcPr>
            <w:tcW w:type="dxa" w:w="6624"/>
          </w:tcPr>
          <w:p>
            <w:pPr>
              <w:pStyle w:val="Compact"/>
              <w:spacing w:after="40" w:before="40"/>
              <w:jc w:val="left"/>
            </w:pPr>
            <w:r>
              <w:rPr>
                <w:sz w:val="18"/>
              </w:rPr>
              <w:t xml:space="preserve">Largest tested scale</w:t>
            </w:r>
          </w:p>
        </w:tc>
        <w:tc>
          <w:tcPr>
            <w:tcW w:type="dxa" w:w="3600"/>
          </w:tcPr>
          <w:p>
            <w:pPr>
              <w:pStyle w:val="Compact"/>
              <w:spacing w:after="40" w:before="40"/>
              <w:jc w:val="left"/>
            </w:pPr>
            <w:r>
              <w:rPr>
                <w:sz w:val="18"/>
              </w:rPr>
              <w:t xml:space="preserve">1,000,000 Gaussians</w:t>
            </w:r>
          </w:p>
        </w:tc>
      </w:tr>
    </w:tbl>
    <w:bookmarkEnd w:id="69"/>
    <w:p>
      <w:pPr>
        <w:pStyle w:val="BodyText"/>
      </w:pPr>
      <w:r>
        <w:t xml:space="preserve">The exact sparse-discovery sweep preserves candidate selection while substantially reducing inspected support. These savings are reported separately and are not credited to the frozen end-to-end headline work number.</w:t>
      </w:r>
    </w:p>
    <w:bookmarkEnd w:id="70"/>
    <w:bookmarkStart w:id="72" w:name="empirical-scheduling-and-ablations"/>
    <w:p>
      <w:pPr>
        <w:pStyle w:val="Heading2"/>
      </w:pPr>
      <w:r>
        <w:rPr>
          <w:rStyle w:val="SectionNumber"/>
        </w:rPr>
        <w:t xml:space="preserve">7.5</w:t>
      </w:r>
      <w:r>
        <w:tab/>
      </w: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6 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bookmarkStart w:id="71" w:name="tab:ablations"/>
    <w:p>
      <w:pPr>
        <w:pStyle w:val="TableCaption"/>
        <w:keepNext/>
      </w:pPr>
      <w:r>
        <w:t xml:space="preserve">Table 6. </w:t>
      </w:r>
      <w:r>
        <w:t xml:space="preserve">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w:t>
      </w:r>
    </w:p>
    <w:tbl>
      <w:tblPr>
        <w:tblW w:type="auto" w:w="0"/>
        <w:tblLayout w:type="fixed"/>
        <w:tblLook w:firstRow="1" w:lastRow="0" w:firstColumn="0" w:lastColumn="0" w:noHBand="0" w:noVBand="0" w:val="0020"/>
        <w:jc w:val="start"/>
        <w:tblCaption w:val="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
        <w:tblBorders>
          <w:top w:val="single" w:sz="4" w:color="B0B0B0"/>
          <w:bottom w:val="single" w:sz="4" w:color="B0B0B0"/>
          <w:insideH w:val="single" w:sz="4" w:color="B0B0B0"/>
        </w:tblBorders>
      </w:tblPr>
      <w:tblGrid>
        <w:gridCol w:w="2664"/>
        <w:gridCol w:w="864"/>
        <w:gridCol w:w="936"/>
        <w:gridCol w:w="1440"/>
        <w:gridCol w:w="4320"/>
      </w:tblGrid>
      <w:tr>
        <w:trPr>
          <w:tblHeader w:val="true"/>
          <w:cantSplit/>
          <w:tblHeader/>
        </w:trPr>
        <w:tc>
          <w:tcPr>
            <w:tcW w:type="dxa" w:w="2664"/>
          </w:tcPr>
          <w:p>
            <w:pPr>
              <w:pStyle w:val="Compact"/>
              <w:spacing w:after="40" w:before="40"/>
              <w:jc w:val="left"/>
            </w:pPr>
            <w:r>
              <w:rPr>
                <w:b/>
                <w:sz w:val="18"/>
              </w:rPr>
              <w:t xml:space="preserve">Ablation</w:t>
            </w:r>
          </w:p>
        </w:tc>
        <w:tc>
          <w:tcPr>
            <w:tcW w:type="dxa" w:w="864"/>
          </w:tcPr>
          <w:p>
            <w:pPr>
              <w:pStyle w:val="Compact"/>
              <w:spacing w:after="40" w:before="40"/>
              <w:jc w:val="left"/>
            </w:pPr>
            <w:r>
              <w:rPr>
                <w:b/>
                <w:sz w:val="18"/>
              </w:rPr>
              <w:t xml:space="preserve">Pass</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4320"/>
          </w:tcPr>
          <w:p>
            <w:pPr>
              <w:pStyle w:val="Compact"/>
              <w:spacing w:after="40" w:before="40"/>
              <w:jc w:val="left"/>
            </w:pPr>
            <w:r>
              <w:rPr>
                <w:b/>
                <w:sz w:val="18"/>
              </w:rPr>
              <w:t xml:space="preserve">Reading</w:t>
            </w:r>
          </w:p>
        </w:tc>
      </w:tr>
      <w:tr>
        <w:trPr>
          <w:cantSplit/>
        </w:trPr>
        <w:tc>
          <w:tcPr>
            <w:tcW w:type="dxa" w:w="2664"/>
          </w:tcPr>
          <w:p>
            <w:pPr>
              <w:pStyle w:val="Compact"/>
              <w:spacing w:after="40" w:before="40"/>
              <w:jc w:val="left"/>
            </w:pPr>
            <w:r>
              <w:rPr>
                <w:sz w:val="18"/>
              </w:rPr>
              <w:t xml:space="preserve">Remove predecessor closure</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exposes omitted required exact work</w:t>
            </w:r>
          </w:p>
        </w:tc>
      </w:tr>
      <w:tr>
        <w:trPr>
          <w:cantSplit/>
        </w:trPr>
        <w:tc>
          <w:tcPr>
            <w:tcW w:type="dxa" w:w="2664"/>
          </w:tcPr>
          <w:p>
            <w:pPr>
              <w:pStyle w:val="Compact"/>
              <w:spacing w:after="40" w:before="40"/>
              <w:jc w:val="left"/>
            </w:pPr>
            <w:r>
              <w:rPr>
                <w:sz w:val="18"/>
              </w:rPr>
              <w:t xml:space="preserve">Gaussian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Temporal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Remove QoI specialization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requires extra irrelevant work</w:t>
            </w:r>
          </w:p>
        </w:tc>
      </w:tr>
      <w:tr>
        <w:trPr>
          <w:cantSplit/>
        </w:trPr>
        <w:tc>
          <w:tcPr>
            <w:tcW w:type="dxa" w:w="2664"/>
          </w:tcPr>
          <w:p>
            <w:pPr>
              <w:pStyle w:val="Compact"/>
              <w:spacing w:after="40" w:before="40"/>
              <w:jc w:val="left"/>
            </w:pPr>
            <w:r>
              <w:rPr>
                <w:sz w:val="18"/>
              </w:rPr>
              <w:t xml:space="preserve">Collapse</w:t>
            </w:r>
            <w:r>
              <w:rPr>
                <w:sz w:val="18"/>
              </w:rPr>
              <w:t xml:space="preserve"> </w:t>
            </w:r>
            <w:r>
              <w:rPr>
                <w:smallCaps/>
                <w:sz w:val="18"/>
              </w:rPr>
              <w:t xml:space="preserve">Hard</w:t>
            </w:r>
            <w:r>
              <w:rPr>
                <w:sz w:val="18"/>
              </w:rPr>
              <w:t xml:space="preserve">/</w:t>
            </w:r>
            <w:r>
              <w:rPr>
                <w:smallCaps/>
                <w:sz w:val="18"/>
              </w:rPr>
              <w:t xml:space="preserve">Analytic</w:t>
            </w:r>
            <w:r>
              <w:rPr>
                <w:sz w:val="18"/>
              </w:rPr>
              <w:t xml:space="preserve"> </w:t>
            </w:r>
            <w:r>
              <w:rPr>
                <w:sz w:val="18"/>
              </w:rPr>
              <w:t xml:space="preserve">separation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becomes more conservative</w:t>
            </w:r>
          </w:p>
        </w:tc>
      </w:tr>
      <w:tr>
        <w:trPr>
          <w:cantSplit/>
        </w:trPr>
        <w:tc>
          <w:tcPr>
            <w:tcW w:type="dxa" w:w="2664"/>
          </w:tcPr>
          <w:p>
            <w:pPr>
              <w:pStyle w:val="Compact"/>
              <w:spacing w:after="40" w:before="40"/>
              <w:jc w:val="left"/>
            </w:pPr>
            <w:r>
              <w:rPr>
                <w:sz w:val="18"/>
              </w:rPr>
              <w:t xml:space="preserve">Global-norm exterior tail</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4320"/>
          </w:tcPr>
          <w:p>
            <w:pPr>
              <w:pStyle w:val="Compact"/>
              <w:spacing w:after="40" w:before="40"/>
              <w:jc w:val="left"/>
            </w:pPr>
            <w:r>
              <w:rPr>
                <w:sz w:val="18"/>
              </w:rPr>
              <w:t xml:space="preserve">safe but destroys locality on all 60 real cases</w:t>
            </w:r>
          </w:p>
        </w:tc>
      </w:tr>
      <w:tr>
        <w:trPr>
          <w:cantSplit/>
        </w:trPr>
        <w:tc>
          <w:tcPr>
            <w:tcW w:type="dxa" w:w="2664"/>
          </w:tcPr>
          <w:p>
            <w:pPr>
              <w:pStyle w:val="Compact"/>
              <w:spacing w:after="40" w:before="40"/>
              <w:jc w:val="left"/>
            </w:pPr>
            <w:r>
              <w:rPr>
                <w:sz w:val="18"/>
              </w:rPr>
              <w:t xml:space="preserve">Remove certified fallback</w:t>
            </w:r>
          </w:p>
        </w:tc>
        <w:tc>
          <w:tcPr>
            <w:tcW w:type="dxa" w:w="864"/>
          </w:tcPr>
          <w:p>
            <w:pPr>
              <w:pStyle w:val="Compact"/>
              <w:spacing w:after="40" w:before="40"/>
              <w:jc w:val="left"/>
            </w:pPr>
            <w:r>
              <w:rPr>
                <w:sz w:val="18"/>
              </w:rPr>
              <w:t xml:space="preserve">26.7%</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4320"/>
          </w:tcPr>
          <w:p>
            <w:pPr>
              <w:pStyle w:val="Compact"/>
              <w:spacing w:after="40" w:before="40"/>
              <w:jc w:val="left"/>
            </w:pPr>
            <w:r>
              <w:rPr>
                <w:sz w:val="18"/>
              </w:rPr>
              <w:t xml:space="preserve">44/60 real cases fail certification; synthetic case leaves an unsafe candidate</w:t>
            </w:r>
          </w:p>
        </w:tc>
      </w:tr>
    </w:tbl>
    <w:bookmarkEnd w:id="71"/>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72"/>
    <w:bookmarkEnd w:id="73"/>
    <w:bookmarkStart w:id="84"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74"/>
    <w:bookmarkStart w:id="82" w:name="limitations"/>
    <w:p>
      <w:pPr>
        <w:pStyle w:val="Heading2"/>
      </w:pPr>
      <w:r>
        <w:rPr>
          <w:rStyle w:val="SectionNumber"/>
        </w:rPr>
        <w:t xml:space="preserve">8.2</w:t>
      </w:r>
      <w:r>
        <w:tab/>
      </w:r>
      <w:r>
        <w:t xml:space="preserve">Limitations</w:t>
      </w:r>
    </w:p>
    <w:bookmarkStart w:id="7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75"/>
    <w:bookmarkStart w:id="7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76"/>
    <w:bookmarkStart w:id="7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77"/>
    <w:bookmarkStart w:id="78" w:name="greedy-search-is-not-globally-optimal."/>
    <w:p>
      <w:pPr>
        <w:pStyle w:val="Heading4"/>
      </w:pPr>
      <w:r>
        <w:t xml:space="preserve">Greedy search is not globally optimal.</w:t>
      </w:r>
    </w:p>
    <w:p>
      <w:pPr>
        <w:pStyle w:val="FirstParagraph"/>
      </w:pPr>
      <w:r>
        <w:t xml:space="preserve">Equation 15 constructs a certified feasible cone but does not prove that no cheaper safe cone exists. Global combinatorial minimum-work optimization is outside the v1 claim.</w:t>
      </w:r>
    </w:p>
    <w:bookmarkEnd w:id="78"/>
    <w:bookmarkStart w:id="7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79"/>
    <w:bookmarkStart w:id="8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80"/>
    <w:bookmarkStart w:id="8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81"/>
    <w:bookmarkEnd w:id="82"/>
    <w:bookmarkStart w:id="83" w:name="implications"/>
    <w:p>
      <w:pPr>
        <w:pStyle w:val="Heading2"/>
      </w:pPr>
      <w:r>
        <w:rPr>
          <w:rStyle w:val="SectionNumber"/>
        </w:rPr>
        <w:t xml:space="preserve">8.3</w:t>
      </w:r>
      <w:r>
        <w:tab/>
      </w: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 figures retain applicable upstream terms. Original software is licensed under Apache-2.0; original research communication is scoped under CC BY 4.0; third-party rights are recorded separately. For double-blind review, the public repository and author metadata should be replaced by an anonymized frozen supplement consistent with venue policy.</w:t>
      </w:r>
    </w:p>
    <w:bookmarkEnd w:id="85"/>
    <w:bookmarkStart w:id="125" w:name="conclusion"/>
    <w:p>
      <w:pPr>
        <w:pStyle w:val="Heading1"/>
      </w:pPr>
      <w:r>
        <w:rPr>
          <w:rStyle w:val="SectionNumber"/>
        </w:rPr>
        <w:t xml:space="preserve">10</w:t>
      </w:r>
      <w:r>
        <w:tab/>
      </w: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24" w:name="refs"/>
    <w:bookmarkStart w:id="8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6">
        <w:r>
          <w:rPr>
            <w:rStyle w:val="Hyperlink"/>
          </w:rPr>
          <w:t xml:space="preserve">https://doi.org/10.1017/S0956796813000099</w:t>
        </w:r>
      </w:hyperlink>
      <w:r>
        <w:t xml:space="preserve">.</w:t>
      </w:r>
    </w:p>
    <w:bookmarkEnd w:id="87"/>
    <w:bookmarkStart w:id="8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8"/>
    <w:bookmarkStart w:id="9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89">
        <w:r>
          <w:rPr>
            <w:rStyle w:val="Hyperlink"/>
          </w:rPr>
          <w:t xml:space="preserve">https://doi.org/10.2312/EGWR/EGWR99/031-044</w:t>
        </w:r>
      </w:hyperlink>
      <w:r>
        <w:t xml:space="preserve">.</w:t>
      </w:r>
    </w:p>
    <w:bookmarkEnd w:id="90"/>
    <w:bookmarkStart w:id="9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1">
        <w:r>
          <w:rPr>
            <w:rStyle w:val="Hyperlink"/>
          </w:rPr>
          <w:t xml:space="preserve">https://doi.org/10.1109/CVPR52733.2024.02029</w:t>
        </w:r>
      </w:hyperlink>
      <w:r>
        <w:t xml:space="preserve">.</w:t>
      </w:r>
    </w:p>
    <w:bookmarkEnd w:id="92"/>
    <w:bookmarkStart w:id="9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3"/>
    <w:bookmarkStart w:id="9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94"/>
    <w:bookmarkStart w:id="9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5"/>
    <w:bookmarkStart w:id="9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6"/>
    <w:bookmarkStart w:id="9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97">
        <w:r>
          <w:rPr>
            <w:rStyle w:val="Hyperlink"/>
          </w:rPr>
          <w:t xml:space="preserve">https://doi.org/10.1109/CVPR52733.2024.00404</w:t>
        </w:r>
      </w:hyperlink>
      <w:r>
        <w:t xml:space="preserve">.</w:t>
      </w:r>
    </w:p>
    <w:bookmarkEnd w:id="98"/>
    <w:bookmarkStart w:id="9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99"/>
    <w:bookmarkStart w:id="10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0">
        <w:r>
          <w:rPr>
            <w:rStyle w:val="Hyperlink"/>
          </w:rPr>
          <w:t xml:space="preserve">https://doi.org/10.1145/3592433</w:t>
        </w:r>
      </w:hyperlink>
      <w:r>
        <w:t xml:space="preserve">.</w:t>
      </w:r>
    </w:p>
    <w:bookmarkEnd w:id="101"/>
    <w:bookmarkStart w:id="10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2">
        <w:r>
          <w:rPr>
            <w:rStyle w:val="Hyperlink"/>
          </w:rPr>
          <w:t xml:space="preserve">https://doi.org/10.1109/3DV62453.2024.00044</w:t>
        </w:r>
      </w:hyperlink>
      <w:r>
        <w:t xml:space="preserve">.</w:t>
      </w:r>
    </w:p>
    <w:bookmarkEnd w:id="103"/>
    <w:bookmarkStart w:id="10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04">
        <w:r>
          <w:rPr>
            <w:rStyle w:val="Hyperlink"/>
          </w:rPr>
          <w:t xml:space="preserve">https://doi.org/10.1109/CVPR52733.2024.01708</w:t>
        </w:r>
      </w:hyperlink>
      <w:r>
        <w:t xml:space="preserve">.</w:t>
      </w:r>
    </w:p>
    <w:bookmarkEnd w:id="105"/>
    <w:bookmarkStart w:id="10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06"/>
    <w:bookmarkStart w:id="10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07"/>
    <w:bookmarkStart w:id="10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08">
        <w:r>
          <w:rPr>
            <w:rStyle w:val="Hyperlink"/>
          </w:rPr>
          <w:t xml:space="preserve">https://doi.org/10.1016/S0898-1221(00)00317-5</w:t>
        </w:r>
      </w:hyperlink>
      <w:r>
        <w:t xml:space="preserve">.</w:t>
      </w:r>
    </w:p>
    <w:bookmarkEnd w:id="109"/>
    <w:bookmarkStart w:id="11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0">
        <w:r>
          <w:rPr>
            <w:rStyle w:val="Hyperlink"/>
          </w:rPr>
          <w:t xml:space="preserve">https://doi.org/10.1145/344779.344936</w:t>
        </w:r>
      </w:hyperlink>
      <w:r>
        <w:t xml:space="preserve">.</w:t>
      </w:r>
    </w:p>
    <w:bookmarkEnd w:id="111"/>
    <w:bookmarkStart w:id="11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12">
        <w:r>
          <w:rPr>
            <w:rStyle w:val="Hyperlink"/>
          </w:rPr>
          <w:t xml:space="preserve">https://doi.org/10.1109/ICCV48922.2021.00617</w:t>
        </w:r>
      </w:hyperlink>
      <w:r>
        <w:t xml:space="preserve">.</w:t>
      </w:r>
    </w:p>
    <w:bookmarkEnd w:id="113"/>
    <w:bookmarkStart w:id="11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14"/>
    <w:bookmarkStart w:id="11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15">
        <w:r>
          <w:rPr>
            <w:rStyle w:val="Hyperlink"/>
          </w:rPr>
          <w:t xml:space="preserve">https://doi.org/10.1145/2492045.2492051</w:t>
        </w:r>
      </w:hyperlink>
      <w:r>
        <w:t xml:space="preserve">.</w:t>
      </w:r>
    </w:p>
    <w:bookmarkEnd w:id="116"/>
    <w:bookmarkStart w:id="11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17">
        <w:r>
          <w:rPr>
            <w:rStyle w:val="Hyperlink"/>
          </w:rPr>
          <w:t xml:space="preserve">https://doi.org/10.1109/CVPR52733.2024.01920</w:t>
        </w:r>
      </w:hyperlink>
      <w:r>
        <w:t xml:space="preserve">.</w:t>
      </w:r>
    </w:p>
    <w:bookmarkEnd w:id="118"/>
    <w:bookmarkStart w:id="11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19"/>
    <w:bookmarkStart w:id="12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0"/>
    <w:bookmarkStart w:id="12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21">
        <w:r>
          <w:rPr>
            <w:rStyle w:val="Hyperlink"/>
          </w:rPr>
          <w:t xml:space="preserve">https://doi.org/10.1109/ICCV51701.2025.02393</w:t>
        </w:r>
      </w:hyperlink>
      <w:r>
        <w:t xml:space="preserve">.</w:t>
      </w:r>
    </w:p>
    <w:bookmarkEnd w:id="122"/>
    <w:bookmarkStart w:id="12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23"/>
    <w:bookmarkEnd w:id="124"/>
    <w:bookmarkEnd w:id="125"/>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2" Type="http://schemas.openxmlformats.org/officeDocument/2006/relationships/image" Target="media/rId62.png"/><Relationship Id="rId108"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2" Type="http://schemas.openxmlformats.org/officeDocument/2006/relationships/hyperlink" Target="https://doi.org/10.1109/3DV62453.2024.00044" TargetMode="External"/><Relationship Id="rId97" Type="http://schemas.openxmlformats.org/officeDocument/2006/relationships/hyperlink" Target="https://doi.org/10.1109/CVPR52733.2024.00404" TargetMode="External"/><Relationship Id="rId104" Type="http://schemas.openxmlformats.org/officeDocument/2006/relationships/hyperlink" Target="https://doi.org/10.1109/CVPR52733.2024.01708" TargetMode="External"/><Relationship Id="rId117" Type="http://schemas.openxmlformats.org/officeDocument/2006/relationships/hyperlink" Target="https://doi.org/10.1109/CVPR52733.2024.01920" TargetMode="External"/><Relationship Id="rId91" Type="http://schemas.openxmlformats.org/officeDocument/2006/relationships/hyperlink" Target="https://doi.org/10.1109/CVPR52733.2024.02029" TargetMode="External"/><Relationship Id="rId112" Type="http://schemas.openxmlformats.org/officeDocument/2006/relationships/hyperlink" Target="https://doi.org/10.1109/ICCV48922.2021.00617" TargetMode="External"/><Relationship Id="rId121" Type="http://schemas.openxmlformats.org/officeDocument/2006/relationships/hyperlink" Target="https://doi.org/10.1109/ICCV51701.2025.02393" TargetMode="External"/><Relationship Id="rId115" Type="http://schemas.openxmlformats.org/officeDocument/2006/relationships/hyperlink" Target="https://doi.org/10.1145/2492045.2492051" TargetMode="External"/><Relationship Id="rId110" Type="http://schemas.openxmlformats.org/officeDocument/2006/relationships/hyperlink" Target="https://doi.org/10.1145/344779.344936" TargetMode="External"/><Relationship Id="rId100"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2" Type="http://schemas.openxmlformats.org/officeDocument/2006/relationships/hyperlink" Target="https://doi.org/10.1109/3DV62453.2024.00044" TargetMode="External"/><Relationship Id="rId97" Type="http://schemas.openxmlformats.org/officeDocument/2006/relationships/hyperlink" Target="https://doi.org/10.1109/CVPR52733.2024.00404" TargetMode="External"/><Relationship Id="rId104" Type="http://schemas.openxmlformats.org/officeDocument/2006/relationships/hyperlink" Target="https://doi.org/10.1109/CVPR52733.2024.01708" TargetMode="External"/><Relationship Id="rId117" Type="http://schemas.openxmlformats.org/officeDocument/2006/relationships/hyperlink" Target="https://doi.org/10.1109/CVPR52733.2024.01920" TargetMode="External"/><Relationship Id="rId91" Type="http://schemas.openxmlformats.org/officeDocument/2006/relationships/hyperlink" Target="https://doi.org/10.1109/CVPR52733.2024.02029" TargetMode="External"/><Relationship Id="rId112" Type="http://schemas.openxmlformats.org/officeDocument/2006/relationships/hyperlink" Target="https://doi.org/10.1109/ICCV48922.2021.00617" TargetMode="External"/><Relationship Id="rId121" Type="http://schemas.openxmlformats.org/officeDocument/2006/relationships/hyperlink" Target="https://doi.org/10.1109/ICCV51701.2025.02393" TargetMode="External"/><Relationship Id="rId115" Type="http://schemas.openxmlformats.org/officeDocument/2006/relationships/hyperlink" Target="https://doi.org/10.1145/2492045.2492051" TargetMode="External"/><Relationship Id="rId110" Type="http://schemas.openxmlformats.org/officeDocument/2006/relationships/hyperlink" Target="https://doi.org/10.1145/344779.344936" TargetMode="External"/><Relationship Id="rId100"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2026-09-22T00:08:15Z</dcterms:created>
  <dcterms:modified xsi:type="dcterms:W3CDTF">2026-09-22T00:08:15Z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