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w:t>
      </w:r>
      <w:r>
        <w:rPr>
          <w:bCs/>
          <w:b/>
        </w:rPr>
        <w:t xml:space="preserve">curless1996volumetric?</w:t>
      </w:r>
      <w:r>
        <w:t xml:space="preserve">;</w:t>
      </w:r>
      <w:r>
        <w:t xml:space="preserve"> </w:t>
      </w:r>
      <w:r>
        <w:rPr>
          <w:bCs/>
          <w:b/>
        </w:rPr>
        <w:t xml:space="preserve">newcombe2011kinectfusion?</w:t>
      </w:r>
      <w:r>
        <w:t xml:space="preserve">;</w:t>
      </w:r>
      <w:r>
        <w:t xml:space="preserve"> </w:t>
      </w:r>
      <w:r>
        <w:rPr>
          <w:bCs/>
          <w:b/>
        </w:rPr>
        <w:t xml:space="preserve">dai2017bundlefusion?</w:t>
      </w:r>
      <w:r>
        <w:t xml:space="preserve">)</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w:t>
      </w:r>
      <w:r>
        <w:rPr>
          <w:bCs/>
          <w:b/>
        </w:rPr>
        <w:t xml:space="preserve">kerbl2023gaussians?</w:t>
      </w:r>
      <w:r>
        <w:t xml:space="preserve">;</w:t>
      </w:r>
      <w:r>
        <w:t xml:space="preserve"> </w:t>
      </w:r>
      <w:r>
        <w:rPr>
          <w:bCs/>
          <w:b/>
        </w:rPr>
        <w:t xml:space="preserve">keetha2024splatam?</w:t>
      </w:r>
      <w:r>
        <w:t xml:space="preserve">;</w:t>
      </w:r>
      <w:r>
        <w:t xml:space="preserve"> </w:t>
      </w:r>
      <w:r>
        <w:rPr>
          <w:bCs/>
          <w:b/>
        </w:rPr>
        <w:t xml:space="preserve">matsuki2024monogs?</w:t>
      </w:r>
      <w:r>
        <w:t xml:space="preserve">)</w:t>
      </w:r>
      <w:r>
        <w:t xml:space="preserve">. Continual Gaussian systems consequently restrict optimization to changed regions or manage stale observations over time</w:t>
      </w:r>
      <w:r>
        <w:t xml:space="preserve"> </w:t>
      </w:r>
      <w:r>
        <w:t xml:space="preserve">(</w:t>
      </w:r>
      <w:r>
        <w:rPr>
          <w:bCs/>
          <w:b/>
        </w:rPr>
        <w:t xml:space="preserve">ackermann2025clsplats?</w:t>
      </w:r>
      <w:r>
        <w:t xml:space="preserve">;</w:t>
      </w:r>
      <w:r>
        <w:t xml:space="preserve"> </w:t>
      </w:r>
      <w:r>
        <w:rPr>
          <w:bCs/>
          <w:b/>
        </w:rPr>
        <w:t xml:space="preserve">zeng2025gaussianupdate?</w:t>
      </w:r>
      <w:r>
        <w:t xml:space="preserve">;</w:t>
      </w:r>
      <w:r>
        <w:t xml:space="preserve"> </w:t>
      </w:r>
      <w:r>
        <w:rPr>
          <w:bCs/>
          <w:b/>
        </w:rPr>
        <w:t xml:space="preserve">yugay2026game?</w:t>
      </w:r>
      <w:r>
        <w:t xml:space="preserve">)</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A local result is accepted only if (1) exact predecessors are closed, (2) the conservative exterior bound lies inside the declared tolerance, and (3) calibrated regional work is lower than the independently measured full baseline. Unsupported coupling,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w:t>
      </w:r>
      <w:r>
        <w:rPr>
          <w:bCs/>
          <w:b/>
        </w:rPr>
        <w:t xml:space="preserve">curless1996volumetric?</w:t>
      </w:r>
      <w:r>
        <w:t xml:space="preserve">)</w:t>
      </w:r>
      <w:r>
        <w:t xml:space="preserve">, while surfels provided an explicit point-oriented alternative</w:t>
      </w:r>
      <w:r>
        <w:t xml:space="preserve"> </w:t>
      </w:r>
      <w:r>
        <w:t xml:space="preserve">(</w:t>
      </w:r>
      <w:r>
        <w:rPr>
          <w:bCs/>
          <w:b/>
        </w:rPr>
        <w:t xml:space="preserve">pfister2000surfels?</w:t>
      </w:r>
      <w:r>
        <w:t xml:space="preserve">)</w:t>
      </w:r>
      <w:r>
        <w:t xml:space="preserve">. KinectFusion demonstrated real-time dense fusion and tracking</w:t>
      </w:r>
      <w:r>
        <w:t xml:space="preserve"> </w:t>
      </w:r>
      <w:r>
        <w:t xml:space="preserve">(</w:t>
      </w:r>
      <w:r>
        <w:rPr>
          <w:bCs/>
          <w:b/>
        </w:rPr>
        <w:t xml:space="preserve">newcombe2011kinectfusion?</w:t>
      </w:r>
      <w:r>
        <w:t xml:space="preserve">)</w:t>
      </w:r>
      <w:r>
        <w:t xml:space="preserve">; ElasticFusion maintained and corrected dense surfel maps without a conventional pose graph</w:t>
      </w:r>
      <w:r>
        <w:t xml:space="preserve"> </w:t>
      </w:r>
      <w:r>
        <w:t xml:space="preserve">(</w:t>
      </w:r>
      <w:r>
        <w:rPr>
          <w:bCs/>
          <w:b/>
        </w:rPr>
        <w:t xml:space="preserve">whelan2015elasticfusion?</w:t>
      </w:r>
      <w:r>
        <w:t xml:space="preserve">)</w:t>
      </w:r>
      <w:r>
        <w:t xml:space="preserve">; and BundleFusion performed globally consistent online surface reintegration</w:t>
      </w:r>
      <w:r>
        <w:t xml:space="preserve"> </w:t>
      </w:r>
      <w:r>
        <w:t xml:space="preserve">(</w:t>
      </w:r>
      <w:r>
        <w:rPr>
          <w:bCs/>
          <w:b/>
        </w:rPr>
        <w:t xml:space="preserve">dai2017bundlefusion?</w:t>
      </w:r>
      <w:r>
        <w:t xml:space="preserve">)</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w:t>
      </w:r>
      <w:r>
        <w:rPr>
          <w:bCs/>
          <w:b/>
        </w:rPr>
        <w:t xml:space="preserve">mildenhall2020nerf?</w:t>
      </w:r>
      <w:r>
        <w:t xml:space="preserve">)</w:t>
      </w:r>
      <w:r>
        <w:t xml:space="preserve">. iMAP and NICE-SLAM brought learned implicit representations into online mapping and SLAM</w:t>
      </w:r>
      <w:r>
        <w:t xml:space="preserve"> </w:t>
      </w:r>
      <w:r>
        <w:t xml:space="preserve">(</w:t>
      </w:r>
      <w:r>
        <w:rPr>
          <w:bCs/>
          <w:b/>
        </w:rPr>
        <w:t xml:space="preserve">sucar2021imap?</w:t>
      </w:r>
      <w:r>
        <w:t xml:space="preserve">;</w:t>
      </w:r>
      <w:r>
        <w:t xml:space="preserve"> </w:t>
      </w:r>
      <w:r>
        <w:rPr>
          <w:bCs/>
          <w:b/>
        </w:rPr>
        <w:t xml:space="preserve">zhu2022niceslam?</w:t>
      </w:r>
      <w:r>
        <w:t xml:space="preserve">)</w:t>
      </w:r>
      <w:r>
        <w:t xml:space="preserve">. 3D Gaussian Splatting (3DGS) subsequently provided an explicit anisotropic representation with real-time rendering</w:t>
      </w:r>
      <w:r>
        <w:t xml:space="preserve"> </w:t>
      </w:r>
      <w:r>
        <w:t xml:space="preserve">(</w:t>
      </w:r>
      <w:r>
        <w:rPr>
          <w:bCs/>
          <w:b/>
        </w:rPr>
        <w:t xml:space="preserve">kerbl2023gaussians?</w:t>
      </w:r>
      <w:r>
        <w:t xml:space="preserve">)</w:t>
      </w:r>
      <w:r>
        <w:t xml:space="preserve">; SplaTAM and Gaussian Splatting SLAM adapted Gaussian representations to online RGB-D and monocular mapping</w:t>
      </w:r>
      <w:r>
        <w:t xml:space="preserve"> </w:t>
      </w:r>
      <w:r>
        <w:t xml:space="preserve">(</w:t>
      </w:r>
      <w:r>
        <w:rPr>
          <w:bCs/>
          <w:b/>
        </w:rPr>
        <w:t xml:space="preserve">keetha2024splatam?</w:t>
      </w:r>
      <w:r>
        <w:t xml:space="preserve">;</w:t>
      </w:r>
      <w:r>
        <w:t xml:space="preserve"> </w:t>
      </w:r>
      <w:r>
        <w:rPr>
          <w:bCs/>
          <w:b/>
        </w:rPr>
        <w:t xml:space="preserve">matsuki2024monogs?</w:t>
      </w:r>
      <w:r>
        <w:t xml:space="preserve">)</w:t>
      </w:r>
      <w:r>
        <w:t xml:space="preserve">. Dynamic 3D Gaussians and 4D-GS model time-varying scene state</w:t>
      </w:r>
      <w:r>
        <w:t xml:space="preserve"> </w:t>
      </w:r>
      <w:r>
        <w:t xml:space="preserve">(</w:t>
      </w:r>
      <w:r>
        <w:rPr>
          <w:bCs/>
          <w:b/>
        </w:rPr>
        <w:t xml:space="preserve">luiten2024dynamic3dgaussians?</w:t>
      </w:r>
      <w:r>
        <w:t xml:space="preserve">;</w:t>
      </w:r>
      <w:r>
        <w:t xml:space="preserve"> </w:t>
      </w:r>
      <w:r>
        <w:rPr>
          <w:bCs/>
          <w:b/>
        </w:rPr>
        <w:t xml:space="preserve">wu2024fourDGS?</w:t>
      </w:r>
      <w:r>
        <w:t xml:space="preserve">)</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w:t>
      </w:r>
      <w:r>
        <w:rPr>
          <w:bCs/>
          <w:b/>
        </w:rPr>
        <w:t xml:space="preserve">ackermann2025clsplats?</w:t>
      </w:r>
      <w:r>
        <w:t xml:space="preserve">)</w:t>
      </w:r>
      <w:r>
        <w:t xml:space="preserve">. GaussianUpdate performs continual radiance-field updates with change-specific strategies and visibility-aware replay</w:t>
      </w:r>
      <w:r>
        <w:t xml:space="preserve"> </w:t>
      </w:r>
      <w:r>
        <w:t xml:space="preserve">(</w:t>
      </w:r>
      <w:r>
        <w:rPr>
          <w:bCs/>
          <w:b/>
        </w:rPr>
        <w:t xml:space="preserve">zeng2025gaussianupdate?</w:t>
      </w:r>
      <w:r>
        <w:t xml:space="preserve">)</w:t>
      </w:r>
      <w:r>
        <w:t xml:space="preserve">. GaME targets long-term evolving RGB-D scenes and manages stale observations while adapting the Gaussian map</w:t>
      </w:r>
      <w:r>
        <w:t xml:space="preserve"> </w:t>
      </w:r>
      <w:r>
        <w:t xml:space="preserve">(</w:t>
      </w:r>
      <w:r>
        <w:rPr>
          <w:bCs/>
          <w:b/>
        </w:rPr>
        <w:t xml:space="preserve">yugay2026game?</w:t>
      </w:r>
      <w:r>
        <w:t xml:space="preserve">)</w:t>
      </w:r>
      <w:r>
        <w:t xml:space="preserve">. EliGSiR addresses continual Gaussian mapping under a bounded compute budget through adaptive view scheduling, supervision fidelity, and geometry growth</w:t>
      </w:r>
      <w:r>
        <w:t xml:space="preserve"> </w:t>
      </w:r>
      <w:r>
        <w:t xml:space="preserve">(</w:t>
      </w:r>
      <w:r>
        <w:rPr>
          <w:bCs/>
          <w:b/>
        </w:rPr>
        <w:t xml:space="preserve">ellensohn2026eligsir?</w:t>
      </w:r>
      <w:r>
        <w:t xml:space="preserve">)</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w:t>
      </w:r>
      <w:r>
        <w:rPr>
          <w:bCs/>
          <w:b/>
        </w:rPr>
        <w:t xml:space="preserve">chen2024gaussianeditor?</w:t>
      </w:r>
      <w:r>
        <w:t xml:space="preserve">;</w:t>
      </w:r>
      <w:r>
        <w:t xml:space="preserve"> </w:t>
      </w:r>
      <w:r>
        <w:rPr>
          <w:bCs/>
          <w:b/>
        </w:rPr>
        <w:t xml:space="preserve">huang2024scgs?</w:t>
      </w:r>
      <w:r>
        <w:t xml:space="preserve">)</w:t>
      </w:r>
      <w:r>
        <w:t xml:space="preserve">. Recent primitive-space change detection argues that Gaussian attributes can directly reveal structural and appearance change</w:t>
      </w:r>
      <w:r>
        <w:t xml:space="preserve"> </w:t>
      </w:r>
      <w:r>
        <w:t xml:space="preserve">(</w:t>
      </w:r>
      <w:r>
        <w:rPr>
          <w:bCs/>
          <w:b/>
        </w:rPr>
        <w:t xml:space="preserve">galappaththige2026pixels?</w:t>
      </w:r>
      <w:r>
        <w:t xml:space="preserve">)</w:t>
      </w:r>
      <w:r>
        <w:t xml:space="preserve">. Consistent Instance Field models persistent probabilistic identity in dynamic Gaussian scenes</w:t>
      </w:r>
      <w:r>
        <w:t xml:space="preserve"> </w:t>
      </w:r>
      <w:r>
        <w:t xml:space="preserve">(</w:t>
      </w:r>
      <w:r>
        <w:rPr>
          <w:bCs/>
          <w:b/>
        </w:rPr>
        <w:t xml:space="preserve">wu2026cif?</w:t>
      </w:r>
      <w:r>
        <w:t xml:space="preserve">)</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9a513f5c9e67cec8b12985e80e162e71f8bf261"/>
    <w:p>
      <w:pPr>
        <w:pStyle w:val="Heading4"/>
      </w:pPr>
      <w:r>
        <w:t xml:space="preserve">Incremental computation and error control.</w:t>
      </w:r>
    </w:p>
    <w:p>
      <w:pPr>
        <w:pStyle w:val="FirstParagraph"/>
      </w:pPr>
      <w:r>
        <w:t xml:space="preserve">The mathematical tools underlying CBRC are classical: graph closure, non-negative influence propagation, Neumann-series resolvents, norm bounds, and greedy search are not introduced by this work. The contribution lies in the captured-world specialization and the systems contract that keeps exact and approximate dependencies separate, binds the residual to an explicit output, compares regional work to an independent full baseline, and falsifies each selected repair against full replay.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38"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r>
            <m:t>A</m:t>
          </m:r>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e>
              </m:d>
            </m:e>
          </m:nary>
          <m:r>
            <m:rPr>
              <m:sty m:val="p"/>
            </m:rPr>
            <m:t>.</m:t>
          </m:r>
        </m:oMath>
      </m:oMathPara>
    </w:p>
    <w:p>
      <w:pPr>
        <w:pStyle w:val="FirstParagraph"/>
      </w:pPr>
      <w:r>
        <w:t xml:space="preserve">If the relevant color interval has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adding or removing the edited set changes a pixel by at most</w:t>
      </w:r>
      <w:r>
        <w:t xml:space="preserve"> </w:t>
      </w:r>
      <m:oMath>
        <m:sSub>
          <m:e>
            <m:r>
              <m:t>C</m:t>
            </m:r>
          </m:e>
          <m:sub>
            <m:r>
              <m:rPr>
                <m:sty m:val="p"/>
              </m:rPr>
              <m:t>c</m:t>
            </m:r>
            <m:r>
              <m:rPr>
                <m:sty m:val="p"/>
              </m:rPr>
              <m:t>o</m:t>
            </m:r>
            <m:r>
              <m:rPr>
                <m:sty m:val="p"/>
              </m:rPr>
              <m:t>l</m:t>
            </m:r>
            <m:r>
              <m:rPr>
                <m:sty m:val="p"/>
              </m:rPr>
              <m:t>o</m:t>
            </m:r>
            <m:r>
              <m:rPr>
                <m:sty m:val="p"/>
              </m:rPr>
              <m:t>r</m:t>
            </m:r>
          </m:sub>
        </m:sSub>
        <m:r>
          <m:t>A</m:t>
        </m:r>
        <m:d>
          <m:dPr>
            <m:begChr m:val="("/>
            <m:endChr m:val=")"/>
            <m:sepChr m:val=""/>
            <m:grow/>
          </m:dPr>
          <m:e>
            <m:r>
              <m:t>E</m:t>
            </m:r>
          </m:e>
        </m:d>
      </m:oMath>
      <w:r>
        <w:t xml:space="preserve">. Comparing before and after edited sets</w:t>
      </w:r>
      <w:r>
        <w:t xml:space="preserve"> </w:t>
      </w:r>
      <m:oMath>
        <m:sSub>
          <m:e>
            <m:r>
              <m:t>E</m:t>
            </m:r>
          </m:e>
          <m:sub>
            <m:r>
              <m:t>0</m:t>
            </m:r>
          </m:sub>
        </m:sSub>
        <m:r>
          <m:rPr>
            <m:sty m:val="p"/>
          </m:rPr>
          <m:t>,</m:t>
        </m:r>
        <m:sSub>
          <m:e>
            <m:r>
              <m:t>E</m:t>
            </m:r>
          </m:e>
          <m:sub>
            <m:r>
              <m:t>1</m:t>
            </m:r>
          </m:sub>
        </m:sSub>
      </m:oMath>
      <w:r>
        <w:t xml:space="preserve"> </w:t>
      </w:r>
      <w:r>
        <w:t xml:space="preserve">gives</w:t>
      </w:r>
    </w:p>
    <w:p>
      <w:pPr>
        <w:pStyle w:val="BodyText"/>
      </w:pPr>
      <m:oMathPara>
        <m:oMathParaPr>
          <m:jc m:val="center"/>
        </m:oMathParaPr>
        <m:oMath>
          <m:sSub>
            <m:e>
              <m:d>
                <m:dPr>
                  <m:begChr m:val="∥"/>
                  <m:endChr m:val="∥"/>
                  <m:sepChr m:val=""/>
                  <m:grow/>
                </m:dPr>
                <m:e>
                  <m:r>
                    <m:t>R</m:t>
                  </m:r>
                  <m:d>
                    <m:dPr>
                      <m:begChr m:val="("/>
                      <m:endChr m:val=")"/>
                      <m:sepChr m:val=""/>
                      <m:grow/>
                    </m:dPr>
                    <m:e>
                      <m:r>
                        <m:t>U</m:t>
                      </m:r>
                      <m:r>
                        <m:rPr>
                          <m:sty m:val="p"/>
                        </m:rPr>
                        <m:t>∪</m:t>
                      </m:r>
                      <m:sSub>
                        <m:e>
                          <m:r>
                            <m:t>E</m:t>
                          </m:r>
                        </m:e>
                        <m:sub>
                          <m:r>
                            <m:t>0</m:t>
                          </m:r>
                        </m:sub>
                      </m:sSub>
                    </m:e>
                  </m:d>
                  <m:r>
                    <m:rPr>
                      <m:sty m:val="p"/>
                    </m:rPr>
                    <m:t>−</m:t>
                  </m:r>
                  <m:r>
                    <m:t>R</m:t>
                  </m:r>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r>
                <m:t>A</m:t>
              </m:r>
              <m:d>
                <m:dPr>
                  <m:begChr m:val="("/>
                  <m:endChr m:val=")"/>
                  <m:sepChr m:val=""/>
                  <m:grow/>
                </m:dPr>
                <m:e>
                  <m:sSub>
                    <m:e>
                      <m:r>
                        <m:t>E</m:t>
                      </m:r>
                    </m:e>
                    <m:sub>
                      <m:r>
                        <m:t>0</m:t>
                      </m:r>
                    </m:sub>
                  </m:sSub>
                </m:e>
              </m:d>
              <m:r>
                <m:rPr>
                  <m:sty m:val="p"/>
                </m:rPr>
                <m:t>+</m:t>
              </m:r>
              <m:r>
                <m:t>A</m:t>
              </m:r>
              <m:d>
                <m:dPr>
                  <m:begChr m:val="("/>
                  <m:endChr m:val=")"/>
                  <m:sepChr m:val=""/>
                  <m:grow/>
                </m:dPr>
                <m:e>
                  <m:sSub>
                    <m:e>
                      <m:r>
                        <m:t>E</m:t>
                      </m:r>
                    </m:e>
                    <m:sub>
                      <m:r>
                        <m:t>1</m:t>
                      </m:r>
                    </m:sub>
                  </m:sSub>
                </m:e>
              </m:d>
            </m:e>
          </m:d>
          <m:r>
            <m:rPr>
              <m:sty m:val="p"/>
            </m:rPr>
            <m:t>.</m:t>
          </m:r>
        </m:oMath>
      </m:oMathPara>
    </w:p>
    <w:p>
      <w:pPr>
        <w:pStyle w:val="FirstParagraph"/>
      </w:pPr>
      <w:r>
        <w:t xml:space="preserve">The protected-image certificate is the maximum of Eq. </w:t>
      </w:r>
      <w:hyperlink w:anchor="eq:gaussianbound">
        <w:r>
          <w:rPr>
            <w:rStyle w:val="Hyperlink"/>
          </w:rPr>
          <w:t xml:space="preserve">[eq:gaussianbound]</w:t>
        </w:r>
      </w:hyperlink>
      <w:r>
        <w:t xml:space="preserve"> </w:t>
      </w:r>
      <w:r>
        <w:t xml:space="preserve">over the declared pixel support. The bound is conservative by construction over the modeled edit and rendering assumptions; it is not a learned predictor of expected error.</w:t>
      </w:r>
    </w:p>
    <w:bookmarkEnd w:id="35"/>
    <w:bookmarkStart w:id="36"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36"/>
    <w:bookmarkStart w:id="37" w:name="X62e354406816ed1168c1ad132bd8541650ea272"/>
    <w:p>
      <w:pPr>
        <w:pStyle w:val="Heading2"/>
      </w:pPr>
      <w:r>
        <w:t xml:space="preserve">Greedy feasible-cone search and crossover</w:t>
      </w:r>
    </w:p>
    <w:p>
      <w:pPr>
        <w:pStyle w:val="FirstParagraph"/>
      </w:pPr>
      <w:r>
        <w:t xml:space="preserve">Define normalized violation</w:t>
      </w:r>
    </w:p>
    <w:p>
      <w:pPr>
        <w:pStyle w:val="BodyText"/>
      </w:pPr>
      <m:oMathPara>
        <m:oMathParaPr>
          <m:jc m:val="center"/>
        </m:oMathParaPr>
        <m:oMath>
          <m:r>
            <m:t>ϕ</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A passing cone has</w:t>
      </w:r>
      <w:r>
        <w:t xml:space="preserve"> </w:t>
      </w:r>
      <m:oMath>
        <m:r>
          <m:t>ϕ</m:t>
        </m:r>
        <m:d>
          <m:dPr>
            <m:begChr m:val="("/>
            <m:endChr m:val=")"/>
            <m:sepChr m:val=""/>
            <m:grow/>
          </m:dPr>
          <m:e>
            <m:r>
              <m:t>C</m:t>
            </m:r>
          </m:e>
        </m:d>
        <m:r>
          <m:rPr>
            <m:sty m:val="p"/>
          </m:rPr>
          <m:t>≤</m:t>
        </m:r>
        <m:r>
          <m:t>1</m:t>
        </m:r>
      </m:oMath>
      <w:r>
        <w:t xml:space="preserve">. For a candidate expansion</w:t>
      </w:r>
      <w:r>
        <w:t xml:space="preserve"> </w:t>
      </w:r>
      <m:oMath>
        <m:r>
          <m:t>C</m:t>
        </m:r>
        <m:r>
          <m:rPr>
            <m:sty m:val="p"/>
          </m:rPr>
          <m:t>→</m:t>
        </m:r>
        <m:r>
          <m:t>C</m:t>
        </m:r>
        <m:r>
          <m:rPr>
            <m:sty m:val="p"/>
          </m:rPr>
          <m:t>′</m:t>
        </m:r>
      </m:oMath>
      <w:r>
        <w:t xml:space="preserve">, the v1 search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ϕ</m:t>
              </m:r>
              <m:d>
                <m:dPr>
                  <m:begChr m:val="("/>
                  <m:endChr m:val=")"/>
                  <m:sepChr m:val=""/>
                  <m:grow/>
                </m:dPr>
                <m:e>
                  <m:r>
                    <m:t>C</m:t>
                  </m:r>
                </m:e>
              </m:d>
              <m:r>
                <m:rPr>
                  <m:sty m:val="p"/>
                </m:rPr>
                <m:t>−</m:t>
              </m:r>
              <m:r>
                <m:t>ϕ</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37"/>
    <w:bookmarkEnd w:id="38"/>
    <w:bookmarkStart w:id="43"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39"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39"/>
    <w:bookmarkStart w:id="40"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0"/>
    <w:bookmarkStart w:id="41"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1"/>
    <w:bookmarkStart w:id="42"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2"/>
    <w:bookmarkEnd w:id="43"/>
    <w:bookmarkStart w:id="47" w:name="evaluation"/>
    <w:p>
      <w:pPr>
        <w:pStyle w:val="Heading1"/>
      </w:pPr>
      <w:r>
        <w:t xml:space="preserve">Evaluation</w:t>
      </w:r>
    </w:p>
    <w:bookmarkStart w:id="44"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End w:id="44"/>
    <w:bookmarkStart w:id="45"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45"/>
    <w:bookmarkStart w:id="46"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46"/>
    <w:bookmarkEnd w:id="47"/>
    <w:bookmarkStart w:id="57" w:name="sec:results"/>
    <w:p>
      <w:pPr>
        <w:pStyle w:val="Heading1"/>
      </w:pPr>
      <w:r>
        <w:t xml:space="preserve">Results</w:t>
      </w:r>
    </w:p>
    <w:bookmarkStart w:id="52"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p>
      <w:pPr>
        <w:pStyle w:val="BodyText"/>
      </w:pPr>
      <w:r>
        <w:drawing>
          <wp:inline>
            <wp:extent cx="5227320" cy="3136392"/>
            <wp:effectExtent b="0" l="0" r="0" t="0"/>
            <wp:docPr descr="image" title="" id="49" name="Picture"/>
            <a:graphic>
              <a:graphicData uri="http://schemas.openxmlformats.org/drawingml/2006/picture">
                <pic:pic>
                  <pic:nvPicPr>
                    <pic:cNvPr descr="../research/results/visualizations/public/F0_hero.png" id="50" name="Picture"/>
                    <pic:cNvPicPr>
                      <a:picLocks noChangeArrowheads="1" noChangeAspect="1"/>
                    </pic:cNvPicPr>
                  </pic:nvPicPr>
                  <pic:blipFill>
                    <a:blip r:embed="rId48"/>
                    <a:stretch>
                      <a:fillRect/>
                    </a:stretch>
                  </pic:blipFill>
                  <pic:spPr bwMode="auto">
                    <a:xfrm>
                      <a:off x="0" y="0"/>
                      <a:ext cx="5227320" cy="3136392"/>
                    </a:xfrm>
                    <a:prstGeom prst="rect">
                      <a:avLst/>
                    </a:prstGeom>
                    <a:noFill/>
                    <a:ln w="9525">
                      <a:noFill/>
                      <a:headEnd/>
                      <a:tailEnd/>
                    </a:ln>
                  </pic:spPr>
                </pic:pic>
              </a:graphicData>
            </a:graphic>
          </wp:inline>
        </w:drawing>
      </w:r>
    </w:p>
    <w:bookmarkStart w:id="51"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1"/>
    <w:bookmarkEnd w:id="52"/>
    <w:bookmarkStart w:id="54"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3"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3"/>
    <w:bookmarkEnd w:id="54"/>
    <w:bookmarkStart w:id="55"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55"/>
    <w:bookmarkStart w:id="56"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Several real-matrix structural ablations are also non-discriminative. We do not reinterpret those neutral outcomes as support for component necessity. The deterministic mechanism-isolation suite is used only to show that each v1 mechanism has a constructed falsifying stress case. In particular, disabling fallback or substituting an overly global bound produces the expected failure or rebuild behavior in stress cases, while the real campaign remains the source for observed effect size.</w:t>
      </w:r>
    </w:p>
    <w:bookmarkEnd w:id="56"/>
    <w:bookmarkEnd w:id="57"/>
    <w:bookmarkStart w:id="68" w:name="discussion"/>
    <w:p>
      <w:pPr>
        <w:pStyle w:val="Heading1"/>
      </w:pPr>
      <w:r>
        <w:t xml:space="preserve">Discussion</w:t>
      </w:r>
    </w:p>
    <w:bookmarkStart w:id="58"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58"/>
    <w:bookmarkStart w:id="66" w:name="limitations"/>
    <w:p>
      <w:pPr>
        <w:pStyle w:val="Heading2"/>
      </w:pPr>
      <w:r>
        <w:t xml:space="preserve">Limitations</w:t>
      </w:r>
    </w:p>
    <w:bookmarkStart w:id="59"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59"/>
    <w:bookmarkStart w:id="60"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0"/>
    <w:bookmarkStart w:id="61"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1"/>
    <w:bookmarkStart w:id="62"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2"/>
    <w:bookmarkStart w:id="63"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3"/>
    <w:bookmarkStart w:id="64"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64"/>
    <w:bookmarkStart w:id="65"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65"/>
    <w:bookmarkEnd w:id="66"/>
    <w:bookmarkStart w:id="67"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67"/>
    <w:bookmarkEnd w:id="68"/>
    <w:bookmarkStart w:id="69"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69"/>
    <w:bookmarkStart w:id="70" w:name="conclusion"/>
    <w:p>
      <w:pPr>
        <w:pStyle w:val="Heading1"/>
      </w:pPr>
      <w:r>
        <w:t xml:space="preserve">Conclusion</w:t>
      </w:r>
    </w:p>
    <w:p>
      <w:pPr>
        <w:pStyle w:val="FirstParagraph"/>
      </w:pPr>
      <w:r>
        <w:t xml:space="preserve">We presented Criticality-Bounded Revision Cones,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2026-09-21T13:28:48Z</dcterms:created>
  <dcterms:modified xsi:type="dcterms:W3CDTF">2026-09-21T13:28:48Z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