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bookmarkStart w:id="20" w:name="introduction"/>
    <w:p>
      <w:pPr>
        <w:pStyle w:val="Heading1"/>
      </w:pP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 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We call the worst normalized certificate-to-tolerance ratio the</w:t>
      </w:r>
      <w:r>
        <w:t xml:space="preserve"> </w:t>
      </w:r>
      <w:r>
        <w:rPr>
          <w:iCs/>
          <w:i/>
        </w:rPr>
        <w:t xml:space="preserve">revision criticality</w:t>
      </w:r>
      <w:r>
        <w:t xml:space="preserve">; the boundary value is one. A local result is accepted only if (1) exact predecessors are closed, (2) revision criticality is at or below one for every protected output, and (3) calibrated regional work is lower than the independently measured full baseline. Unsupported coupling, supercritical residual influence, unstable analytic structure, or an unfavorable work crossover returns</w:t>
      </w:r>
      <w:r>
        <w:t xml:space="preserve"> </w:t>
      </w:r>
      <w:r>
        <w:rPr>
          <w:smallCaps/>
        </w:rPr>
        <w:t xml:space="preserve">Full</w:t>
      </w:r>
      <w:r>
        <w:t xml:space="preserve">.</w:t>
      </w:r>
    </w:p>
    <w:p>
      <w:pPr>
        <w:pStyle w:val="BodyText"/>
      </w:pPr>
      <w:r>
        <w:t xml:space="preserve">The method is implemented in MAVEB, a C++23 persistent-world research stack paired with a dense Python reference certifier and an independent full-after Gaussian oracle. Figure </w:t>
      </w:r>
      <w:hyperlink w:anchor="fig:overview">
        <w:r>
          <w:rPr>
            <w:rStyle w:val="Hyperlink"/>
          </w:rPr>
          <w:t xml:space="preserve">[fig:overview]</w:t>
        </w:r>
      </w:hyperlink>
      <w:r>
        <w:t xml:space="preserve"> </w:t>
      </w:r>
      <w:r>
        <w:t xml:space="preserve">shows the decision path.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 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bookmarkEnd w:id="20"/>
    <w:bookmarkStart w:id="26" w:name="related-work"/>
    <w:p>
      <w:pPr>
        <w:pStyle w:val="Heading1"/>
      </w:pPr>
      <w:r>
        <w:t xml:space="preserve">Related Work</w:t>
      </w:r>
    </w:p>
    <w:bookmarkStart w:id="21"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1"/>
    <w:bookmarkStart w:id="22"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2"/>
    <w:bookmarkStart w:id="23"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w:t>
      </w:r>
      <w:hyperlink w:anchor="eq:contract">
        <w:r>
          <w:rPr>
            <w:rStyle w:val="Hyperlink"/>
          </w:rPr>
          <w:t xml:space="preserve">[eq:contract]</w:t>
        </w:r>
      </w:hyperlink>
      <w:r>
        <w:t xml:space="preserve">, and automatically returns</w:t>
      </w:r>
      <w:r>
        <w:t xml:space="preserve"> </w:t>
      </w:r>
      <w:r>
        <w:rPr>
          <w:smallCaps/>
        </w:rPr>
        <w:t xml:space="preserve">Full</w:t>
      </w:r>
      <w:r>
        <w:t xml:space="preserve"> </w:t>
      </w:r>
      <w:r>
        <w:t xml:space="preserve">when the certificate or work comparison fails.</w:t>
      </w:r>
    </w:p>
    <w:bookmarkEnd w:id="23"/>
    <w:bookmarkStart w:id="24"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24"/>
    <w:bookmarkStart w:id="25" w:name="Xe058922cb2ad9f50eb5d0cc67129a8e54cd7c86"/>
    <w:p>
      <w:pPr>
        <w:pStyle w:val="Heading4"/>
      </w:pPr>
      <w:r>
        <w:t xml:space="preserve">Incremental rendering, change propagation, and goal-oriented error control.</w:t>
      </w:r>
    </w:p>
    <w:p>
      <w:pPr>
        <w:pStyle w:val="FirstParagraph"/>
      </w:pPr>
      <w:r>
        <w:t xml:space="preserve">Graphics systems have long exploited dependency structure to avoid global recomputation. Bala et al. track dependencies between edited world regions and bounded-error radiance interpolants using ray segment trees</w:t>
      </w:r>
      <w:r>
        <w:t xml:space="preserve"> </w:t>
      </w:r>
      <w:r>
        <w:t xml:space="preserve">(Bala, Dorsey, and Teller 1999)</w:t>
      </w:r>
      <w:r>
        <w:t xml:space="preserve">. Wörister et al. synthesize a dependency graph from scene-graph changes to rendering caches and update those caches incrementally</w:t>
      </w:r>
      <w:r>
        <w:t xml:space="preserve"> </w:t>
      </w:r>
      <w:r>
        <w:t xml:space="preserve">(Wörister et al. 2013)</w:t>
      </w:r>
      <w:r>
        <w:t xml:space="preserve">. Outside graphics, self-adjusting computation formalizes correct change propagation under mutation and reuse</w:t>
      </w:r>
      <w:r>
        <w:t xml:space="preserve"> </w:t>
      </w:r>
      <w:r>
        <w:t xml:space="preserve">(Acar, Blume, and Donham 2013)</w:t>
      </w:r>
      <w:r>
        <w:t xml:space="preserve">, while goal-oriented error estimation allocates numerical work to control error in selected quantities of interest rather than a global state norm</w:t>
      </w:r>
      <w:r>
        <w:t xml:space="preserve"> </w:t>
      </w:r>
      <w:r>
        <w:t xml:space="preserve">(Oden and Prudhomme 2001)</w:t>
      </w:r>
      <w:r>
        <w:t xml:space="preserve">. These traditions overlap with individual ingredients of CBRC and are therefore important novelty boundaries.</w:t>
      </w:r>
    </w:p>
    <w:p>
      <w:pPr>
        <w:pStyle w:val="BodyText"/>
      </w:pPr>
      <w:r>
        <w:t xml:space="preserve">The mathematical tools underlying CBRC remain classical: graph closure, non-negative influence propagation, Neumann-series resolvents, norm bounds, and greedy search are not introduced by this work. The claimed contribution is the captured-world systems contract that combines cross-derived exact dependencies, conservative finite-change bounds, rendered-output quantities of interest, heterogeneous work crossover, fail-closed</w:t>
      </w:r>
      <w:r>
        <w:t xml:space="preserve"> </w:t>
      </w:r>
      <w:r>
        <w:rPr>
          <w:smallCaps/>
        </w:rPr>
        <w:t xml:space="preserve">Full</w:t>
      </w:r>
      <w:r>
        <w:t xml:space="preserve"> </w:t>
      </w:r>
      <w:r>
        <w:t xml:space="preserve">fallback, and independent full-reference falsification in one revision decision. We therefore treat the mathematics as supporting machinery rather than as standalone novelty.</w:t>
      </w:r>
    </w:p>
    <w:bookmarkEnd w:id="25"/>
    <w:bookmarkEnd w:id="26"/>
    <w:bookmarkStart w:id="31" w:name="problem-formulation"/>
    <w:p>
      <w:pPr>
        <w:pStyle w:val="Heading1"/>
      </w:pPr>
      <w:r>
        <w:t xml:space="preserve">Problem Formulation</w:t>
      </w:r>
    </w:p>
    <w:bookmarkStart w:id="27" w:name="persistent-captured-world-state"/>
    <w:p>
      <w:pPr>
        <w:pStyle w:val="Heading2"/>
      </w:pP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27"/>
    <w:bookmarkStart w:id="29" w:name="typed-dependencies"/>
    <w:p>
      <w:pPr>
        <w:pStyle w:val="Heading2"/>
      </w:pPr>
      <w:r>
        <w:t xml:space="preserve">Typed dependencies</w:t>
      </w:r>
    </w:p>
    <w:p>
      <w:pPr>
        <w:pStyle w:val="FirstParagraph"/>
      </w:pPr>
      <w:r>
        <w:t xml:space="preserve">Each dependency has one of three semantics (Table </w:t>
      </w:r>
      <w:hyperlink w:anchor="tab:edges">
        <w:r>
          <w:rPr>
            <w:rStyle w:val="Hyperlink"/>
          </w:rPr>
          <w:t xml:space="preserve">1</w:t>
        </w:r>
      </w:hyperlink>
      <w:r>
        <w:t xml:space="preserve">).</w:t>
      </w:r>
    </w:p>
    <w:bookmarkStart w:id="28" w:name="tab:edges"/>
    <w:p>
      <w:pPr>
        <w:pStyle w:val="TableCaption"/>
      </w:pPr>
      <w:r>
        <w:t xml:space="preserve">Revision-edge semantics in CBRC.</w:t>
      </w:r>
    </w:p>
    <w:tbl>
      <w:tblPr>
        <w:tblStyle w:val="Table"/>
        <w:tblW w:type="auto" w:w="0"/>
        <w:tblLook w:firstRow="1" w:lastRow="0" w:firstColumn="0" w:lastColumn="0" w:noHBand="0" w:noVBand="0" w:val="0020"/>
        <w:jc w:val="start"/>
        <w:tblCaption w:val="Revision-edge semantics in CBRC."/>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Certificate role</w:t>
            </w:r>
          </w:p>
        </w:tc>
      </w:tr>
      <w:tr>
        <w:tc>
          <w:tcPr/>
          <w:p>
            <w:pPr>
              <w:pStyle w:val="Compact"/>
              <w:jc w:val="left"/>
            </w:pPr>
            <w:r>
              <w:rPr>
                <w:smallCaps/>
              </w:rPr>
              <w:t xml:space="preserve">Hard</w:t>
            </w:r>
          </w:p>
        </w:tc>
        <w:tc>
          <w:tcPr/>
          <w:p>
            <w:pPr>
              <w:pStyle w:val="Compact"/>
              <w:jc w:val="left"/>
            </w:pPr>
            <w:r>
              <w:t xml:space="preserve">Exact ownership, identity, topology, publication, or invalidation dependency</w:t>
            </w:r>
          </w:p>
        </w:tc>
        <w:tc>
          <w:tcPr/>
          <w:p>
            <w:pPr>
              <w:pStyle w:val="Compact"/>
              <w:jc w:val="left"/>
            </w:pPr>
            <w:r>
              <w:t xml:space="preserve">Must be closed exactly</w:t>
            </w:r>
          </w:p>
        </w:tc>
      </w:tr>
      <w:tr>
        <w:tc>
          <w:tcPr/>
          <w:p>
            <w:pPr>
              <w:pStyle w:val="Compact"/>
              <w:jc w:val="left"/>
            </w:pPr>
            <w:r>
              <w:rPr>
                <w:smallCaps/>
              </w:rPr>
              <w:t xml:space="preserve">Analytic</w:t>
            </w:r>
          </w:p>
        </w:tc>
        <w:tc>
          <w:tcPr/>
          <w:p>
            <w:pPr>
              <w:pStyle w:val="Compact"/>
              <w:jc w:val="left"/>
            </w:pPr>
            <w:r>
              <w:t xml:space="preserve">Conservative implementation-backed finite-change upper bound</w:t>
            </w:r>
          </w:p>
        </w:tc>
        <w:tc>
          <w:tcPr/>
          <w:p>
            <w:pPr>
              <w:pStyle w:val="Compact"/>
              <w:jc w:val="left"/>
            </w:pPr>
            <w:r>
              <w:t xml:space="preserve">May certify exterior influence</w:t>
            </w:r>
          </w:p>
        </w:tc>
      </w:tr>
      <w:tr>
        <w:tc>
          <w:tcPr/>
          <w:p>
            <w:pPr>
              <w:pStyle w:val="Compact"/>
              <w:jc w:val="left"/>
            </w:pPr>
            <w:r>
              <w:rPr>
                <w:smallCaps/>
              </w:rPr>
              <w:t xml:space="preserve">Empirical</w:t>
            </w:r>
          </w:p>
        </w:tc>
        <w:tc>
          <w:tcPr/>
          <w:p>
            <w:pPr>
              <w:pStyle w:val="Compact"/>
              <w:jc w:val="left"/>
            </w:pPr>
            <w:r>
              <w:t xml:space="preserve">Measured or learned influence used for ordering or scheduling</w:t>
            </w:r>
          </w:p>
        </w:tc>
        <w:tc>
          <w:tcPr/>
          <w:p>
            <w:pPr>
              <w:pStyle w:val="Compact"/>
              <w:jc w:val="left"/>
            </w:pPr>
            <w:r>
              <w:t xml:space="preserve">Never treated as proof</w:t>
            </w:r>
          </w:p>
        </w:tc>
      </w:tr>
    </w:tbl>
    <w:bookmarkEnd w:id="28"/>
    <w:p>
      <w:pPr>
        <w:pStyle w:val="BodyText"/>
      </w:pPr>
      <w:r>
        <w:t xml:space="preserve">This separation is intentionally conservative. For example, observation-to-TSDF, TSDF-to-mesh ownership, mesh-to-texture-page identity, Gaussian-record-to-GPU publication, and unstable temporal validation remain</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29"/>
    <w:bookmarkStart w:id="30" w:name="output-and-work-contracts"/>
    <w:p>
      <w:pPr>
        <w:pStyle w:val="Heading2"/>
      </w:pP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w:t>
      </w:r>
      <w:hyperlink w:anchor="eq:contract">
        <w:r>
          <w:rPr>
            <w:rStyle w:val="Hyperlink"/>
          </w:rPr>
          <w:t xml:space="preserve">[eq:contract]</w:t>
        </w:r>
      </w:hyperlink>
      <w:r>
        <w:t xml:space="preserve">.</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w:t>
      </w:r>
      <w:hyperlink w:anchor="eq:work">
        <w:r>
          <w:rPr>
            <w:rStyle w:val="Hyperlink"/>
          </w:rPr>
          <w:t xml:space="preserve">[eq:work]</w:t>
        </w:r>
      </w:hyperlink>
      <w:r>
        <w:t xml:space="preserve"> </w:t>
      </w:r>
      <w:r>
        <w:t xml:space="preserve">is a work model, not an end-to-end runtime measurement.</w:t>
      </w:r>
    </w:p>
    <w:bookmarkEnd w:id="30"/>
    <w:bookmarkEnd w:id="31"/>
    <w:bookmarkStart w:id="42" w:name="criticality-bounded-revision-cones"/>
    <w:p>
      <w:pPr>
        <w:pStyle w:val="Heading1"/>
      </w:pPr>
      <w:r>
        <w:t xml:space="preserve">Criticality-Bounded Revision Cones</w:t>
      </w:r>
    </w:p>
    <w:bookmarkStart w:id="32" w:name="exact-predecessor-closure"/>
    <w:p>
      <w:pPr>
        <w:pStyle w:val="Heading2"/>
      </w:pP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w:r>
        <w:t xml:space="preserve">$$v\in C,\; u\in\mathrm{Pred}_{\textsc{Hard}}(v) \;\Longrightarrow\; u\in C.
\label{eq:hardclosure}$$</w:t>
      </w:r>
    </w:p>
    <w:p>
      <w:pPr>
        <w:pStyle w:val="FirstParagraph"/>
      </w:pPr>
      <w:r>
        <w:t xml:space="preserve">This rule handles structural dependencies before any approximate reasoning begins. A candidate violating Eq. </w:t>
      </w:r>
      <w:hyperlink w:anchor="eq:hardclosure">
        <w:r>
          <w:rPr>
            <w:rStyle w:val="Hyperlink"/>
          </w:rPr>
          <w:t xml:space="preserve">[eq:hardclosure]</w:t>
        </w:r>
      </w:hyperlink>
      <w:r>
        <w:t xml:space="preserve"> </w:t>
      </w:r>
      <w:r>
        <w:t xml:space="preserve">is invalid, even if a local numeric sensitivity estimate is small.</w:t>
      </w:r>
    </w:p>
    <w:bookmarkEnd w:id="32"/>
    <w:bookmarkStart w:id="33" w:name="conservative-exterior-propagation"/>
    <w:p>
      <w:pPr>
        <w:pStyle w:val="Heading2"/>
      </w:pP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w:t>
      </w:r>
      <w:hyperlink w:anchor="eq:resolvent">
        <w:r>
          <w:rPr>
            <w:rStyle w:val="Hyperlink"/>
          </w:rPr>
          <w:t xml:space="preserve">[eq:resolvent]</w:t>
        </w:r>
      </w:hyperlink>
      <w:r>
        <w:t xml:space="preserve"> </w:t>
      </w:r>
      <w:r>
        <w:t xml:space="preserve">is therefore the reference formulation, not a claim that arbitrary cyclic systems are handled by the production planner.</w:t>
      </w:r>
    </w:p>
    <w:bookmarkEnd w:id="33"/>
    <w:bookmarkStart w:id="34" w:name="quantity-of-interest-certificate"/>
    <w:p>
      <w:pPr>
        <w:pStyle w:val="Heading2"/>
      </w:pP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34"/>
    <w:bookmarkStart w:id="35" w:name="revision-criticality"/>
    <w:p>
      <w:pPr>
        <w:pStyle w:val="Heading2"/>
      </w:pPr>
      <w:r>
        <w:t xml:space="preserve">Revision criticality</w:t>
      </w:r>
    </w:p>
    <w:p>
      <w:pPr>
        <w:pStyle w:val="FirstParagraph"/>
      </w:pPr>
      <w:r>
        <w:t xml:space="preserve">We define the revision criticality of a candidate cone as the worst normalized certified residual</w:t>
      </w:r>
    </w:p>
    <w:p>
      <w:pPr>
        <w:pStyle w:val="BodyText"/>
      </w:pPr>
      <m:oMathPara>
        <m:oMathParaPr>
          <m:jc m:val="center"/>
        </m:oMathParaPr>
        <m:oMath>
          <m:r>
            <m:t>χ</m:t>
          </m:r>
          <m:d>
            <m:dPr>
              <m:begChr m:val="("/>
              <m:endChr m:val=")"/>
              <m:sepChr m:val=""/>
              <m:grow/>
            </m:dPr>
            <m:e>
              <m:r>
                <m:t>C</m:t>
              </m:r>
            </m:e>
          </m:d>
          <m:r>
            <m:rPr>
              <m:sty m:val="p"/>
            </m:rPr>
            <m:t>=</m:t>
          </m:r>
          <m:limLow>
            <m:e>
              <m:r>
                <m:rPr>
                  <m:sty m:val="p"/>
                </m:rPr>
                <m:t>max</m:t>
              </m:r>
            </m:e>
            <m:lim>
              <m:r>
                <m:t>q</m:t>
              </m:r>
            </m:lim>
          </m:limLow>
          <m:f>
            <m:fPr>
              <m:type m:val="bar"/>
            </m:fPr>
            <m:num>
              <m:sSub>
                <m:e>
                  <m:r>
                    <m:t>B</m:t>
                  </m:r>
                </m:e>
                <m:sub>
                  <m:r>
                    <m:t>q</m:t>
                  </m:r>
                </m:sub>
              </m:sSub>
              <m:d>
                <m:dPr>
                  <m:begChr m:val="("/>
                  <m:endChr m:val=")"/>
                  <m:sepChr m:val=""/>
                  <m:grow/>
                </m:dPr>
                <m:e>
                  <m:r>
                    <m:t>C</m:t>
                  </m:r>
                </m:e>
              </m:d>
            </m:num>
            <m:den>
              <m:r>
                <m:rPr>
                  <m:sty m:val="p"/>
                </m:rPr>
                <m:t>max</m:t>
              </m:r>
              <m:d>
                <m:dPr>
                  <m:begChr m:val="("/>
                  <m:endChr m:val=")"/>
                  <m:sepChr m:val=""/>
                  <m:grow/>
                </m:dPr>
                <m:e>
                  <m:sSub>
                    <m:e>
                      <m:r>
                        <m:t>ε</m:t>
                      </m:r>
                    </m:e>
                    <m:sub>
                      <m:r>
                        <m:t>q</m:t>
                      </m:r>
                    </m:sub>
                  </m:sSub>
                  <m:r>
                    <m:rPr>
                      <m:sty m:val="p"/>
                    </m:rPr>
                    <m:t>,</m:t>
                  </m:r>
                  <m:sSub>
                    <m:e>
                      <m:r>
                        <m:t>ϵ</m:t>
                      </m:r>
                    </m:e>
                    <m:sub>
                      <m:r>
                        <m:rPr>
                          <m:sty m:val="p"/>
                        </m:rPr>
                        <m:t>n</m:t>
                      </m:r>
                      <m:r>
                        <m:rPr>
                          <m:sty m:val="p"/>
                        </m:rPr>
                        <m:t>u</m:t>
                      </m:r>
                      <m:r>
                        <m:rPr>
                          <m:sty m:val="p"/>
                        </m:rPr>
                        <m:t>m</m:t>
                      </m:r>
                    </m:sub>
                  </m:sSub>
                </m:e>
              </m:d>
            </m:den>
          </m:f>
          <m:r>
            <m:rPr>
              <m:sty m:val="p"/>
            </m:rPr>
            <m:t>.</m:t>
          </m:r>
        </m:oMath>
      </m:oMathPara>
    </w:p>
    <w:p>
      <w:pPr>
        <w:pStyle w:val="FirstParagraph"/>
      </w:pPr>
      <w:r>
        <w:t xml:space="preserve">The threshold</w:t>
      </w:r>
      <w:r>
        <w:t xml:space="preserve"> </w:t>
      </w:r>
      <m:oMath>
        <m:r>
          <m:t>χ</m:t>
        </m:r>
        <m:d>
          <m:dPr>
            <m:begChr m:val="("/>
            <m:endChr m:val=")"/>
            <m:sepChr m:val=""/>
            <m:grow/>
          </m:dPr>
          <m:e>
            <m:r>
              <m:t>C</m:t>
            </m:r>
          </m:e>
        </m:d>
        <m:r>
          <m:rPr>
            <m:sty m:val="p"/>
          </m:rPr>
          <m:t>=</m:t>
        </m:r>
        <m:r>
          <m:t>1</m:t>
        </m:r>
      </m:oMath>
      <w:r>
        <w:t xml:space="preserve"> </w:t>
      </w:r>
      <w:r>
        <w:t xml:space="preserve">is the certificate boundary:</w:t>
      </w:r>
      <w:r>
        <w:t xml:space="preserve"> </w:t>
      </w:r>
      <m:oMath>
        <m:r>
          <m:t>χ</m:t>
        </m:r>
        <m:d>
          <m:dPr>
            <m:begChr m:val="("/>
            <m:endChr m:val=")"/>
            <m:sepChr m:val=""/>
            <m:grow/>
          </m:dPr>
          <m:e>
            <m:r>
              <m:t>C</m:t>
            </m:r>
          </m:e>
        </m:d>
        <m:r>
          <m:rPr>
            <m:sty m:val="p"/>
          </m:rPr>
          <m:t>≤</m:t>
        </m:r>
        <m:r>
          <m:t>1</m:t>
        </m:r>
      </m:oMath>
      <w:r>
        <w:t xml:space="preserve"> </w:t>
      </w:r>
      <w:r>
        <w:t xml:space="preserve">is certificate-feasible, whereas</w:t>
      </w:r>
      <w:r>
        <w:t xml:space="preserve"> </w:t>
      </w:r>
      <m:oMath>
        <m:r>
          <m:t>χ</m:t>
        </m:r>
        <m:d>
          <m:dPr>
            <m:begChr m:val="("/>
            <m:endChr m:val=")"/>
            <m:sepChr m:val=""/>
            <m:grow/>
          </m:dPr>
          <m:e>
            <m:r>
              <m:t>C</m:t>
            </m:r>
          </m:e>
        </m:d>
        <m:r>
          <m:rPr>
            <m:sty m:val="p"/>
          </m:rPr>
          <m:t>&gt;</m:t>
        </m:r>
        <m:r>
          <m:t>1</m:t>
        </m:r>
      </m:oMath>
      <w:r>
        <w:t xml:space="preserve"> </w:t>
      </w:r>
      <w:r>
        <w:t xml:space="preserve">is supercritical for at least one protected output and requires cone expansion or</w:t>
      </w:r>
      <w:r>
        <w:t xml:space="preserve"> </w:t>
      </w:r>
      <w:r>
        <w:rPr>
          <w:smallCaps/>
        </w:rPr>
        <w:t xml:space="preserve">Full</w:t>
      </w:r>
      <w:r>
        <w:t xml:space="preserve">. The term</w:t>
      </w:r>
      <w:r>
        <w:t xml:space="preserve"> </w:t>
      </w:r>
      <w:r>
        <w:rPr>
          <w:iCs/>
          <w:i/>
        </w:rPr>
        <w:t xml:space="preserve">criticality-bounded</w:t>
      </w:r>
      <w:r>
        <w:t xml:space="preserve"> </w:t>
      </w:r>
      <w:r>
        <w:t xml:space="preserve">refers to this explicit normalized output-error boundary; it is not intended as a new physical critical-phenomena model.</w:t>
      </w:r>
    </w:p>
    <w:bookmarkEnd w:id="35"/>
    <w:bookmarkStart w:id="39" w:name="gaussian-display-space-bound"/>
    <w:p>
      <w:pPr>
        <w:pStyle w:val="Heading2"/>
      </w:pP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uses an effective alpha model consistent with the renderer,</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For edited set</w:t>
      </w:r>
      <w:r>
        <w:t xml:space="preserve"> </w:t>
      </w:r>
      <m:oMath>
        <m:r>
          <m:t>E</m:t>
        </m:r>
      </m:oMath>
      <w:r>
        <w:t xml:space="preserve">, define aggregate opacity mass</w:t>
      </w:r>
    </w:p>
    <w:p>
      <w:pPr>
        <w:pStyle w:val="BodyText"/>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bookmarkStart w:id="36"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p>
      <w:pPr>
        <w:pStyle w:val="BodyText"/>
      </w:pPr>
      <m:oMathPara>
        <m:oMathParaPr>
          <m:jc m:val="center"/>
        </m:oMathParaPr>
        <m:oMath>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bookmarkEnd w:id="36"/>
    <w:bookmarkStart w:id="37" w:name="assumptions."/>
    <w:p>
      <w:pPr>
        <w:pStyle w:val="Heading4"/>
      </w:pPr>
      <w:r>
        <w:t xml:space="preserve">Assumptions.</w:t>
      </w:r>
    </w:p>
    <w:p>
      <w:pPr>
        <w:pStyle w:val="FirstParagraph"/>
      </w:pPr>
      <w:r>
        <w:t xml:space="preserve">The bound requires: (i) front-to-back alpha compositing with effective post-clamp/post-cutoff alpha in</w:t>
      </w:r>
      <w:r>
        <w:t xml:space="preserve"> </w:t>
      </w:r>
      <m:oMath>
        <m:d>
          <m:dPr>
            <m:begChr m:val="["/>
            <m:endChr m:val="]"/>
            <m:sepChr m:val=""/>
            <m:grow/>
          </m:dPr>
          <m:e>
            <m:r>
              <m:t>0</m:t>
            </m:r>
            <m:r>
              <m:rPr>
                <m:sty m:val="p"/>
              </m:rPr>
              <m:t>,</m:t>
            </m:r>
            <m:r>
              <m:t>1</m:t>
            </m:r>
          </m:e>
        </m:d>
      </m:oMath>
      <w:r>
        <w:t xml:space="preserve">; (ii) each protected color channel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including the bounded spherical-harmonic evaluation used by the renderer; (iii)</w:t>
      </w:r>
      <w:r>
        <w:t xml:space="preserve"> </w:t>
      </w:r>
      <m:oMath>
        <m:sSub>
          <m:e>
            <m:r>
              <m:t>E</m:t>
            </m:r>
          </m:e>
          <m:sub>
            <m:r>
              <m:t>0</m:t>
            </m:r>
          </m:sub>
        </m:sSub>
        <m:r>
          <m:rPr>
            <m:sty m:val="p"/>
          </m:rPr>
          <m:t>,</m:t>
        </m:r>
        <m:sSub>
          <m:e>
            <m:r>
              <m:t>E</m:t>
            </m:r>
          </m:e>
          <m:sub>
            <m:r>
              <m:t>1</m:t>
            </m:r>
          </m:sub>
        </m:sSub>
      </m:oMath>
      <w:r>
        <w:t xml:space="preserve"> </w:t>
      </w:r>
      <w:r>
        <w:t xml:space="preserve">contain every Gaussian whose projected opacity, color, insertion/deletion state, or depth relation to unchanged support can change because of the edit; and (iv) renderer behavior not represented by these bounded quantities is treated as unsupported and therefore promoted to an exact dependency or</w:t>
      </w:r>
      <w:r>
        <w:t xml:space="preserve"> </w:t>
      </w:r>
      <w:r>
        <w:rPr>
          <w:smallCaps/>
        </w:rPr>
        <w:t xml:space="preserve">Full</w:t>
      </w:r>
      <w:r>
        <w:t xml:space="preserve"> </w:t>
      </w:r>
      <w:r>
        <w:t xml:space="preserve">fallback.</w:t>
      </w:r>
    </w:p>
    <w:bookmarkEnd w:id="37"/>
    <w:bookmarkStart w:id="38" w:name="proof-sketch."/>
    <w:p>
      <w:pPr>
        <w:pStyle w:val="Heading4"/>
      </w:pPr>
      <w:r>
        <w:t xml:space="preserve">Proof sketch.</w:t>
      </w:r>
    </w:p>
    <w:p>
      <w:pPr>
        <w:pStyle w:val="FirstParagraph"/>
      </w:pPr>
      <w:r>
        <w:t xml:space="preserve">For one edited set, front-to-back compositing changes the final channel value by at most the channel range multiplied by the total opacity mass through which edited support can replace, attenuate, or reveal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cases in which one edited set is empty. For a general before/after edit, apply the triangle inequality through the common unchanged state</w:t>
      </w:r>
      <w:r>
        <w:t xml:space="preserve"> </w:t>
      </w:r>
      <m:oMath>
        <m:r>
          <m:t>U</m:t>
        </m:r>
      </m:oMath>
      <w:r>
        <w:t xml:space="preserve"> </w:t>
      </w:r>
      <w:r>
        <w:t xml:space="preserve">to obtain</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then clamp by the maximum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protected-image certificate is the maximum of Eq. </w:t>
      </w:r>
      <w:hyperlink w:anchor="eq:gaussianbound">
        <w:r>
          <w:rPr>
            <w:rStyle w:val="Hyperlink"/>
          </w:rPr>
          <w:t xml:space="preserve">[eq:gaussianbound]</w:t>
        </w:r>
      </w:hyperlink>
      <w:r>
        <w:t xml:space="preserve"> </w:t>
      </w:r>
      <w:r>
        <w:t xml:space="preserve">over the declared pixel support. A fuller algebraic derivation is included with the manuscript supplement.</w:t>
      </w:r>
    </w:p>
    <w:bookmarkEnd w:id="38"/>
    <w:bookmarkEnd w:id="39"/>
    <w:bookmarkStart w:id="40" w:name="stable-temporal-history"/>
    <w:p>
      <w:pPr>
        <w:pStyle w:val="Heading2"/>
      </w:pP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w:t>
      </w:r>
      <w:hyperlink w:anchor="eq:temporal">
        <w:r>
          <w:rPr>
            <w:rStyle w:val="Hyperlink"/>
          </w:rPr>
          <w:t xml:space="preserve">[eq:temporal]</w:t>
        </w:r>
      </w:hyperlink>
      <w:r>
        <w:t xml:space="preserve">. Thus the temporal path demonstrates the central design rule: use a soft bound only while its preconditions are certifiable.</w:t>
      </w:r>
    </w:p>
    <w:bookmarkEnd w:id="40"/>
    <w:bookmarkStart w:id="41" w:name="X62e354406816ed1168c1ad132bd8541650ea272"/>
    <w:p>
      <w:pPr>
        <w:pStyle w:val="Heading2"/>
      </w:pPr>
      <w:r>
        <w:t xml:space="preserve">Greedy feasible-cone search and crossover</w:t>
      </w:r>
    </w:p>
    <w:p>
      <w:pPr>
        <w:pStyle w:val="FirstParagraph"/>
      </w:pPr>
      <w:r>
        <w:t xml:space="preserve">The v1 search uses the revision criticality in Eq. </w:t>
      </w:r>
      <w:hyperlink w:anchor="eq:criticality">
        <w:r>
          <w:rPr>
            <w:rStyle w:val="Hyperlink"/>
          </w:rPr>
          <w:t xml:space="preserve">[eq:criticality]</w:t>
        </w:r>
      </w:hyperlink>
      <w:r>
        <w:t xml:space="preserve"> </w:t>
      </w:r>
      <w:r>
        <w:t xml:space="preserve">directly. For a candidate expansion</w:t>
      </w:r>
      <w:r>
        <w:t xml:space="preserve"> </w:t>
      </w:r>
      <m:oMath>
        <m:r>
          <m:t>C</m:t>
        </m:r>
        <m:r>
          <m:rPr>
            <m:sty m:val="p"/>
          </m:rPr>
          <m:t>→</m:t>
        </m:r>
        <m:r>
          <m:t>C</m:t>
        </m:r>
        <m:r>
          <m:rPr>
            <m:sty m:val="p"/>
          </m:rPr>
          <m:t>′</m:t>
        </m:r>
      </m:oMath>
      <w:r>
        <w:t xml:space="preserve">, it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r>
                <m:t>χ</m:t>
              </m:r>
              <m:d>
                <m:dPr>
                  <m:begChr m:val="("/>
                  <m:endChr m:val=")"/>
                  <m:sepChr m:val=""/>
                  <m:grow/>
                </m:dPr>
                <m:e>
                  <m:r>
                    <m:t>C</m:t>
                  </m:r>
                </m:e>
              </m:d>
              <m:r>
                <m:rPr>
                  <m:sty m:val="p"/>
                </m:rPr>
                <m:t>−</m:t>
              </m:r>
              <m:r>
                <m:t>χ</m:t>
              </m:r>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41"/>
    <w:bookmarkEnd w:id="42"/>
    <w:bookmarkStart w:id="47" w:name="system-implementation"/>
    <w:p>
      <w:pPr>
        <w:pStyle w:val="Heading1"/>
      </w:pP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w:t>
      </w:r>
      <w:r>
        <w:t xml:space="preserve"> </w:t>
      </w:r>
      <w:r>
        <w:rPr>
          <w:rStyle w:val="VerbatimChar"/>
        </w:rPr>
        <w:t xml:space="preserve">RevisionGraph</w:t>
      </w:r>
      <w:r>
        <w:t xml:space="preserve">, typed nodes and edges, sparse analytic propagation over supported DAG exteriors, exact predecessor consistency, a greedy feasible-cone search, and deterministic certificate serialization. Native and reference-planner decisions are compared in the campaign.</w:t>
      </w:r>
    </w:p>
    <w:bookmarkStart w:id="43"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43"/>
    <w:bookmarkStart w:id="44"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44"/>
    <w:bookmarkStart w:id="45"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w:t>
      </w:r>
      <w:hyperlink w:anchor="eq:contract">
        <w:r>
          <w:rPr>
            <w:rStyle w:val="Hyperlink"/>
          </w:rPr>
          <w:t xml:space="preserve">[eq:contract]</w:t>
        </w:r>
      </w:hyperlink>
      <w:r>
        <w:t xml:space="preserve">; production/offline certificate disagreement or a measured error above the emitted certificate is a correctness failure. Evidence bundles are hashed, and the canonical campaign records workflow IDs, artifact hashes, source hashes, and planner parity.</w:t>
      </w:r>
    </w:p>
    <w:bookmarkEnd w:id="45"/>
    <w:bookmarkStart w:id="46" w:name="representation-scope."/>
    <w:p>
      <w:pPr>
        <w:pStyle w:val="Heading4"/>
      </w:pPr>
      <w:r>
        <w:t xml:space="preserve">Representation scope.</w:t>
      </w:r>
    </w:p>
    <w:p>
      <w:pPr>
        <w:pStyle w:val="FirstParagraph"/>
      </w:pPr>
      <w:r>
        <w:t xml:space="preserve">The public campaign uses real COLMAP/SfM inputs from four public scenes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46"/>
    <w:bookmarkEnd w:id="47"/>
    <w:bookmarkStart w:id="52" w:name="evaluation"/>
    <w:p>
      <w:pPr>
        <w:pStyle w:val="Heading1"/>
      </w:pPr>
      <w:r>
        <w:t xml:space="preserve">Evaluation</w:t>
      </w:r>
    </w:p>
    <w:bookmarkStart w:id="49" w:name="questions-and-protocol"/>
    <w:p>
      <w:pPr>
        <w:pStyle w:val="Heading2"/>
      </w:pP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Start w:id="48" w:name="runtime-scope."/>
    <w:p>
      <w:pPr>
        <w:pStyle w:val="Heading4"/>
      </w:pPr>
      <w:r>
        <w:t xml:space="preserve">Runtime scope.</w:t>
      </w:r>
    </w:p>
    <w:p>
      <w:pPr>
        <w:pStyle w:val="FirstParagraph"/>
      </w:pPr>
      <w:r>
        <w:t xml:space="preserve">The current campaign does not contain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Accordingly, no speedup claim is made anywhere in the paper. The public headline is a frozen heterogeneous millisecond-calibrated work ratio, while the baseline suite below reports its own native work-ratio metric. These quantities are intentionally labeled separately.</w:t>
      </w:r>
    </w:p>
    <w:bookmarkEnd w:id="48"/>
    <w:bookmarkEnd w:id="49"/>
    <w:bookmarkStart w:id="50" w:name="baselines-and-ablations"/>
    <w:p>
      <w:pPr>
        <w:pStyle w:val="Heading2"/>
      </w:pP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50"/>
    <w:bookmarkStart w:id="51" w:name="metrics"/>
    <w:p>
      <w:pPr>
        <w:pStyle w:val="Heading2"/>
      </w:pPr>
      <w:r>
        <w:t xml:space="preserve">Metrics</w:t>
      </w:r>
    </w:p>
    <w:p>
      <w:pPr>
        <w:pStyle w:val="FirstParagraph"/>
      </w:pPr>
      <w:r>
        <w:t xml:space="preserve">The primary correctness metric is violation count under Eq. </w:t>
      </w:r>
      <w:hyperlink w:anchor="eq:contract">
        <w:r>
          <w:rPr>
            <w:rStyle w:val="Hyperlink"/>
          </w:rPr>
          <w:t xml:space="preserve">[eq:contract]</w:t>
        </w:r>
      </w:hyperlink>
      <w:r>
        <w:t xml:space="preserve">.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51"/>
    <w:bookmarkEnd w:id="52"/>
    <w:bookmarkStart w:id="63" w:name="sec:results"/>
    <w:p>
      <w:pPr>
        <w:pStyle w:val="Heading1"/>
      </w:pPr>
      <w:r>
        <w:t xml:space="preserve">Results</w:t>
      </w:r>
    </w:p>
    <w:bookmarkStart w:id="53" w:name="public-rgbsfm-campaign"/>
    <w:p>
      <w:pPr>
        <w:pStyle w:val="Heading2"/>
      </w:pP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w:t>
      </w:r>
      <w:hyperlink w:anchor="fig:qualitative">
        <w:r>
          <w:rPr>
            <w:rStyle w:val="Hyperlink"/>
          </w:rPr>
          <w:t xml:space="preserve">[fig:qualitative]</w:t>
        </w:r>
      </w:hyperlink>
      <w:r>
        <w:t xml:space="preserve"> </w:t>
      </w:r>
      <w:r>
        <w:t xml:space="preserve">shows representative local and fallback outcomes, while Table </w:t>
      </w:r>
      <w:hyperlink w:anchor="tab:summary">
        <w:r>
          <w:rPr>
            <w:rStyle w:val="Hyperlink"/>
          </w:rPr>
          <w:t xml:space="preserve">2</w:t>
        </w:r>
      </w:hyperlink>
      <w:r>
        <w:t xml:space="preserve"> </w:t>
      </w:r>
      <w:r>
        <w:t xml:space="preserve">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bookmarkEnd w:id="53"/>
    <w:bookmarkStart w:id="58" w:name="method-comparison"/>
    <w:p>
      <w:pPr>
        <w:pStyle w:val="Heading2"/>
      </w:pPr>
      <w:r>
        <w:t xml:space="preserve">Method comparison</w:t>
      </w:r>
    </w:p>
    <w:p>
      <w:pPr>
        <w:pStyle w:val="FirstParagraph"/>
      </w:pPr>
      <w:r>
        <w:t xml:space="preserve">Table </w:t>
      </w:r>
      <w:hyperlink w:anchor="tab:baselines">
        <w:r>
          <w:rPr>
            <w:rStyle w:val="Hyperlink"/>
          </w:rPr>
          <w:t xml:space="preserve">[tab:baselines]</w:t>
        </w:r>
      </w:hyperlink>
      <w:r>
        <w:t xml:space="preserve"> </w:t>
      </w:r>
      <w:r>
        <w:t xml:space="preserve">reports the frozen method-level baseline suite on the same 60 cases. The suite re-certifies every selected cone with the conservative certificate, so</w:t>
      </w:r>
      <w:r>
        <w:t xml:space="preserve"> </w:t>
      </w:r>
      <w:r>
        <w:rPr>
          <w:iCs/>
          <w:i/>
        </w:rPr>
        <w:t xml:space="preserve">certificate pass</w:t>
      </w:r>
      <w:r>
        <w:t xml:space="preserve"> </w:t>
      </w:r>
      <w:r>
        <w:t xml:space="preserve">is not an independent measured-error metric. In particular, exact-only, radius, and changed-fraction policies often choose very little work but fail the certificate on most cases. The empirical-order baseline uses empirical influence only to order expansion and is still re-certified analytically; the separately held-out changed-fraction heuristic is discussed below.</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right"/>
            </w:pPr>
            <w:r>
              <w:t xml:space="preserve">Cert. pass</w:t>
            </w:r>
          </w:p>
        </w:tc>
        <w:tc>
          <w:tcPr/>
          <w:p>
            <w:pPr>
              <w:pStyle w:val="Compact"/>
              <w:jc w:val="right"/>
            </w:pPr>
            <w:r>
              <w:t xml:space="preserve">Uncertified</w:t>
            </w:r>
          </w:p>
        </w:tc>
        <w:tc>
          <w:tcPr/>
          <w:p>
            <w:pPr>
              <w:pStyle w:val="Compact"/>
              <w:jc w:val="right"/>
            </w:pPr>
            <w:r>
              <w:rPr>
                <w:smallCaps/>
              </w:rPr>
              <w:t xml:space="preserve">Full</w:t>
            </w:r>
            <w:r>
              <w:t xml:space="preserve"> </w:t>
            </w:r>
            <w:r>
              <w:t xml:space="preserve">rate</w:t>
            </w:r>
          </w:p>
        </w:tc>
        <w:tc>
          <w:tcPr/>
          <w:p>
            <w:pPr>
              <w:pStyle w:val="Compact"/>
              <w:jc w:val="right"/>
            </w:pPr>
            <w:r>
              <w:t xml:space="preserve">Median native work/</w:t>
            </w:r>
            <w:r>
              <w:rPr>
                <w:smallCaps/>
              </w:rPr>
              <w:t xml:space="preserve">Full</w:t>
            </w:r>
          </w:p>
        </w:tc>
        <w:tc>
          <w:tcPr/>
          <w:p>
            <w:pPr>
              <w:pStyle w:val="Compact"/>
              <w:jc w:val="left"/>
            </w:pPr>
            <w:r>
              <w:t xml:space="preserve">Decision rule</w:t>
            </w:r>
          </w:p>
        </w:tc>
      </w:tr>
      <w:tr>
        <w:tc>
          <w:tcPr/>
          <w:p>
            <w:pPr>
              <w:pStyle w:val="Compact"/>
              <w:jc w:val="left"/>
            </w:pPr>
            <w:r>
              <w:rPr>
                <w:smallCaps/>
              </w:rPr>
              <w:t xml:space="preserve">Full</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1.00000</w:t>
            </w:r>
          </w:p>
        </w:tc>
        <w:tc>
          <w:tcPr/>
          <w:p>
            <w:pPr>
              <w:pStyle w:val="Compact"/>
              <w:jc w:val="left"/>
            </w:pPr>
            <w:r>
              <w:t xml:space="preserve">full reference</w:t>
            </w:r>
          </w:p>
        </w:tc>
      </w:tr>
      <w:tr>
        <w:tc>
          <w:tcPr/>
          <w:p>
            <w:pPr>
              <w:pStyle w:val="Compact"/>
              <w:jc w:val="left"/>
            </w:pPr>
            <w:r>
              <w:t xml:space="preserve">Exact only</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exact closure only</w:t>
            </w:r>
          </w:p>
        </w:tc>
      </w:tr>
      <w:tr>
        <w:tc>
          <w:tcPr/>
          <w:p>
            <w:pPr>
              <w:pStyle w:val="Compact"/>
              <w:jc w:val="left"/>
            </w:pPr>
            <w:r>
              <w:t xml:space="preserve">Radius 0–3</w:t>
            </w:r>
          </w:p>
        </w:tc>
        <w:tc>
          <w:tcPr/>
          <w:p>
            <w:pPr>
              <w:pStyle w:val="Compact"/>
              <w:jc w:val="right"/>
            </w:pPr>
            <w:r>
              <w:t xml:space="preserve">26.7%</w:t>
            </w:r>
          </w:p>
        </w:tc>
        <w:tc>
          <w:tcPr/>
          <w:p>
            <w:pPr>
              <w:pStyle w:val="Compact"/>
              <w:jc w:val="right"/>
            </w:pPr>
            <w:r>
              <w:t xml:space="preserve">73.3%</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fixed graph radius</w:t>
            </w:r>
          </w:p>
        </w:tc>
      </w:tr>
      <w:tr>
        <w:tc>
          <w:tcPr/>
          <w:p>
            <w:pPr>
              <w:pStyle w:val="Compact"/>
              <w:jc w:val="left"/>
            </w:pPr>
            <w:r>
              <w:t xml:space="preserve">Changed fraction</w:t>
            </w:r>
          </w:p>
        </w:tc>
        <w:tc>
          <w:tcPr/>
          <w:p>
            <w:pPr>
              <w:pStyle w:val="Compact"/>
              <w:jc w:val="right"/>
            </w:pPr>
            <w:r>
              <w:t xml:space="preserve">40.0%</w:t>
            </w:r>
          </w:p>
        </w:tc>
        <w:tc>
          <w:tcPr/>
          <w:p>
            <w:pPr>
              <w:pStyle w:val="Compact"/>
              <w:jc w:val="right"/>
            </w:pPr>
            <w:r>
              <w:t xml:space="preserve">60.0%</w:t>
            </w:r>
          </w:p>
        </w:tc>
        <w:tc>
          <w:tcPr/>
          <w:p>
            <w:pPr>
              <w:pStyle w:val="Compact"/>
              <w:jc w:val="right"/>
            </w:pPr>
            <w:r>
              <w:t xml:space="preserve">0.0%</w:t>
            </w:r>
          </w:p>
        </w:tc>
        <w:tc>
          <w:tcPr/>
          <w:p>
            <w:pPr>
              <w:pStyle w:val="Compact"/>
              <w:jc w:val="right"/>
            </w:pPr>
            <w:r>
              <w:t xml:space="preserve">0.00000</w:t>
            </w:r>
          </w:p>
        </w:tc>
        <w:tc>
          <w:tcPr/>
          <w:p>
            <w:pPr>
              <w:pStyle w:val="Compact"/>
              <w:jc w:val="left"/>
            </w:pPr>
            <w:r>
              <w:t xml:space="preserve">threshold policy</w:t>
            </w:r>
          </w:p>
        </w:tc>
      </w:tr>
      <w:tr>
        <w:tc>
          <w:tcPr/>
          <w:p>
            <w:pPr>
              <w:pStyle w:val="Compact"/>
              <w:jc w:val="left"/>
            </w:pPr>
            <w:r>
              <w:t xml:space="preserve">Empirical order + certifier</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0.04736</w:t>
            </w:r>
          </w:p>
        </w:tc>
        <w:tc>
          <w:tcPr/>
          <w:p>
            <w:pPr>
              <w:pStyle w:val="Compact"/>
              <w:jc w:val="left"/>
            </w:pPr>
            <w:r>
              <w:t xml:space="preserve">empirical ordering, analytic recertification</w:t>
            </w:r>
          </w:p>
        </w:tc>
      </w:tr>
      <w:tr>
        <w:tc>
          <w:tcPr/>
          <w:p>
            <w:pPr>
              <w:pStyle w:val="Compact"/>
              <w:jc w:val="left"/>
            </w:pPr>
            <w:r>
              <w:t xml:space="preserve">CBRC</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26.7%</w:t>
            </w:r>
          </w:p>
        </w:tc>
        <w:tc>
          <w:tcPr/>
          <w:p>
            <w:pPr>
              <w:pStyle w:val="Compact"/>
              <w:jc w:val="right"/>
            </w:pPr>
            <w:r>
              <w:t xml:space="preserve">0.04736</w:t>
            </w:r>
          </w:p>
        </w:tc>
        <w:tc>
          <w:tcPr/>
          <w:p>
            <w:pPr>
              <w:pStyle w:val="Compact"/>
              <w:jc w:val="left"/>
            </w:pPr>
            <w:r>
              <w:t xml:space="preserve">certificate + work crossover + fallback</w:t>
            </w:r>
          </w:p>
        </w:tc>
      </w:tr>
    </w:tbl>
    <w:p>
      <w:pPr>
        <w:pStyle w:val="BodyText"/>
      </w:pPr>
      <w:r>
        <w:drawing>
          <wp:inline>
            <wp:extent cx="5227320" cy="3136392"/>
            <wp:effectExtent b="0" l="0" r="0" t="0"/>
            <wp:docPr descr="image" title="" id="55" name="Picture"/>
            <a:graphic>
              <a:graphicData uri="http://schemas.openxmlformats.org/drawingml/2006/picture">
                <pic:pic>
                  <pic:nvPicPr>
                    <pic:cNvPr descr="../research/results/visualizations/public/F0_hero.png" id="56" name="Picture"/>
                    <pic:cNvPicPr>
                      <a:picLocks noChangeArrowheads="1" noChangeAspect="1"/>
                    </pic:cNvPicPr>
                  </pic:nvPicPr>
                  <pic:blipFill>
                    <a:blip r:embed="rId54"/>
                    <a:stretch>
                      <a:fillRect/>
                    </a:stretch>
                  </pic:blipFill>
                  <pic:spPr bwMode="auto">
                    <a:xfrm>
                      <a:off x="0" y="0"/>
                      <a:ext cx="5227320" cy="3136392"/>
                    </a:xfrm>
                    <a:prstGeom prst="rect">
                      <a:avLst/>
                    </a:prstGeom>
                    <a:noFill/>
                    <a:ln w="9525">
                      <a:noFill/>
                      <a:headEnd/>
                      <a:tailEnd/>
                    </a:ln>
                  </pic:spPr>
                </pic:pic>
              </a:graphicData>
            </a:graphic>
          </wp:inline>
        </w:drawing>
      </w:r>
    </w:p>
    <w:bookmarkStart w:id="57" w:name="tab:summary"/>
    <w:p>
      <w:pPr>
        <w:pStyle w:val="TableCaption"/>
      </w:pPr>
      <w:r>
        <w:t xml:space="preserve">Canonical evidence summary. Work factors are not wall-clock speedups.</w:t>
      </w:r>
    </w:p>
    <w:tbl>
      <w:tblPr>
        <w:tblStyle w:val="Table"/>
        <w:tblW w:type="auto" w:w="0"/>
        <w:tblLook w:firstRow="1" w:lastRow="0" w:firstColumn="0" w:lastColumn="0" w:noHBand="0" w:noVBand="0" w:val="0020"/>
        <w:jc w:val="start"/>
        <w:tblCaption w:val="Canonical evidence summary. Work factors are not wall-clock speedups."/>
      </w:tblPr>
      <w:tblGrid>
        <w:gridCol w:w="2640"/>
        <w:gridCol w:w="2640"/>
        <w:gridCol w:w="2640"/>
      </w:tblGrid>
      <w:tr>
        <w:trPr>
          <w:tblHeader w:val="true"/>
        </w:trPr>
        <w:tc>
          <w:tcPr/>
          <w:p>
            <w:pPr>
              <w:pStyle w:val="Compact"/>
            </w:pPr>
          </w:p>
        </w:tc>
        <w:tc>
          <w:tcPr/>
          <w:p>
            <w:pPr>
              <w:pStyle w:val="Compact"/>
              <w:jc w:val="right"/>
            </w:pPr>
            <w:r>
              <w:t xml:space="preserve">Public RGB/SfM</w:t>
            </w:r>
          </w:p>
        </w:tc>
        <w:tc>
          <w:tcPr/>
          <w:p>
            <w:pPr>
              <w:pStyle w:val="Compact"/>
              <w:jc w:val="right"/>
            </w:pPr>
            <w:r>
              <w:t xml:space="preserve">Trained 3DGS</w:t>
            </w:r>
          </w:p>
        </w:tc>
      </w:tr>
      <w:tr>
        <w:tc>
          <w:tcPr/>
          <w:p>
            <w:pPr>
              <w:pStyle w:val="Compact"/>
              <w:jc w:val="left"/>
            </w:pPr>
            <w:r>
              <w:t xml:space="preserve">Cases</w:t>
            </w:r>
          </w:p>
        </w:tc>
        <w:tc>
          <w:tcPr/>
          <w:p>
            <w:pPr>
              <w:pStyle w:val="Compact"/>
              <w:jc w:val="right"/>
            </w:pPr>
            <w:r>
              <w:t xml:space="preserve">60</w:t>
            </w:r>
          </w:p>
        </w:tc>
        <w:tc>
          <w:tcPr/>
          <w:p>
            <w:pPr>
              <w:pStyle w:val="Compact"/>
              <w:jc w:val="right"/>
            </w:pPr>
            <w:r>
              <w:t xml:space="preserve">5</w:t>
            </w:r>
          </w:p>
        </w:tc>
      </w:tr>
      <w:tr>
        <w:tc>
          <w:tcPr/>
          <w:p>
            <w:pPr>
              <w:pStyle w:val="Compact"/>
              <w:jc w:val="left"/>
            </w:pPr>
            <w:r>
              <w:t xml:space="preserve">Certified local</w:t>
            </w:r>
          </w:p>
        </w:tc>
        <w:tc>
          <w:tcPr/>
          <w:p>
            <w:pPr>
              <w:pStyle w:val="Compact"/>
              <w:jc w:val="right"/>
            </w:pPr>
            <w:r>
              <w:t xml:space="preserve">44</w:t>
            </w:r>
          </w:p>
        </w:tc>
        <w:tc>
          <w:tcPr/>
          <w:p>
            <w:pPr>
              <w:pStyle w:val="Compact"/>
              <w:jc w:val="right"/>
            </w:pPr>
            <w:r>
              <w:t xml:space="preserve">4</w:t>
            </w:r>
          </w:p>
        </w:tc>
      </w:tr>
      <w:tr>
        <w:tc>
          <w:tcPr/>
          <w:p>
            <w:pPr>
              <w:pStyle w:val="Compact"/>
              <w:jc w:val="left"/>
            </w:pPr>
            <w:r>
              <w:t xml:space="preserve">FULL fallback</w:t>
            </w:r>
          </w:p>
        </w:tc>
        <w:tc>
          <w:tcPr/>
          <w:p>
            <w:pPr>
              <w:pStyle w:val="Compact"/>
              <w:jc w:val="right"/>
            </w:pPr>
            <w:r>
              <w:t xml:space="preserve">16</w:t>
            </w:r>
          </w:p>
        </w:tc>
        <w:tc>
          <w:tcPr/>
          <w:p>
            <w:pPr>
              <w:pStyle w:val="Compact"/>
              <w:jc w:val="right"/>
            </w:pPr>
            <w:r>
              <w:t xml:space="preserve">1</w:t>
            </w:r>
          </w:p>
        </w:tc>
      </w:tr>
      <w:tr>
        <w:tc>
          <w:tcPr/>
          <w:p>
            <w:pPr>
              <w:pStyle w:val="Compact"/>
              <w:jc w:val="left"/>
            </w:pPr>
            <w:r>
              <w:t xml:space="preserve">Observed violations</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Selected work / FULL</w:t>
            </w:r>
          </w:p>
        </w:tc>
        <w:tc>
          <w:tcPr/>
          <w:p>
            <w:pPr>
              <w:pStyle w:val="Compact"/>
              <w:jc w:val="right"/>
            </w:pPr>
            <w:r>
              <w:t xml:space="preserve">0.36953</w:t>
            </w:r>
          </w:p>
        </w:tc>
        <w:tc>
          <w:tcPr/>
          <w:p>
            <w:pPr>
              <w:pStyle w:val="Compact"/>
              <w:jc w:val="right"/>
            </w:pPr>
            <w:r>
              <w:t xml:space="preserve">0.03495</w:t>
            </w:r>
            <m:oMath>
              <m:sSup>
                <m:e>
                  <m:r>
                    <m:t>​</m:t>
                  </m:r>
                </m:e>
                <m:sup>
                  <m:r>
                    <m:rPr>
                      <m:sty m:val="p"/>
                    </m:rPr>
                    <m:t>†</m:t>
                  </m:r>
                </m:sup>
              </m:sSup>
            </m:oMath>
          </w:p>
        </w:tc>
      </w:tr>
      <w:tr>
        <w:tc>
          <w:tcPr/>
          <w:p>
            <w:pPr>
              <w:pStyle w:val="Compact"/>
              <w:jc w:val="left"/>
            </w:pPr>
            <w:r>
              <w:t xml:space="preserve">Reported reduction</w:t>
            </w:r>
          </w:p>
        </w:tc>
        <w:tc>
          <w:tcPr/>
          <w:p>
            <w:pPr>
              <w:pStyle w:val="Compact"/>
              <w:jc w:val="right"/>
            </w:pPr>
            <w:r>
              <w:t xml:space="preserve">2.706</w:t>
            </w:r>
            <m:oMath>
              <m:r>
                <m:rPr>
                  <m:sty m:val="p"/>
                </m:rPr>
                <m:t>×</m:t>
              </m:r>
            </m:oMath>
          </w:p>
        </w:tc>
        <w:tc>
          <w:tcPr/>
          <w:p>
            <w:pPr>
              <w:pStyle w:val="Compact"/>
              <w:jc w:val="right"/>
            </w:pPr>
            <w:r>
              <w:t xml:space="preserve">28.614</w:t>
            </w:r>
            <m:oMath>
              <m:r>
                <m:rPr>
                  <m:sty m:val="p"/>
                </m:rPr>
                <m:t>×</m:t>
              </m:r>
            </m:oMath>
            <m:oMath>
              <m:sSup>
                <m:e>
                  <m:r>
                    <m:t>​</m:t>
                  </m:r>
                </m:e>
                <m:sup>
                  <m:r>
                    <m:rPr>
                      <m:sty m:val="p"/>
                    </m:rPr>
                    <m:t>†</m:t>
                  </m:r>
                </m:sup>
              </m:sSup>
            </m:oMath>
          </w:p>
        </w:tc>
      </w:tr>
      <w:tr>
        <w:tc>
          <w:tcPr/>
          <w:p>
            <w:pPr>
              <w:pStyle w:val="Compact"/>
              <w:jc w:val="left"/>
            </w:pPr>
            <w:r>
              <w:t xml:space="preserve">Median inspection / FULL</w:t>
            </w:r>
          </w:p>
        </w:tc>
        <w:tc>
          <w:tcPr/>
          <w:p>
            <w:pPr>
              <w:pStyle w:val="Compact"/>
              <w:jc w:val="right"/>
            </w:pPr>
            <m:oMath>
              <m:r>
                <m:rPr>
                  <m:sty m:val="p"/>
                </m:rPr>
                <m:t>≈</m:t>
              </m:r>
              <m:r>
                <m:t>1.0</m:t>
              </m:r>
            </m:oMath>
          </w:p>
        </w:tc>
        <w:tc>
          <w:tcPr/>
          <w:p>
            <w:pPr>
              <w:pStyle w:val="Compact"/>
              <w:jc w:val="right"/>
            </w:pPr>
            <w:r>
              <w:t xml:space="preserve">0.999997</w:t>
            </w:r>
          </w:p>
        </w:tc>
      </w:tr>
      <w:tr>
        <w:tc>
          <w:tcPr>
            <w:gridSpan w:val="3"/>
          </w:tcPr>
          <w:p>
            <w:pPr>
              <w:pStyle w:val="Compact"/>
              <w:jc w:val="left"/>
            </w:pPr>
            <m:oMath>
              <m:sSup>
                <m:e>
                  <m:r>
                    <m:t>​</m:t>
                  </m:r>
                </m:e>
                <m:sup>
                  <m:r>
                    <m:rPr>
                      <m:sty m:val="p"/>
                    </m:rPr>
                    <m:t>†</m:t>
                  </m:r>
                </m:sup>
              </m:sSup>
            </m:oMath>
            <w:r>
              <w:t xml:space="preserve">Trained result uses native temporal/output work, not the public calibrated model.</w:t>
            </w:r>
          </w:p>
        </w:tc>
      </w:tr>
    </w:tbl>
    <w:bookmarkEnd w:id="57"/>
    <w:bookmarkEnd w:id="58"/>
    <w:bookmarkStart w:id="60" w:name="trained-3dgs-representation-check"/>
    <w:p>
      <w:pPr>
        <w:pStyle w:val="Heading2"/>
      </w:pP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w:t>
      </w:r>
      <w:hyperlink w:anchor="tab:trained">
        <w:r>
          <w:rPr>
            <w:rStyle w:val="Hyperlink"/>
          </w:rPr>
          <w:t xml:space="preserve">3</w:t>
        </w:r>
      </w:hyperlink>
      <w:r>
        <w:t xml:space="preserve"> </w:t>
      </w:r>
      <w:r>
        <w:t xml:space="preserve">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59" w:name="tab:trained"/>
    <w:p>
      <w:pPr>
        <w:pStyle w:val="TableCaption"/>
      </w:pPr>
      <w:r>
        <w:t xml:space="preserve">Inspection remains nearly global even when the selected update, publication, and temporal domains are local. The table exposes rather than hides the discovery bottleneck.</w:t>
      </w:r>
    </w:p>
    <w:tbl>
      <w:tblPr>
        <w:tblStyle w:val="Table"/>
        <w:tblW w:type="auto" w:w="0"/>
        <w:tblLook w:firstRow="1" w:lastRow="0" w:firstColumn="0" w:lastColumn="0" w:noHBand="0" w:noVBand="0" w:val="0020"/>
        <w:jc w:val="start"/>
        <w:tblCaption w:val="Inspection remains nearly global even when the selected update, publication, and temporal domains are local. The table exposes rather than hides the discovery bottleneck."/>
      </w:tblPr>
      <w:tblGrid>
        <w:gridCol w:w="3960"/>
        <w:gridCol w:w="3960"/>
      </w:tblGrid>
      <w:tr>
        <w:trPr>
          <w:tblHeader w:val="true"/>
        </w:trPr>
        <w:tc>
          <w:tcPr/>
          <w:p>
            <w:pPr>
              <w:pStyle w:val="Compact"/>
              <w:jc w:val="left"/>
            </w:pPr>
            <w:r>
              <w:rPr>
                <w:bCs/>
                <w:b/>
              </w:rPr>
              <w:t xml:space="preserve">Native domain</w:t>
            </w:r>
          </w:p>
        </w:tc>
        <w:tc>
          <w:tcPr/>
          <w:p>
            <w:pPr>
              <w:pStyle w:val="Compact"/>
              <w:jc w:val="left"/>
            </w:pPr>
            <w:r>
              <w:rPr>
                <w:bCs/>
                <w:b/>
              </w:rPr>
              <w:t xml:space="preserve">Ratio /</w:t>
            </w:r>
            <w:r>
              <w:rPr>
                <w:bCs/>
                <w:b/>
              </w:rPr>
              <w:t xml:space="preserve"> </w:t>
            </w:r>
            <w:r>
              <w:rPr>
                <w:smallCaps/>
                <w:bCs/>
                <w:b/>
              </w:rPr>
              <w:t xml:space="preserve">Full</w:t>
            </w:r>
          </w:p>
        </w:tc>
      </w:tr>
      <w:tr>
        <w:tc>
          <w:tcPr/>
          <w:p>
            <w:pPr>
              <w:pStyle w:val="Compact"/>
              <w:jc w:val="left"/>
            </w:pPr>
            <w:r>
              <w:t xml:space="preserve">Gaussian inspection</w:t>
            </w:r>
          </w:p>
        </w:tc>
        <w:tc>
          <w:tcPr/>
          <w:p>
            <w:pPr>
              <w:pStyle w:val="Compact"/>
            </w:pPr>
          </w:p>
        </w:tc>
      </w:tr>
      <w:tr>
        <w:tc>
          <w:tcPr/>
          <w:p>
            <w:pPr>
              <w:pStyle w:val="Compact"/>
              <w:jc w:val="left"/>
            </w:pPr>
            <w:r>
              <w:t xml:space="preserve">Gaussian update</w:t>
            </w:r>
          </w:p>
        </w:tc>
        <w:tc>
          <w:tcPr/>
          <w:p>
            <w:pPr>
              <w:pStyle w:val="Compact"/>
            </w:pPr>
          </w:p>
        </w:tc>
      </w:tr>
      <w:tr>
        <w:tc>
          <w:tcPr/>
          <w:p>
            <w:pPr>
              <w:pStyle w:val="Compact"/>
              <w:jc w:val="left"/>
            </w:pPr>
            <w:r>
              <w:t xml:space="preserve">GPU publication bytes</w:t>
            </w:r>
          </w:p>
        </w:tc>
        <w:tc>
          <w:tcPr/>
          <w:p>
            <w:pPr>
              <w:pStyle w:val="Compact"/>
            </w:pPr>
          </w:p>
        </w:tc>
      </w:tr>
      <w:tr>
        <w:tc>
          <w:tcPr/>
          <w:p>
            <w:pPr>
              <w:pStyle w:val="Compact"/>
              <w:jc w:val="left"/>
            </w:pPr>
            <w:r>
              <w:t xml:space="preserve">Temporal pixels invalidated</w:t>
            </w:r>
          </w:p>
        </w:tc>
        <w:tc>
          <w:tcPr/>
          <w:p>
            <w:pPr>
              <w:pStyle w:val="Compact"/>
            </w:pPr>
          </w:p>
        </w:tc>
      </w:tr>
    </w:tbl>
    <w:bookmarkEnd w:id="59"/>
    <w:bookmarkEnd w:id="60"/>
    <w:bookmarkStart w:id="61" w:name="sparse-candidate-discovery"/>
    <w:p>
      <w:pPr>
        <w:pStyle w:val="Heading2"/>
      </w:pP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w:t>
      </w:r>
      <w:hyperlink w:anchor="tab:sparse">
        <w:r>
          <w:rPr>
            <w:rStyle w:val="Hyperlink"/>
          </w:rPr>
          <w:t xml:space="preserve">[tab:sparse]</w:t>
        </w:r>
      </w:hyperlink>
      <w:r>
        <w:t xml:space="preserve">). This result demonstrates that the discovery bottleneck is removable in isolation, but it is not silently credited to the frozen end-to-end work ledger because that index was evaluated separately.</w:t>
      </w:r>
    </w:p>
    <w:p>
      <w:pPr>
        <w:pStyle w:val="BodyText"/>
      </w:pPr>
      <w:r>
        <w:t xml:space="preserve">@Y&gt;p</w:t>
      </w:r>
      <w:r>
        <w:t xml:space="preserve">0.25</w:t>
      </w:r>
      <w:r>
        <w:t xml:space="preserve">@</w:t>
      </w:r>
      <w:r>
        <w:t xml:space="preserve"> </w:t>
      </w:r>
      <w:r>
        <w:rPr>
          <w:bCs/>
          <w:b/>
        </w:rPr>
        <w:t xml:space="preserve">Statistic</w:t>
      </w:r>
      <w:r>
        <w:t xml:space="preserve"> </w:t>
      </w:r>
      <w:r>
        <w:t xml:space="preserve">&amp;</w:t>
      </w:r>
      <w:r>
        <w:t xml:space="preserve"> </w:t>
      </w:r>
      <w:r>
        <w:rPr>
          <w:bCs/>
          <w:b/>
        </w:rPr>
        <w:t xml:space="preserve">Value</w:t>
      </w:r>
      <w:r>
        <w:br/>
      </w:r>
      <w:r>
        <w:t xml:space="preserve">Exact candidate-selection agreement &amp; true</w:t>
      </w:r>
      <w:r>
        <w:br/>
      </w:r>
      <w:r>
        <w:t xml:space="preserve">Median inspected fraction &amp; 0.010</w:t>
      </w:r>
      <w:r>
        <w:br/>
      </w:r>
      <w:r>
        <w:t xml:space="preserve">Minimum inspected fraction &amp; 0.001</w:t>
      </w:r>
      <w:r>
        <w:br/>
      </w:r>
      <w:r>
        <w:t xml:space="preserve">Largest tested scale &amp; 1,000,000 Gaussians</w:t>
      </w:r>
      <w:r>
        <w:br/>
      </w:r>
    </w:p>
    <w:bookmarkEnd w:id="61"/>
    <w:bookmarkStart w:id="62" w:name="empirical-scheduling-and-ablations"/>
    <w:p>
      <w:pPr>
        <w:pStyle w:val="Heading2"/>
      </w:pP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Table </w:t>
      </w:r>
      <w:hyperlink w:anchor="tab:ablations">
        <w:r>
          <w:rPr>
            <w:rStyle w:val="Hyperlink"/>
          </w:rPr>
          <w:t xml:space="preserve">[tab:ablations]</w:t>
        </w:r>
      </w:hyperlink>
      <w:r>
        <w:t xml:space="preserve"> </w:t>
      </w:r>
      <w:r>
        <w:t xml:space="preserve">makes the real-matrix ablation behavior explicit. Five structural/analytic ablations are neutral on these 60 cases. The global-norm-tail replacement remains certificate-safe but collapses to</w:t>
      </w:r>
      <w:r>
        <w:t xml:space="preserve"> </w:t>
      </w:r>
      <w:r>
        <w:rPr>
          <w:smallCaps/>
        </w:rPr>
        <w:t xml:space="preserve">Full</w:t>
      </w:r>
      <w:r>
        <w:t xml:space="preserve"> </w:t>
      </w:r>
      <w:r>
        <w:t xml:space="preserve">on every case. Removing fallback has the opposite failure mode: it never selects</w:t>
      </w:r>
      <w:r>
        <w:t xml:space="preserve"> </w:t>
      </w:r>
      <w:r>
        <w:rPr>
          <w:smallCaps/>
        </w:rPr>
        <w:t xml:space="preserve">Full</w:t>
      </w:r>
      <w:r>
        <w:t xml:space="preserve"> </w:t>
      </w:r>
      <w:r>
        <w:t xml:space="preserve">and only 26.7% of cases pass the certificate. The separately labeled mechanism-isolation suite contains seven deterministic synthetic stress cases, one for each v1 mechanism, and all seven separate in the expected safety/work direction. Those stress cases establish falsifiability of the mechanisms, not real-world effect size.</w:t>
      </w:r>
    </w:p>
    <w:p>
      <w:pPr>
        <w:pStyle w:val="BodyText"/>
      </w:pPr>
      <w:r>
        <w:t xml:space="preserve">lrrrY</w:t>
      </w:r>
      <w:r>
        <w:t xml:space="preserve"> </w:t>
      </w:r>
      <w:r>
        <w:t xml:space="preserve">Ablation &amp; Pass &amp;</w:t>
      </w:r>
      <w:r>
        <w:t xml:space="preserve"> </w:t>
      </w:r>
      <w:r>
        <w:rPr>
          <w:smallCaps/>
        </w:rPr>
        <w:t xml:space="preserve">Full</w:t>
      </w:r>
      <w:r>
        <w:t xml:space="preserve"> </w:t>
      </w:r>
      <w:r>
        <w:t xml:space="preserve">rate &amp; Median native work/</w:t>
      </w:r>
      <w:r>
        <w:rPr>
          <w:smallCaps/>
        </w:rPr>
        <w:t xml:space="preserve">Full</w:t>
      </w:r>
      <w:r>
        <w:t xml:space="preserve"> </w:t>
      </w:r>
      <w:r>
        <w:t xml:space="preserve">&amp; Reading</w:t>
      </w:r>
      <w:r>
        <w:br/>
      </w:r>
      <w:r>
        <w:t xml:space="preserve">Remove predecessor closure &amp; 100.0% &amp; 26.7% &amp; 0.04736 &amp; neutral on real matrix; synthetic case exposes omitted required exact work</w:t>
      </w:r>
      <w:r>
        <w:br/>
      </w:r>
      <w:r>
        <w:t xml:space="preserve">Gaussian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Temporal analytic</w:t>
      </w:r>
      <w:r>
        <w:t xml:space="preserve"> </w:t>
      </w:r>
      <m:oMath>
        <m:r>
          <m:rPr>
            <m:sty m:val="p"/>
          </m:rPr>
          <m:t>→</m:t>
        </m:r>
      </m:oMath>
      <w:r>
        <w:t xml:space="preserve"> </w:t>
      </w:r>
      <w:r>
        <w:rPr>
          <w:smallCaps/>
        </w:rPr>
        <w:t xml:space="preserve">Hard</w:t>
      </w:r>
      <w:r>
        <w:t xml:space="preserve"> </w:t>
      </w:r>
      <w:r>
        <w:t xml:space="preserve">&amp; 100.0% &amp; 26.7% &amp; 0.04736 &amp; neutral on real matrix; synthetic case increases required work or forces</w:t>
      </w:r>
      <w:r>
        <w:t xml:space="preserve"> </w:t>
      </w:r>
      <w:r>
        <w:rPr>
          <w:smallCaps/>
        </w:rPr>
        <w:t xml:space="preserve">Full</w:t>
      </w:r>
      <w:r>
        <w:br/>
      </w:r>
      <w:r>
        <w:t xml:space="preserve">Remove QoI specialization &amp; 100.0% &amp; 26.7% &amp; 0.04736 &amp; neutral on real matrix; synthetic case requires extra irrelevant work</w:t>
      </w:r>
      <w:r>
        <w:br/>
      </w:r>
      <w:r>
        <w:t xml:space="preserve">Collapse</w:t>
      </w:r>
      <w:r>
        <w:t xml:space="preserve"> </w:t>
      </w:r>
      <w:r>
        <w:rPr>
          <w:smallCaps/>
        </w:rPr>
        <w:t xml:space="preserve">Hard</w:t>
      </w:r>
      <w:r>
        <w:t xml:space="preserve">/</w:t>
      </w:r>
      <w:r>
        <w:rPr>
          <w:smallCaps/>
        </w:rPr>
        <w:t xml:space="preserve">Analytic</w:t>
      </w:r>
      <w:r>
        <w:t xml:space="preserve"> </w:t>
      </w:r>
      <w:r>
        <w:t xml:space="preserve">separation &amp; 100.0% &amp; 26.7% &amp; 0.04736 &amp; neutral on real matrix; synthetic case becomes more conservative</w:t>
      </w:r>
      <w:r>
        <w:br/>
      </w:r>
      <w:r>
        <w:t xml:space="preserve">Global-norm exterior tail &amp; 100.0% &amp; 100.0% &amp; 1.00000 &amp; safe but destroys locality on all 60 real cases</w:t>
      </w:r>
      <w:r>
        <w:br/>
      </w:r>
      <w:r>
        <w:t xml:space="preserve">Remove certified fallback &amp; 26.7% &amp; 0.0% &amp; 0.00000 &amp; 44/60 real cases fail certification; synthetic case leaves an unsafe candidate</w:t>
      </w:r>
      <w:r>
        <w:br/>
      </w:r>
    </w:p>
    <w:p>
      <w:pPr>
        <w:pStyle w:val="BodyText"/>
      </w:pPr>
      <w:r>
        <w:t xml:space="preserve">The selected public residual is numerically zero in every frozen case at the reported precision, despite 56/60 source edits exceeding tolerance before repair. The real matrix therefore demonstrates selection/fallback correctness but does not estimate certificate tightness under non-zero accepted residual. We use the threshold-crossing mechanism-isolation cases only to show that the analytic machinery can change decisions when stressed; we do not present them as a substitute for real non-zero-residual evidence.</w:t>
      </w:r>
    </w:p>
    <w:bookmarkEnd w:id="62"/>
    <w:bookmarkEnd w:id="63"/>
    <w:bookmarkStart w:id="74" w:name="discussion"/>
    <w:p>
      <w:pPr>
        <w:pStyle w:val="Heading1"/>
      </w:pPr>
      <w:r>
        <w:t xml:space="preserve">Discussion</w:t>
      </w:r>
    </w:p>
    <w:bookmarkStart w:id="64" w:name="what-the-evidence-establishes"/>
    <w:p>
      <w:pPr>
        <w:pStyle w:val="Heading2"/>
      </w:pP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64"/>
    <w:bookmarkStart w:id="72" w:name="limitations"/>
    <w:p>
      <w:pPr>
        <w:pStyle w:val="Heading2"/>
      </w:pPr>
      <w:r>
        <w:t xml:space="preserve">Limitations</w:t>
      </w:r>
    </w:p>
    <w:bookmarkStart w:id="65"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65"/>
    <w:bookmarkStart w:id="66"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66"/>
    <w:bookmarkStart w:id="67"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67"/>
    <w:bookmarkStart w:id="68" w:name="greedy-search-is-not-globally-optimal."/>
    <w:p>
      <w:pPr>
        <w:pStyle w:val="Heading4"/>
      </w:pPr>
      <w:r>
        <w:t xml:space="preserve">Greedy search is not globally optimal.</w:t>
      </w:r>
    </w:p>
    <w:p>
      <w:pPr>
        <w:pStyle w:val="FirstParagraph"/>
      </w:pPr>
      <w:r>
        <w:t xml:space="preserve">Equation </w:t>
      </w:r>
      <w:hyperlink w:anchor="eq:utility">
        <w:r>
          <w:rPr>
            <w:rStyle w:val="Hyperlink"/>
          </w:rPr>
          <w:t xml:space="preserve">[eq:utility]</w:t>
        </w:r>
      </w:hyperlink>
      <w:r>
        <w:t xml:space="preserve"> </w:t>
      </w:r>
      <w:r>
        <w:t xml:space="preserve">constructs a certified feasible cone but does not prove that no cheaper safe cone exists. Global combinatorial minimum-work optimization is outside the v1 claim.</w:t>
      </w:r>
    </w:p>
    <w:bookmarkEnd w:id="68"/>
    <w:bookmarkStart w:id="69"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69"/>
    <w:bookmarkStart w:id="70"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70"/>
    <w:bookmarkStart w:id="71"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71"/>
    <w:bookmarkEnd w:id="72"/>
    <w:bookmarkStart w:id="73" w:name="implications"/>
    <w:p>
      <w:pPr>
        <w:pStyle w:val="Heading2"/>
      </w:pP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73"/>
    <w:bookmarkEnd w:id="74"/>
    <w:bookmarkStart w:id="75" w:name="reproducibility-and-artifact-scope"/>
    <w:p>
      <w:pPr>
        <w:pStyle w:val="Heading1"/>
      </w:pP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Scene-bearing figures retain the applicable upstream dataset or model terms. Original software is licensed under Apache-2.0, original research communication is scoped under CC BY 4.0, and third-party rights are recorded separately. For double-blind review, the identifiable public repository and author metadata should be replaced by an anonymized frozen supplement consistent with the target venue’s policy.</w:t>
      </w:r>
    </w:p>
    <w:bookmarkEnd w:id="75"/>
    <w:bookmarkStart w:id="115" w:name="conclusion"/>
    <w:p>
      <w:pPr>
        <w:pStyle w:val="Heading1"/>
      </w:pPr>
      <w:r>
        <w:t xml:space="preserve">Conclusion</w:t>
      </w:r>
    </w:p>
    <w:p>
      <w:pPr>
        <w:pStyle w:val="FirstParagraph"/>
      </w:pPr>
      <w:r>
        <w:t xml:space="preserve">We presented Criticality-Bounded Revision Cones, where criticality is the worst normalized certificate-to-tolerance ratio for the protected outputs, as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14" w:name="refs"/>
    <w:bookmarkStart w:id="7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76">
        <w:r>
          <w:rPr>
            <w:rStyle w:val="Hyperlink"/>
          </w:rPr>
          <w:t xml:space="preserve">https://doi.org/10.1017/S0956796813000099</w:t>
        </w:r>
      </w:hyperlink>
      <w:r>
        <w:t xml:space="preserve">.</w:t>
      </w:r>
    </w:p>
    <w:bookmarkEnd w:id="77"/>
    <w:bookmarkStart w:id="7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78"/>
    <w:bookmarkStart w:id="8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79">
        <w:r>
          <w:rPr>
            <w:rStyle w:val="Hyperlink"/>
          </w:rPr>
          <w:t xml:space="preserve">https://doi.org/10.2312/EGWR/EGWR99/031-044</w:t>
        </w:r>
      </w:hyperlink>
      <w:r>
        <w:t xml:space="preserve">.</w:t>
      </w:r>
    </w:p>
    <w:bookmarkEnd w:id="80"/>
    <w:bookmarkStart w:id="8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81">
        <w:r>
          <w:rPr>
            <w:rStyle w:val="Hyperlink"/>
          </w:rPr>
          <w:t xml:space="preserve">https://doi.org/10.1109/CVPR52733.2024.02029</w:t>
        </w:r>
      </w:hyperlink>
      <w:r>
        <w:t xml:space="preserve">.</w:t>
      </w:r>
    </w:p>
    <w:bookmarkEnd w:id="82"/>
    <w:bookmarkStart w:id="8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83"/>
    <w:bookmarkStart w:id="8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84"/>
    <w:bookmarkStart w:id="8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85"/>
    <w:bookmarkStart w:id="8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86"/>
    <w:bookmarkStart w:id="8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87">
        <w:r>
          <w:rPr>
            <w:rStyle w:val="Hyperlink"/>
          </w:rPr>
          <w:t xml:space="preserve">https://doi.org/10.1109/CVPR52733.2024.00404</w:t>
        </w:r>
      </w:hyperlink>
      <w:r>
        <w:t xml:space="preserve">.</w:t>
      </w:r>
    </w:p>
    <w:bookmarkEnd w:id="88"/>
    <w:bookmarkStart w:id="8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89"/>
    <w:bookmarkStart w:id="9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90">
        <w:r>
          <w:rPr>
            <w:rStyle w:val="Hyperlink"/>
          </w:rPr>
          <w:t xml:space="preserve">https://doi.org/10.1145/3592433</w:t>
        </w:r>
      </w:hyperlink>
      <w:r>
        <w:t xml:space="preserve">.</w:t>
      </w:r>
    </w:p>
    <w:bookmarkEnd w:id="91"/>
    <w:bookmarkStart w:id="9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92">
        <w:r>
          <w:rPr>
            <w:rStyle w:val="Hyperlink"/>
          </w:rPr>
          <w:t xml:space="preserve">https://doi.org/10.1109/3DV62453.2024.00044</w:t>
        </w:r>
      </w:hyperlink>
      <w:r>
        <w:t xml:space="preserve">.</w:t>
      </w:r>
    </w:p>
    <w:bookmarkEnd w:id="93"/>
    <w:bookmarkStart w:id="9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94">
        <w:r>
          <w:rPr>
            <w:rStyle w:val="Hyperlink"/>
          </w:rPr>
          <w:t xml:space="preserve">https://doi.org/10.1109/CVPR52733.2024.01708</w:t>
        </w:r>
      </w:hyperlink>
      <w:r>
        <w:t xml:space="preserve">.</w:t>
      </w:r>
    </w:p>
    <w:bookmarkEnd w:id="95"/>
    <w:bookmarkStart w:id="9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96"/>
    <w:bookmarkStart w:id="9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97"/>
    <w:bookmarkStart w:id="9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98">
        <w:r>
          <w:rPr>
            <w:rStyle w:val="Hyperlink"/>
          </w:rPr>
          <w:t xml:space="preserve">https://doi.org/10.1016/S0898-1221(00)00317-5</w:t>
        </w:r>
      </w:hyperlink>
      <w:r>
        <w:t xml:space="preserve">.</w:t>
      </w:r>
    </w:p>
    <w:bookmarkEnd w:id="99"/>
    <w:bookmarkStart w:id="10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00">
        <w:r>
          <w:rPr>
            <w:rStyle w:val="Hyperlink"/>
          </w:rPr>
          <w:t xml:space="preserve">https://doi.org/10.1145/344779.344936</w:t>
        </w:r>
      </w:hyperlink>
      <w:r>
        <w:t xml:space="preserve">.</w:t>
      </w:r>
    </w:p>
    <w:bookmarkEnd w:id="101"/>
    <w:bookmarkStart w:id="10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02">
        <w:r>
          <w:rPr>
            <w:rStyle w:val="Hyperlink"/>
          </w:rPr>
          <w:t xml:space="preserve">https://doi.org/10.1109/ICCV48922.2021.00617</w:t>
        </w:r>
      </w:hyperlink>
      <w:r>
        <w:t xml:space="preserve">.</w:t>
      </w:r>
    </w:p>
    <w:bookmarkEnd w:id="103"/>
    <w:bookmarkStart w:id="10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04"/>
    <w:bookmarkStart w:id="10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05">
        <w:r>
          <w:rPr>
            <w:rStyle w:val="Hyperlink"/>
          </w:rPr>
          <w:t xml:space="preserve">https://doi.org/10.1145/2492045.2492051</w:t>
        </w:r>
      </w:hyperlink>
      <w:r>
        <w:t xml:space="preserve">.</w:t>
      </w:r>
    </w:p>
    <w:bookmarkEnd w:id="106"/>
    <w:bookmarkStart w:id="10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07">
        <w:r>
          <w:rPr>
            <w:rStyle w:val="Hyperlink"/>
          </w:rPr>
          <w:t xml:space="preserve">https://doi.org/10.1109/CVPR52733.2024.01920</w:t>
        </w:r>
      </w:hyperlink>
      <w:r>
        <w:t xml:space="preserve">.</w:t>
      </w:r>
    </w:p>
    <w:bookmarkEnd w:id="108"/>
    <w:bookmarkStart w:id="10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09"/>
    <w:bookmarkStart w:id="11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10"/>
    <w:bookmarkStart w:id="11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11">
        <w:r>
          <w:rPr>
            <w:rStyle w:val="Hyperlink"/>
          </w:rPr>
          <w:t xml:space="preserve">https://doi.org/10.1109/ICCV51701.2025.02393</w:t>
        </w:r>
      </w:hyperlink>
      <w:r>
        <w:t xml:space="preserve">.</w:t>
      </w:r>
    </w:p>
    <w:bookmarkEnd w:id="112"/>
    <w:bookmarkStart w:id="11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S0898-1221(00)00317-5" TargetMode="External" /><Relationship Type="http://schemas.openxmlformats.org/officeDocument/2006/relationships/hyperlink" Id="rId76" Target="https://doi.org/10.1017/S0956796813000099" TargetMode="External" /><Relationship Type="http://schemas.openxmlformats.org/officeDocument/2006/relationships/hyperlink" Id="rId92" Target="https://doi.org/10.1109/3DV62453.2024.00044" TargetMode="External" /><Relationship Type="http://schemas.openxmlformats.org/officeDocument/2006/relationships/hyperlink" Id="rId87" Target="https://doi.org/10.1109/CVPR52733.2024.00404" TargetMode="External" /><Relationship Type="http://schemas.openxmlformats.org/officeDocument/2006/relationships/hyperlink" Id="rId94" Target="https://doi.org/10.1109/CVPR52733.2024.01708" TargetMode="External" /><Relationship Type="http://schemas.openxmlformats.org/officeDocument/2006/relationships/hyperlink" Id="rId107" Target="https://doi.org/10.1109/CVPR52733.2024.01920" TargetMode="External" /><Relationship Type="http://schemas.openxmlformats.org/officeDocument/2006/relationships/hyperlink" Id="rId81" Target="https://doi.org/10.1109/CVPR52733.2024.02029" TargetMode="External" /><Relationship Type="http://schemas.openxmlformats.org/officeDocument/2006/relationships/hyperlink" Id="rId102" Target="https://doi.org/10.1109/ICCV48922.2021.00617" TargetMode="External" /><Relationship Type="http://schemas.openxmlformats.org/officeDocument/2006/relationships/hyperlink" Id="rId111" Target="https://doi.org/10.1109/ICCV51701.2025.02393" TargetMode="External" /><Relationship Type="http://schemas.openxmlformats.org/officeDocument/2006/relationships/hyperlink" Id="rId105" Target="https://doi.org/10.1145/2492045.2492051" TargetMode="External" /><Relationship Type="http://schemas.openxmlformats.org/officeDocument/2006/relationships/hyperlink" Id="rId100" Target="https://doi.org/10.1145/344779.344936" TargetMode="External" /><Relationship Type="http://schemas.openxmlformats.org/officeDocument/2006/relationships/hyperlink" Id="rId90" Target="https://doi.org/10.1145/3592433" TargetMode="External" /><Relationship Type="http://schemas.openxmlformats.org/officeDocument/2006/relationships/hyperlink" Id="rId79" Target="https://doi.org/10.2312/EGWR/EGWR99/031-0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2026-09-21T14:23:23Z</dcterms:created>
  <dcterms:modified xsi:type="dcterms:W3CDTF">2026-09-21T14:23:23Z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