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42"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revision-criticality"/>
    <w:p>
      <w:pPr>
        <w:pStyle w:val="Heading2"/>
      </w:pPr>
      <w:r>
        <w:t xml:space="preserve">Revision criticality</w:t>
      </w:r>
    </w:p>
    <w:p>
      <w:pPr>
        <w:pStyle w:val="FirstParagraph"/>
      </w:pPr>
      <w:r>
        <w:t xml:space="preserve">We define the revision criticality of a candidate cone as the worst normalized certified residual</w:t>
      </w:r>
    </w:p>
    <w:p>
      <w:pPr>
        <w:pStyle w:val="BodyText"/>
      </w:pPr>
      <m:oMathPara>
        <m:oMathParaPr>
          <m:jc m:val="center"/>
        </m:oMathParaPr>
        <m:oMath>
          <m:r>
            <m:t>χ</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35"/>
    <w:bookmarkStart w:id="39"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bookmarkStart w:id="36"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p>
      <w:pPr>
        <w:pStyle w:val="BodyText"/>
      </w:pPr>
      <m:oMathPara>
        <m:oMathParaPr>
          <m:jc m:val="center"/>
        </m:oMathParaPr>
        <m:oMath>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bookmarkEnd w:id="36"/>
    <w:bookmarkStart w:id="37"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37"/>
    <w:bookmarkStart w:id="38"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w:t>
      </w:r>
      <w:hyperlink w:anchor="eq:gaussianbound">
        <w:r>
          <w:rPr>
            <w:rStyle w:val="Hyperlink"/>
          </w:rPr>
          <w:t xml:space="preserve">[eq:gaussianbound]</w:t>
        </w:r>
      </w:hyperlink>
      <w:r>
        <w:t xml:space="preserve"> </w:t>
      </w:r>
      <w:r>
        <w:t xml:space="preserve">over the declared pixel support. A fuller algebraic derivation is included with the manuscript supplement.</w:t>
      </w:r>
    </w:p>
    <w:bookmarkEnd w:id="38"/>
    <w:bookmarkEnd w:id="39"/>
    <w:bookmarkStart w:id="40"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40"/>
    <w:bookmarkStart w:id="41" w:name="X62e354406816ed1168c1ad132bd8541650ea272"/>
    <w:p>
      <w:pPr>
        <w:pStyle w:val="Heading2"/>
      </w:pPr>
      <w:r>
        <w:t xml:space="preserve">Greedy feasible-cone search and crossover</w:t>
      </w:r>
    </w:p>
    <w:p>
      <w:pPr>
        <w:pStyle w:val="FirstParagraph"/>
      </w:pPr>
      <w:r>
        <w:t xml:space="preserve">The v1 search uses the revision criticality in Eq. </w:t>
      </w:r>
      <w:hyperlink w:anchor="eq:criticality">
        <w:r>
          <w:rPr>
            <w:rStyle w:val="Hyperlink"/>
          </w:rPr>
          <w:t xml:space="preserve">[eq:criticality]</w:t>
        </w:r>
      </w:hyperlink>
      <w:r>
        <w:t xml:space="preserve"> </w:t>
      </w:r>
      <w:r>
        <w:t xml:space="preserve">directly. For a candidate expansion</w:t>
      </w:r>
      <w:r>
        <w:t xml:space="preserve"> </w:t>
      </w:r>
      <m:oMath>
        <m:r>
          <m:t>C</m:t>
        </m:r>
        <m:r>
          <m:rPr>
            <m:sty m:val="p"/>
          </m:rPr>
          <m:t>→</m:t>
        </m:r>
        <m:r>
          <m:t>C</m:t>
        </m:r>
        <m:r>
          <m:rPr>
            <m:sty m:val="p"/>
          </m:rPr>
          <m:t>′</m:t>
        </m:r>
      </m:oMath>
      <w:r>
        <w:t xml:space="preserve">, it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χ</m:t>
              </m:r>
              <m:d>
                <m:dPr>
                  <m:begChr m:val="("/>
                  <m:endChr m:val=")"/>
                  <m:sepChr m:val=""/>
                  <m:grow/>
                </m:dPr>
                <m:e>
                  <m:r>
                    <m:t>C</m:t>
                  </m:r>
                </m:e>
              </m:d>
              <m:r>
                <m:rPr>
                  <m:sty m:val="p"/>
                </m:rPr>
                <m:t>−</m:t>
              </m:r>
              <m:r>
                <m:t>χ</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1"/>
    <w:bookmarkEnd w:id="42"/>
    <w:bookmarkStart w:id="47"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43"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43"/>
    <w:bookmarkStart w:id="44"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4"/>
    <w:bookmarkStart w:id="45"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5"/>
    <w:bookmarkStart w:id="46"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6"/>
    <w:bookmarkEnd w:id="47"/>
    <w:bookmarkStart w:id="52" w:name="evaluation"/>
    <w:p>
      <w:pPr>
        <w:pStyle w:val="Heading1"/>
      </w:pPr>
      <w:r>
        <w:t xml:space="preserve">Evaluation</w:t>
      </w:r>
    </w:p>
    <w:bookmarkStart w:id="49"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48"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48"/>
    <w:bookmarkEnd w:id="49"/>
    <w:bookmarkStart w:id="50"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0"/>
    <w:bookmarkStart w:id="51"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1"/>
    <w:bookmarkEnd w:id="52"/>
    <w:bookmarkStart w:id="63" w:name="sec:results"/>
    <w:p>
      <w:pPr>
        <w:pStyle w:val="Heading1"/>
      </w:pPr>
      <w:r>
        <w:t xml:space="preserve">Results</w:t>
      </w:r>
    </w:p>
    <w:bookmarkStart w:id="53"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53"/>
    <w:bookmarkStart w:id="58" w:name="method-comparison"/>
    <w:p>
      <w:pPr>
        <w:pStyle w:val="Heading2"/>
      </w:pPr>
      <w:r>
        <w:t xml:space="preserve">Method comparison</w:t>
      </w:r>
    </w:p>
    <w:p>
      <w:pPr>
        <w:pStyle w:val="FirstParagraph"/>
      </w:pPr>
      <w:r>
        <w:t xml:space="preserve">Table </w:t>
      </w:r>
      <w:hyperlink w:anchor="tab:baselines">
        <w:r>
          <w:rPr>
            <w:rStyle w:val="Hyperlink"/>
          </w:rPr>
          <w:t xml:space="preserve">[tab:baselines]</w:t>
        </w:r>
      </w:hyperlink>
      <w:r>
        <w:t xml:space="preserve"> </w:t>
      </w:r>
      <w:r>
        <w:t xml:space="preserve">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right"/>
            </w:pPr>
            <w:r>
              <w:t xml:space="preserve">Cert. pass</w:t>
            </w:r>
          </w:p>
        </w:tc>
        <w:tc>
          <w:tcPr/>
          <w:p>
            <w:pPr>
              <w:pStyle w:val="Compact"/>
              <w:jc w:val="right"/>
            </w:pPr>
            <w:r>
              <w:t xml:space="preserve">Uncertified</w:t>
            </w:r>
          </w:p>
        </w:tc>
        <w:tc>
          <w:tcPr/>
          <w:p>
            <w:pPr>
              <w:pStyle w:val="Compact"/>
              <w:jc w:val="right"/>
            </w:pPr>
            <w:r>
              <w:rPr>
                <w:smallCaps/>
              </w:rPr>
              <w:t xml:space="preserve">Full</w:t>
            </w:r>
            <w:r>
              <w:t xml:space="preserve"> </w:t>
            </w:r>
            <w:r>
              <w:t xml:space="preserve">rate</w:t>
            </w:r>
          </w:p>
        </w:tc>
        <w:tc>
          <w:tcPr/>
          <w:p>
            <w:pPr>
              <w:pStyle w:val="Compact"/>
              <w:jc w:val="right"/>
            </w:pPr>
            <w:r>
              <w:t xml:space="preserve">Median native work/</w:t>
            </w:r>
            <w:r>
              <w:rPr>
                <w:smallCaps/>
              </w:rPr>
              <w:t xml:space="preserve">Full</w:t>
            </w:r>
          </w:p>
        </w:tc>
        <w:tc>
          <w:tcPr/>
          <w:p>
            <w:pPr>
              <w:pStyle w:val="Compact"/>
              <w:jc w:val="left"/>
            </w:pPr>
            <w:r>
              <w:t xml:space="preserve">Decision rule</w:t>
            </w:r>
          </w:p>
        </w:tc>
      </w:tr>
      <w:tr>
        <w:tc>
          <w:tcPr/>
          <w:p>
            <w:pPr>
              <w:pStyle w:val="Compact"/>
              <w:jc w:val="left"/>
            </w:pPr>
            <w:r>
              <w:rPr>
                <w:smallCaps/>
              </w:rPr>
              <w:t xml:space="preserve">Full</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1.00000</w:t>
            </w:r>
          </w:p>
        </w:tc>
        <w:tc>
          <w:tcPr/>
          <w:p>
            <w:pPr>
              <w:pStyle w:val="Compact"/>
              <w:jc w:val="left"/>
            </w:pPr>
            <w:r>
              <w:t xml:space="preserve">full reference</w:t>
            </w:r>
          </w:p>
        </w:tc>
      </w:tr>
      <w:tr>
        <w:tc>
          <w:tcPr/>
          <w:p>
            <w:pPr>
              <w:pStyle w:val="Compact"/>
              <w:jc w:val="left"/>
            </w:pPr>
            <w:r>
              <w:t xml:space="preserve">Exact only</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exact closure only</w:t>
            </w:r>
          </w:p>
        </w:tc>
      </w:tr>
      <w:tr>
        <w:tc>
          <w:tcPr/>
          <w:p>
            <w:pPr>
              <w:pStyle w:val="Compact"/>
              <w:jc w:val="left"/>
            </w:pPr>
            <w:r>
              <w:t xml:space="preserve">Radius 0–3</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fixed graph radius</w:t>
            </w:r>
          </w:p>
        </w:tc>
      </w:tr>
      <w:tr>
        <w:tc>
          <w:tcPr/>
          <w:p>
            <w:pPr>
              <w:pStyle w:val="Compact"/>
              <w:jc w:val="left"/>
            </w:pPr>
            <w:r>
              <w:t xml:space="preserve">Changed fraction</w:t>
            </w:r>
          </w:p>
        </w:tc>
        <w:tc>
          <w:tcPr/>
          <w:p>
            <w:pPr>
              <w:pStyle w:val="Compact"/>
              <w:jc w:val="right"/>
            </w:pPr>
            <w:r>
              <w:t xml:space="preserve">40.0%</w:t>
            </w:r>
          </w:p>
        </w:tc>
        <w:tc>
          <w:tcPr/>
          <w:p>
            <w:pPr>
              <w:pStyle w:val="Compact"/>
              <w:jc w:val="right"/>
            </w:pPr>
            <w:r>
              <w:t xml:space="preserve">60.0%</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threshold policy</w:t>
            </w:r>
          </w:p>
        </w:tc>
      </w:tr>
      <w:tr>
        <w:tc>
          <w:tcPr/>
          <w:p>
            <w:pPr>
              <w:pStyle w:val="Compact"/>
              <w:jc w:val="left"/>
            </w:pPr>
            <w:r>
              <w:t xml:space="preserve">Empirical order + certifier</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0.04736</w:t>
            </w:r>
          </w:p>
        </w:tc>
        <w:tc>
          <w:tcPr/>
          <w:p>
            <w:pPr>
              <w:pStyle w:val="Compact"/>
              <w:jc w:val="left"/>
            </w:pPr>
            <w:r>
              <w:t xml:space="preserve">empirical ordering, analytic recertification</w:t>
            </w:r>
          </w:p>
        </w:tc>
      </w:tr>
      <w:tr>
        <w:tc>
          <w:tcPr/>
          <w:p>
            <w:pPr>
              <w:pStyle w:val="Compact"/>
              <w:jc w:val="left"/>
            </w:pPr>
            <w:r>
              <w:t xml:space="preserve">CBRC</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26.7%</w:t>
            </w:r>
          </w:p>
        </w:tc>
        <w:tc>
          <w:tcPr/>
          <w:p>
            <w:pPr>
              <w:pStyle w:val="Compact"/>
              <w:jc w:val="right"/>
            </w:pPr>
            <w:r>
              <w:t xml:space="preserve">0.04736</w:t>
            </w:r>
          </w:p>
        </w:tc>
        <w:tc>
          <w:tcPr/>
          <w:p>
            <w:pPr>
              <w:pStyle w:val="Compact"/>
              <w:jc w:val="left"/>
            </w:pPr>
            <w:r>
              <w:t xml:space="preserve">certificate + work crossover + fallback</w:t>
            </w:r>
          </w:p>
        </w:tc>
      </w:tr>
    </w:tbl>
    <w:p>
      <w:pPr>
        <w:pStyle w:val="BodyText"/>
      </w:pPr>
      <w:r>
        <w:drawing>
          <wp:inline>
            <wp:extent cx="5227320" cy="3136392"/>
            <wp:effectExtent b="0" l="0" r="0" t="0"/>
            <wp:docPr descr="image" title="" id="55" name="Picture"/>
            <a:graphic>
              <a:graphicData uri="http://schemas.openxmlformats.org/drawingml/2006/picture">
                <pic:pic>
                  <pic:nvPicPr>
                    <pic:cNvPr descr="../research/results/visualizations/public/F0_hero.png" id="56" name="Picture"/>
                    <pic:cNvPicPr>
                      <a:picLocks noChangeArrowheads="1" noChangeAspect="1"/>
                    </pic:cNvPicPr>
                  </pic:nvPicPr>
                  <pic:blipFill>
                    <a:blip r:embed="rId54"/>
                    <a:stretch>
                      <a:fillRect/>
                    </a:stretch>
                  </pic:blipFill>
                  <pic:spPr bwMode="auto">
                    <a:xfrm>
                      <a:off x="0" y="0"/>
                      <a:ext cx="5227320" cy="3136392"/>
                    </a:xfrm>
                    <a:prstGeom prst="rect">
                      <a:avLst/>
                    </a:prstGeom>
                    <a:noFill/>
                    <a:ln w="9525">
                      <a:noFill/>
                      <a:headEnd/>
                      <a:tailEnd/>
                    </a:ln>
                  </pic:spPr>
                </pic:pic>
              </a:graphicData>
            </a:graphic>
          </wp:inline>
        </w:drawing>
      </w:r>
    </w:p>
    <w:bookmarkStart w:id="57"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7"/>
    <w:bookmarkEnd w:id="58"/>
    <w:bookmarkStart w:id="60"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9"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9"/>
    <w:bookmarkEnd w:id="60"/>
    <w:bookmarkStart w:id="61"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61"/>
    <w:bookmarkStart w:id="62"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w:t>
      </w:r>
      <w:hyperlink w:anchor="tab:ablations">
        <w:r>
          <w:rPr>
            <w:rStyle w:val="Hyperlink"/>
          </w:rPr>
          <w:t xml:space="preserve">[tab:ablations]</w:t>
        </w:r>
      </w:hyperlink>
      <w:r>
        <w:t xml:space="preserve"> </w:t>
      </w:r>
      <w:r>
        <w:t xml:space="preserve">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p>
      <w:pPr>
        <w:pStyle w:val="BodyText"/>
      </w:pPr>
      <w:r>
        <w:t xml:space="preserve">lrrrY</w:t>
      </w:r>
      <w:r>
        <w:t xml:space="preserve"> </w:t>
      </w:r>
      <w:r>
        <w:t xml:space="preserve">Ablation &amp; Pass &amp;</w:t>
      </w:r>
      <w:r>
        <w:t xml:space="preserve"> </w:t>
      </w:r>
      <w:r>
        <w:rPr>
          <w:smallCaps/>
        </w:rPr>
        <w:t xml:space="preserve">Full</w:t>
      </w:r>
      <w:r>
        <w:t xml:space="preserve"> </w:t>
      </w:r>
      <w:r>
        <w:t xml:space="preserve">rate &amp; Median native work/</w:t>
      </w:r>
      <w:r>
        <w:rPr>
          <w:smallCaps/>
        </w:rPr>
        <w:t xml:space="preserve">Full</w:t>
      </w:r>
      <w:r>
        <w:t xml:space="preserve"> </w:t>
      </w:r>
      <w:r>
        <w:t xml:space="preserve">&amp; Reading</w:t>
      </w:r>
      <w:r>
        <w:br/>
      </w:r>
      <w:r>
        <w:t xml:space="preserve">Remove predecessor closure &amp; 100.0% &amp; 26.7% &amp; 0.04736 &amp; neutral on real matrix; synthetic case exposes omitted required exact work</w:t>
      </w:r>
      <w:r>
        <w:br/>
      </w:r>
      <w:r>
        <w:t xml:space="preserve">Gaussian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Temporal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Remove QoI specialization &amp; 100.0% &amp; 26.7% &amp; 0.04736 &amp; neutral on real matrix; synthetic case requires extra irrelevant work</w:t>
      </w:r>
      <w:r>
        <w:br/>
      </w:r>
      <w:r>
        <w:t xml:space="preserve">Collapse</w:t>
      </w:r>
      <w:r>
        <w:t xml:space="preserve"> </w:t>
      </w:r>
      <w:r>
        <w:rPr>
          <w:smallCaps/>
        </w:rPr>
        <w:t xml:space="preserve">Hard</w:t>
      </w:r>
      <w:r>
        <w:t xml:space="preserve">/</w:t>
      </w:r>
      <w:r>
        <w:rPr>
          <w:smallCaps/>
        </w:rPr>
        <w:t xml:space="preserve">Analytic</w:t>
      </w:r>
      <w:r>
        <w:t xml:space="preserve"> </w:t>
      </w:r>
      <w:r>
        <w:t xml:space="preserve">separation &amp; 100.0% &amp; 26.7% &amp; 0.04736 &amp; neutral on real matrix; synthetic case becomes more conservative</w:t>
      </w:r>
      <w:r>
        <w:br/>
      </w:r>
      <w:r>
        <w:t xml:space="preserve">Global-norm exterior tail &amp; 100.0% &amp; 100.0% &amp; 1.00000 &amp; safe but destroys locality on all 60 real cases</w:t>
      </w:r>
      <w:r>
        <w:br/>
      </w:r>
      <w:r>
        <w:t xml:space="preserve">Remove certified fallback &amp; 26.7% &amp; 0.0% &amp; 0.00000 &amp; 44/60 real cases fail certification; synthetic case leaves an unsafe candidate</w:t>
      </w:r>
      <w:r>
        <w:br/>
      </w:r>
    </w:p>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62"/>
    <w:bookmarkEnd w:id="63"/>
    <w:bookmarkStart w:id="74" w:name="discussion"/>
    <w:p>
      <w:pPr>
        <w:pStyle w:val="Heading1"/>
      </w:pPr>
      <w:r>
        <w:t xml:space="preserve">Discussion</w:t>
      </w:r>
    </w:p>
    <w:bookmarkStart w:id="64"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64"/>
    <w:bookmarkStart w:id="72" w:name="limitations"/>
    <w:p>
      <w:pPr>
        <w:pStyle w:val="Heading2"/>
      </w:pPr>
      <w:r>
        <w:t xml:space="preserve">Limitations</w:t>
      </w:r>
    </w:p>
    <w:bookmarkStart w:id="6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65"/>
    <w:bookmarkStart w:id="6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6"/>
    <w:bookmarkStart w:id="6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7"/>
    <w:bookmarkStart w:id="68"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8"/>
    <w:bookmarkStart w:id="6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9"/>
    <w:bookmarkStart w:id="7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70"/>
    <w:bookmarkStart w:id="7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71"/>
    <w:bookmarkEnd w:id="72"/>
    <w:bookmarkStart w:id="73"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73"/>
    <w:bookmarkEnd w:id="74"/>
    <w:bookmarkStart w:id="75"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75"/>
    <w:bookmarkStart w:id="115" w:name="conclusion"/>
    <w:p>
      <w:pPr>
        <w:pStyle w:val="Heading1"/>
      </w:pP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14" w:name="refs"/>
    <w:bookmarkStart w:id="7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76">
        <w:r>
          <w:rPr>
            <w:rStyle w:val="Hyperlink"/>
          </w:rPr>
          <w:t xml:space="preserve">https://doi.org/10.1017/S0956796813000099</w:t>
        </w:r>
      </w:hyperlink>
      <w:r>
        <w:t xml:space="preserve">.</w:t>
      </w:r>
    </w:p>
    <w:bookmarkEnd w:id="77"/>
    <w:bookmarkStart w:id="7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78"/>
    <w:bookmarkStart w:id="8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79">
        <w:r>
          <w:rPr>
            <w:rStyle w:val="Hyperlink"/>
          </w:rPr>
          <w:t xml:space="preserve">https://doi.org/10.2312/EGWR/EGWR99/031-044</w:t>
        </w:r>
      </w:hyperlink>
      <w:r>
        <w:t xml:space="preserve">.</w:t>
      </w:r>
    </w:p>
    <w:bookmarkEnd w:id="80"/>
    <w:bookmarkStart w:id="8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81">
        <w:r>
          <w:rPr>
            <w:rStyle w:val="Hyperlink"/>
          </w:rPr>
          <w:t xml:space="preserve">https://doi.org/10.1109/CVPR52733.2024.02029</w:t>
        </w:r>
      </w:hyperlink>
      <w:r>
        <w:t xml:space="preserve">.</w:t>
      </w:r>
    </w:p>
    <w:bookmarkEnd w:id="82"/>
    <w:bookmarkStart w:id="8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83"/>
    <w:bookmarkStart w:id="8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84"/>
    <w:bookmarkStart w:id="8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85"/>
    <w:bookmarkStart w:id="8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86"/>
    <w:bookmarkStart w:id="8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87">
        <w:r>
          <w:rPr>
            <w:rStyle w:val="Hyperlink"/>
          </w:rPr>
          <w:t xml:space="preserve">https://doi.org/10.1109/CVPR52733.2024.00404</w:t>
        </w:r>
      </w:hyperlink>
      <w:r>
        <w:t xml:space="preserve">.</w:t>
      </w:r>
    </w:p>
    <w:bookmarkEnd w:id="88"/>
    <w:bookmarkStart w:id="8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89"/>
    <w:bookmarkStart w:id="9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90">
        <w:r>
          <w:rPr>
            <w:rStyle w:val="Hyperlink"/>
          </w:rPr>
          <w:t xml:space="preserve">https://doi.org/10.1145/3592433</w:t>
        </w:r>
      </w:hyperlink>
      <w:r>
        <w:t xml:space="preserve">.</w:t>
      </w:r>
    </w:p>
    <w:bookmarkEnd w:id="91"/>
    <w:bookmarkStart w:id="9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92">
        <w:r>
          <w:rPr>
            <w:rStyle w:val="Hyperlink"/>
          </w:rPr>
          <w:t xml:space="preserve">https://doi.org/10.1109/3DV62453.2024.00044</w:t>
        </w:r>
      </w:hyperlink>
      <w:r>
        <w:t xml:space="preserve">.</w:t>
      </w:r>
    </w:p>
    <w:bookmarkEnd w:id="93"/>
    <w:bookmarkStart w:id="9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94">
        <w:r>
          <w:rPr>
            <w:rStyle w:val="Hyperlink"/>
          </w:rPr>
          <w:t xml:space="preserve">https://doi.org/10.1109/CVPR52733.2024.01708</w:t>
        </w:r>
      </w:hyperlink>
      <w:r>
        <w:t xml:space="preserve">.</w:t>
      </w:r>
    </w:p>
    <w:bookmarkEnd w:id="95"/>
    <w:bookmarkStart w:id="9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96"/>
    <w:bookmarkStart w:id="9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97"/>
    <w:bookmarkStart w:id="9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98">
        <w:r>
          <w:rPr>
            <w:rStyle w:val="Hyperlink"/>
          </w:rPr>
          <w:t xml:space="preserve">https://doi.org/10.1016/S0898-1221(00)00317-5</w:t>
        </w:r>
      </w:hyperlink>
      <w:r>
        <w:t xml:space="preserve">.</w:t>
      </w:r>
    </w:p>
    <w:bookmarkEnd w:id="99"/>
    <w:bookmarkStart w:id="10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00">
        <w:r>
          <w:rPr>
            <w:rStyle w:val="Hyperlink"/>
          </w:rPr>
          <w:t xml:space="preserve">https://doi.org/10.1145/344779.344936</w:t>
        </w:r>
      </w:hyperlink>
      <w:r>
        <w:t xml:space="preserve">.</w:t>
      </w:r>
    </w:p>
    <w:bookmarkEnd w:id="101"/>
    <w:bookmarkStart w:id="10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02">
        <w:r>
          <w:rPr>
            <w:rStyle w:val="Hyperlink"/>
          </w:rPr>
          <w:t xml:space="preserve">https://doi.org/10.1109/ICCV48922.2021.00617</w:t>
        </w:r>
      </w:hyperlink>
      <w:r>
        <w:t xml:space="preserve">.</w:t>
      </w:r>
    </w:p>
    <w:bookmarkEnd w:id="103"/>
    <w:bookmarkStart w:id="10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04"/>
    <w:bookmarkStart w:id="10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05">
        <w:r>
          <w:rPr>
            <w:rStyle w:val="Hyperlink"/>
          </w:rPr>
          <w:t xml:space="preserve">https://doi.org/10.1145/2492045.2492051</w:t>
        </w:r>
      </w:hyperlink>
      <w:r>
        <w:t xml:space="preserve">.</w:t>
      </w:r>
    </w:p>
    <w:bookmarkEnd w:id="106"/>
    <w:bookmarkStart w:id="10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07">
        <w:r>
          <w:rPr>
            <w:rStyle w:val="Hyperlink"/>
          </w:rPr>
          <w:t xml:space="preserve">https://doi.org/10.1109/CVPR52733.2024.01920</w:t>
        </w:r>
      </w:hyperlink>
      <w:r>
        <w:t xml:space="preserve">.</w:t>
      </w:r>
    </w:p>
    <w:bookmarkEnd w:id="108"/>
    <w:bookmarkStart w:id="10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09"/>
    <w:bookmarkStart w:id="11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10"/>
    <w:bookmarkStart w:id="11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11">
        <w:r>
          <w:rPr>
            <w:rStyle w:val="Hyperlink"/>
          </w:rPr>
          <w:t xml:space="preserve">https://doi.org/10.1109/ICCV51701.2025.02393</w:t>
        </w:r>
      </w:hyperlink>
      <w:r>
        <w:t xml:space="preserve">.</w:t>
      </w:r>
    </w:p>
    <w:bookmarkEnd w:id="112"/>
    <w:bookmarkStart w:id="11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2026-09-21T17:05:19Z</dcterms:created>
  <dcterms:modified xsi:type="dcterms:W3CDTF">2026-09-21T17:05:19Z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