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r>
        <w:t xml:space="preserve"> </w:t>
      </w:r>
      <w:r>
        <w:t xml:space="preserve">is</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w:t>
      </w:r>
      <w:r>
        <w:t xml:space="preserve"> </w:t>
      </w:r>
      <w:r>
        <w:t xml:space="preserve">2025; Rho et al. 2026; Wada et al. 2026).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 (Y. Wang et al. 2026; Asadi and Laksari 2025;</w:t>
      </w:r>
      <w:r>
        <w:t xml:space="preserve"> </w:t>
      </w:r>
      <w:r>
        <w:t xml:space="preserve">Oberkampf, Pilch, and Trucano 2007; Laudy 2026).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 PhysGaussian integrates Material Point Method</w:t>
      </w:r>
      <w:r>
        <w:t xml:space="preserve"> </w:t>
      </w:r>
      <w:r>
        <w:t xml:space="preserve">(MPM) dynamics directly with 3D Gaussian primitives (Xie et al. 2024);</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 (Zhang et al. 2024; Liu et</w:t>
      </w:r>
      <w:r>
        <w:t xml:space="preserve"> </w:t>
      </w:r>
      <w:r>
        <w:t xml:space="preserve">al. 2025; Rho et al. 2026; Wada et al. 2026).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 (Hu et al. 2019, 2020).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 (Y. Wang</w:t>
      </w:r>
      <w:r>
        <w:t xml:space="preserve"> </w:t>
      </w:r>
      <w:r>
        <w:t xml:space="preserve">et al. 2026), while measurement-grounded benchmarks such as IRIS</w:t>
      </w:r>
      <w:r>
        <w:t xml:space="preserve"> </w:t>
      </w:r>
      <w:r>
        <w:t xml:space="preserve">evaluate parameter accuracy, identifiability, extrapolation, and</w:t>
      </w:r>
      <w:r>
        <w:t xml:space="preserve"> </w:t>
      </w:r>
      <w:r>
        <w:t xml:space="preserve">governing-equation recovery on controlled real videos (Khanbayov et al.</w:t>
      </w:r>
      <w:r>
        <w:t xml:space="preserve"> </w:t>
      </w:r>
      <w:r>
        <w:t xml:space="preserve">2026). In mechanics, optimal experiment design uses sensitivity,</w:t>
      </w:r>
      <w:r>
        <w:t xml:space="preserve"> </w:t>
      </w:r>
      <w:r>
        <w:t xml:space="preserve">Jacobian conditioning, and Fisher-information concepts to choose</w:t>
      </w:r>
      <w:r>
        <w:t xml:space="preserve"> </w:t>
      </w:r>
      <w:r>
        <w:t xml:space="preserve">informative loading conditions (Asadi and Laksari 2025).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 (Oberkampf,</w:t>
      </w:r>
      <w:r>
        <w:t xml:space="preserve"> </w:t>
      </w:r>
      <w:r>
        <w:t xml:space="preserve">Pilch, and Trucano 2007). More recent digital-twin work explicitly</w:t>
      </w:r>
      <w:r>
        <w:t xml:space="preserve"> </w:t>
      </w:r>
      <w:r>
        <w:t xml:space="preserve">considers validation of simulated counterfactuals (Laudy 2026).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 (S. Wang et al.</w:t>
      </w:r>
      <w:r>
        <w:t xml:space="preserve"> </w:t>
      </w:r>
      <w:r>
        <w:t xml:space="preserve">2026).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 (Xinyuan Li</w:t>
      </w:r>
      <w:r>
        <w:t xml:space="preserve"> </w:t>
      </w:r>
      <w:r>
        <w:t xml:space="preserve">et al. 2024).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2024).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 (S. Wang et al.</w:t>
      </w:r>
      <w:r>
        <w:t xml:space="preserve"> </w:t>
      </w:r>
      <w:r>
        <w:t xml:space="preserve">2026).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aggregate frozen ledger records</w:t>
      </w:r>
      <w:r>
        <w:t xml:space="preserve"> </w:t>
      </w:r>
      <w:r>
        <w:t xml:space="preserve">the population size and the maximum absolute standardized evidence for</w:t>
      </w:r>
      <w:r>
        <w:t xml:space="preserve"> </w:t>
      </w:r>
      <w:r>
        <w:t xml:space="preserve">each fresh channel. Because fresh DCS has maximum</w:t>
      </w:r>
      <w:r>
        <w:t xml:space="preserve"> </w:t>
      </w:r>
      <m:oMath>
        <m:d>
          <m:dPr>
            <m:begChr m:val="|"/>
            <m:endChr m:val="|"/>
            <m:sepChr m:val=""/>
            <m:grow/>
          </m:dPr>
          <m:e>
            <m:r>
              <m:t>z</m:t>
            </m:r>
          </m:e>
        </m:d>
        <m:r>
          <m:rPr>
            <m:sty m:val="p"/>
          </m:rPr>
          <m:t>=</m:t>
        </m:r>
        <m:r>
          <m:t>0.17279</m:t>
        </m:r>
      </m:oMath>
      <w:r>
        <w:t xml:space="preserve">, it</w:t>
      </w:r>
      <w:r>
        <w:t xml:space="preserve"> </w:t>
      </w:r>
      <w:r>
        <w:t xml:space="preserve">crosses neither support nor veto at</w:t>
      </w:r>
      <w:r>
        <w:t xml:space="preserve"> </w:t>
      </w:r>
      <m:oMath>
        <m:r>
          <m:t>τ</m:t>
        </m:r>
        <m:r>
          <m:rPr>
            <m:sty m:val="p"/>
          </m:rPr>
          <m:t>=</m:t>
        </m:r>
        <m:r>
          <m:t>1</m:t>
        </m:r>
      </m:oMath>
      <w:r>
        <w:t xml:space="preserve">. Because force compliance</w:t>
      </w:r>
      <w:r>
        <w:t xml:space="preserve"> </w:t>
      </w:r>
      <w:r>
        <w:t xml:space="preserve">has maximum</w:t>
      </w:r>
      <w:r>
        <w:t xml:space="preserve"> </w:t>
      </w:r>
      <m:oMath>
        <m:d>
          <m:dPr>
            <m:begChr m:val="|"/>
            <m:endChr m:val="|"/>
            <m:sepChr m:val=""/>
            <m:grow/>
          </m:dPr>
          <m:e>
            <m:r>
              <m:t>z</m:t>
            </m:r>
          </m:e>
        </m:d>
        <m:r>
          <m:rPr>
            <m:sty m:val="p"/>
          </m:rPr>
          <m:t>=</m:t>
        </m:r>
        <m:r>
          <m:t>1.31911</m:t>
        </m:r>
      </m:oMath>
      <w:r>
        <w:t xml:space="preserve">, it has zero crossings for every</w:t>
      </w:r>
      <w:r>
        <w:t xml:space="preserve"> </w:t>
      </w:r>
      <m:oMath>
        <m:r>
          <m:t>τ</m:t>
        </m:r>
        <m:r>
          <m:rPr>
            <m:sty m:val="p"/>
          </m:rPr>
          <m:t>≥</m:t>
        </m:r>
        <m:r>
          <m:t>1.5</m:t>
        </m:r>
      </m:oMath>
      <w:r>
        <w:t xml:space="preserve">. At</w:t>
      </w:r>
      <w:r>
        <w:t xml:space="preserve"> </w:t>
      </w:r>
      <m:oMath>
        <m:r>
          <m:t>τ</m:t>
        </m:r>
        <m:r>
          <m:rPr>
            <m:sty m:val="p"/>
          </m:rPr>
          <m:t>=</m:t>
        </m:r>
        <m:r>
          <m:t>1</m:t>
        </m:r>
      </m:oMath>
      <w:r>
        <w:t xml:space="preserve">, the aggregate ledger proves that at least</w:t>
      </w:r>
      <w:r>
        <w:t xml:space="preserve"> </w:t>
      </w:r>
      <w:r>
        <w:t xml:space="preserve">one force case crosses but does not retain the complete signed</w:t>
      </w:r>
      <w:r>
        <w:t xml:space="preserve"> </w:t>
      </w:r>
      <w:r>
        <w:t xml:space="preserve">per-proposal vector needed to report an exact count; we therefore do not</w:t>
      </w:r>
      <w:r>
        <w:t xml:space="preserve"> </w:t>
      </w:r>
      <w:r>
        <w:t xml:space="preserve">invent one post hoc. This robustness check leaves the primary conclusion</w:t>
      </w:r>
      <w:r>
        <w:t xml:space="preserve"> </w:t>
      </w:r>
      <w:r>
        <w:t xml:space="preserve">unchanged: under the frozen</w:t>
      </w:r>
      <w:r>
        <w:t xml:space="preserve"> </w:t>
      </w:r>
      <m:oMath>
        <m:r>
          <m:t>τ</m:t>
        </m:r>
        <m:r>
          <m:rPr>
            <m:sty m:val="p"/>
          </m:rPr>
          <m:t>=</m:t>
        </m:r>
        <m:r>
          <m:t>2</m:t>
        </m:r>
      </m:oMath>
      <w:r>
        <w:t xml:space="preserve"> </w:t>
      </w:r>
      <w:r>
        <w:t xml:space="preserve">rule, and for all audited</w:t>
      </w:r>
      <w:r>
        <w:t xml:space="preserve"> </w:t>
      </w:r>
      <m:oMath>
        <m:r>
          <m:t>τ</m:t>
        </m:r>
        <m:r>
          <m:rPr>
            <m:sty m:val="p"/>
          </m:rPr>
          <m:t>≥</m:t>
        </m:r>
        <m:r>
          <m:t>1.5</m:t>
        </m:r>
      </m:oMath>
      <w:r>
        <w:t xml:space="preserve">, the fresh population remains uncertified.</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m:oMath>
              <m:r>
                <m:rPr>
                  <m:sty m:val="p"/>
                </m:rPr>
                <m:t>≥</m:t>
              </m:r>
            </m:oMath>
            <w:r>
              <w:t xml:space="preserve">1/36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ratio of the aggregate median evidence magnitudes is 11.455x.</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information-gain observation,</w:t>
      </w:r>
      <w:r>
        <w:t xml:space="preserve"> </w:t>
      </w:r>
      <w:r>
        <w:t xml:space="preserve">not relabeled as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 (Asadi and Laksari 2025; Y. Wang et al. 2026).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 (Oberkampf,</w:t>
      </w:r>
      <w:r>
        <w:t xml:space="preserve"> </w:t>
      </w:r>
      <w:r>
        <w:t xml:space="preserve">Pilch, and Trucano 2007). Digital-twin validation work similarly</w:t>
      </w:r>
      <w:r>
        <w:t xml:space="preserve"> </w:t>
      </w:r>
      <w:r>
        <w:t xml:space="preserve">emphasizes which counterfactual claims are supported by observable</w:t>
      </w:r>
      <w:r>
        <w:t xml:space="preserve"> </w:t>
      </w:r>
      <w:r>
        <w:t xml:space="preserve">validation data (Laudy 2026).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6"/>
    <w:bookmarkStart w:id="77"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shows zero fresh crossings for both channels at every</w:t>
      </w:r>
      <w:r>
        <w:t xml:space="preserve"> </w:t>
      </w:r>
      <m:oMath>
        <m:r>
          <m:t>τ</m:t>
        </m:r>
        <m:r>
          <m:rPr>
            <m:sty m:val="p"/>
          </m:rPr>
          <m:t>≥</m:t>
        </m:r>
        <m:r>
          <m:t>1.5</m:t>
        </m:r>
      </m:oMath>
      <w:r>
        <w:t xml:space="preserve">; the exact force crossing count at</w:t>
      </w:r>
      <w:r>
        <w:t xml:space="preserve"> </w:t>
      </w:r>
      <m:oMath>
        <m:r>
          <m:t>τ</m:t>
        </m:r>
        <m:r>
          <m:rPr>
            <m:sty m:val="p"/>
          </m:rPr>
          <m:t>=</m:t>
        </m:r>
        <m:r>
          <m:t>1</m:t>
        </m:r>
      </m:oMath>
      <w:r>
        <w:t xml:space="preserve"> </w:t>
      </w:r>
      <w:r>
        <w:t xml:space="preserve">cannot be</w:t>
      </w:r>
      <w:r>
        <w:t xml:space="preserve"> </w:t>
      </w:r>
      <w:r>
        <w:t xml:space="preserve">recovered from the aggregate publication ledger alone and is</w:t>
      </w:r>
      <w:r>
        <w:t xml:space="preserve"> </w:t>
      </w:r>
      <w:r>
        <w:t xml:space="preserve">therefore not asserted.</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0"/>
    <w:bookmarkStart w:id="81"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truth worlds, yet still leaves every</w:t>
      </w:r>
      <w:r>
        <w:t xml:space="preserve"> </w:t>
      </w:r>
      <w:r>
        <w:t xml:space="preserve">proposal below the decision magnitude. The resulting lesson is</w:t>
      </w:r>
      <w:r>
        <w:t xml:space="preserve"> </w:t>
      </w:r>
      <w:r>
        <w:t xml:space="preserve">practical: physical verification is constrained by the information</w:t>
      </w:r>
      <w:r>
        <w:t xml:space="preserve"> </w:t>
      </w:r>
      <w:r>
        <w:t xml:space="preserve">content of the experiment, and a trustworthy system should explicitly</w:t>
      </w:r>
      <w:r>
        <w:t xml:space="preserve"> </w:t>
      </w:r>
      <w:r>
        <w:t xml:space="preserve">refuse certification when that information is insufficient.</w:t>
      </w:r>
    </w:p>
    <w:bookmarkEnd w:id="81"/>
    <w:bookmarkStart w:id="82"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2026-09-21T15:59:54Z</dcterms:created>
  <dcterms:modified xsi:type="dcterms:W3CDTF">2026-09-21T15:59:54Z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of captured worlds is information-limited, and a trustworthy system should refuse certification when available interventions do not provide sufficient discriminating evidence.</vt:lpwstr>
  </property>
</Properties>
</file>