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center"/>
      </w:pPr>
      <w:r>
        <w:rPr>
          <w:rFonts w:ascii="Calibri" w:hAnsi="Calibri"/>
          <w:b/>
          <w:i w:val="0"/>
          <w:sz w:val="32"/>
        </w:rPr>
        <w:t>Deep Learning Case Study Report</w:t>
      </w:r>
    </w:p>
    <w:p>
      <w:pPr>
        <w:spacing w:before="0" w:after="360" w:line="276" w:lineRule="auto"/>
        <w:jc w:val="center"/>
      </w:pPr>
      <w:r>
        <w:rPr>
          <w:rFonts w:ascii="Calibri" w:hAnsi="Calibri"/>
          <w:b/>
          <w:i/>
          <w:sz w:val="24"/>
        </w:rPr>
        <w:t>Academic Year 2026-2027</w:t>
      </w:r>
    </w:p>
    <w:p>
      <w:pPr>
        <w:spacing w:before="0" w:after="80" w:line="276" w:lineRule="auto"/>
        <w:jc w:val="center"/>
      </w:pPr>
      <w:r>
        <w:rPr>
          <w:rFonts w:ascii="Calibri" w:hAnsi="Calibri"/>
          <w:b w:val="0"/>
          <w:i/>
          <w:sz w:val="26"/>
        </w:rPr>
        <w:t>Case Study Report on</w:t>
      </w:r>
    </w:p>
    <w:p>
      <w:pPr>
        <w:spacing w:before="0" w:after="280" w:line="276" w:lineRule="auto"/>
        <w:jc w:val="center"/>
      </w:pPr>
      <w:r>
        <w:rPr>
          <w:rFonts w:ascii="Calibri" w:hAnsi="Calibri"/>
          <w:b/>
          <w:i w:val="0"/>
          <w:color w:val="1A365D"/>
          <w:sz w:val="32"/>
        </w:rPr>
        <w:t>SMART WASTE CLASSIFICATION USING COMPUTER VISION</w:t>
      </w:r>
    </w:p>
    <w:p>
      <w:pPr>
        <w:spacing w:before="0" w:after="240" w:line="276" w:lineRule="auto"/>
        <w:jc w:val="center"/>
      </w:pPr>
      <w:r>
        <w:rPr>
          <w:rFonts w:ascii="Calibri" w:hAnsi="Calibri"/>
          <w:b w:val="0"/>
          <w:i/>
          <w:sz w:val="24"/>
        </w:rPr>
        <w:t>submitted by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2340"/>
        <w:gridCol w:w="2340"/>
        <w:gridCol w:w="2340"/>
        <w:gridCol w:w="2340"/>
      </w:tblGrid>
      <w:tr>
        <w:tc>
          <w:tcPr>
            <w:tcW w:type="dxa" w:w="2340"/>
            <w:shd w:fill="EAEFF5"/>
            <w:vAlign w:val="center"/>
          </w:tcPr>
          <w:p>
            <w:pPr>
              <w:spacing w:before="60" w:after="60"/>
              <w:jc w:val="center"/>
            </w:pPr>
            <w:r>
              <w:rPr>
                <w:rFonts w:ascii="Calibri" w:hAnsi="Calibri"/>
                <w:b/>
                <w:i w:val="0"/>
                <w:sz w:val="20"/>
              </w:rPr>
              <w:t>Name</w:t>
            </w:r>
          </w:p>
        </w:tc>
        <w:tc>
          <w:tcPr>
            <w:tcW w:type="dxa" w:w="2340"/>
            <w:shd w:fill="EAEFF5"/>
            <w:vAlign w:val="center"/>
          </w:tcPr>
          <w:p>
            <w:pPr>
              <w:spacing w:before="60" w:after="60"/>
              <w:jc w:val="center"/>
            </w:pPr>
            <w:r>
              <w:rPr>
                <w:rFonts w:ascii="Calibri" w:hAnsi="Calibri"/>
                <w:b/>
                <w:i w:val="0"/>
                <w:sz w:val="20"/>
              </w:rPr>
              <w:t>Class / Roll No.</w:t>
            </w:r>
          </w:p>
        </w:tc>
        <w:tc>
          <w:tcPr>
            <w:tcW w:type="dxa" w:w="2340"/>
            <w:shd w:fill="EAEFF5"/>
            <w:vAlign w:val="center"/>
          </w:tcPr>
          <w:p>
            <w:pPr>
              <w:spacing w:before="60" w:after="60"/>
              <w:jc w:val="center"/>
            </w:pPr>
            <w:r>
              <w:rPr>
                <w:rFonts w:ascii="Calibri" w:hAnsi="Calibri"/>
                <w:b/>
                <w:i w:val="0"/>
                <w:sz w:val="20"/>
              </w:rPr>
              <w:t>Contact No.</w:t>
            </w:r>
          </w:p>
        </w:tc>
        <w:tc>
          <w:tcPr>
            <w:tcW w:type="dxa" w:w="2340"/>
            <w:shd w:fill="EAEFF5"/>
            <w:vAlign w:val="center"/>
          </w:tcPr>
          <w:p>
            <w:pPr>
              <w:spacing w:before="60" w:after="60"/>
              <w:jc w:val="center"/>
            </w:pPr>
            <w:r>
              <w:rPr>
                <w:rFonts w:ascii="Calibri" w:hAnsi="Calibri"/>
                <w:b/>
                <w:i w:val="0"/>
                <w:sz w:val="20"/>
              </w:rPr>
              <w:t>Email Id</w:t>
            </w:r>
          </w:p>
        </w:tc>
      </w:tr>
      <w:tr>
        <w:tc>
          <w:tcPr>
            <w:tcW w:type="dxa" w:w="2340"/>
            <w:vAlign w:val="center"/>
          </w:tcPr>
          <w:p>
            <w:pPr>
              <w:spacing w:before="60" w:after="60"/>
              <w:jc w:val="center"/>
            </w:pPr>
            <w:r>
              <w:rPr>
                <w:rFonts w:ascii="Calibri" w:hAnsi="Calibri"/>
                <w:b w:val="0"/>
                <w:i w:val="0"/>
                <w:sz w:val="20"/>
              </w:rPr>
              <w:t>Tanmay Badhe</w:t>
            </w:r>
          </w:p>
        </w:tc>
        <w:tc>
          <w:tcPr>
            <w:tcW w:type="dxa" w:w="2340"/>
            <w:vAlign w:val="center"/>
          </w:tcPr>
          <w:p>
            <w:pPr>
              <w:spacing w:before="60" w:after="60"/>
              <w:jc w:val="center"/>
            </w:pPr>
            <w:r>
              <w:rPr>
                <w:rFonts w:ascii="Calibri" w:hAnsi="Calibri"/>
                <w:b w:val="0"/>
                <w:i w:val="0"/>
                <w:sz w:val="20"/>
              </w:rPr>
              <w:t>TYAIDS / 03</w:t>
            </w:r>
          </w:p>
        </w:tc>
        <w:tc>
          <w:tcPr>
            <w:tcW w:type="dxa" w:w="2340"/>
            <w:vAlign w:val="center"/>
          </w:tcPr>
          <w:p>
            <w:pPr>
              <w:spacing w:before="60" w:after="60"/>
              <w:jc w:val="center"/>
            </w:pPr>
            <w:r>
              <w:rPr>
                <w:rFonts w:ascii="Calibri" w:hAnsi="Calibri"/>
                <w:b w:val="0"/>
                <w:i w:val="0"/>
                <w:sz w:val="20"/>
              </w:rPr>
              <w:t>9221840016</w:t>
            </w:r>
          </w:p>
        </w:tc>
        <w:tc>
          <w:tcPr>
            <w:tcW w:type="dxa" w:w="2340"/>
            <w:vAlign w:val="center"/>
          </w:tcPr>
          <w:p>
            <w:pPr>
              <w:spacing w:before="60" w:after="60"/>
              <w:jc w:val="center"/>
            </w:pPr>
            <w:r>
              <w:rPr>
                <w:rFonts w:ascii="Calibri" w:hAnsi="Calibri"/>
                <w:b w:val="0"/>
                <w:i w:val="0"/>
                <w:sz w:val="20"/>
              </w:rPr>
              <w:t>tanmay.badhe24@sakec.ac.in</w:t>
            </w:r>
          </w:p>
        </w:tc>
      </w:tr>
      <w:tr>
        <w:tc>
          <w:tcPr>
            <w:tcW w:type="dxa" w:w="2340"/>
            <w:vAlign w:val="center"/>
          </w:tcPr>
          <w:p>
            <w:pPr>
              <w:spacing w:before="60" w:after="60"/>
              <w:jc w:val="center"/>
            </w:pPr>
            <w:r>
              <w:rPr>
                <w:rFonts w:ascii="Calibri" w:hAnsi="Calibri"/>
                <w:b w:val="0"/>
                <w:i w:val="0"/>
                <w:sz w:val="20"/>
              </w:rPr>
              <w:t>Swayam Netke</w:t>
            </w:r>
          </w:p>
        </w:tc>
        <w:tc>
          <w:tcPr>
            <w:tcW w:type="dxa" w:w="2340"/>
            <w:vAlign w:val="center"/>
          </w:tcPr>
          <w:p>
            <w:pPr>
              <w:spacing w:before="60" w:after="60"/>
              <w:jc w:val="center"/>
            </w:pPr>
            <w:r>
              <w:rPr>
                <w:rFonts w:ascii="Calibri" w:hAnsi="Calibri"/>
                <w:b w:val="0"/>
                <w:i w:val="0"/>
                <w:sz w:val="20"/>
              </w:rPr>
              <w:t>TYAIDS / 33</w:t>
            </w:r>
          </w:p>
        </w:tc>
        <w:tc>
          <w:tcPr>
            <w:tcW w:type="dxa" w:w="2340"/>
            <w:vAlign w:val="center"/>
          </w:tcPr>
          <w:p>
            <w:pPr>
              <w:spacing w:before="60" w:after="60"/>
              <w:jc w:val="center"/>
            </w:pPr>
            <w:r>
              <w:rPr>
                <w:rFonts w:ascii="Calibri" w:hAnsi="Calibri"/>
                <w:b w:val="0"/>
                <w:i w:val="0"/>
                <w:sz w:val="20"/>
              </w:rPr>
              <w:t>8451982151</w:t>
            </w:r>
          </w:p>
        </w:tc>
        <w:tc>
          <w:tcPr>
            <w:tcW w:type="dxa" w:w="2340"/>
            <w:vAlign w:val="center"/>
          </w:tcPr>
          <w:p>
            <w:pPr>
              <w:spacing w:before="60" w:after="60"/>
              <w:jc w:val="center"/>
            </w:pPr>
            <w:r>
              <w:rPr>
                <w:rFonts w:ascii="Calibri" w:hAnsi="Calibri"/>
                <w:b w:val="0"/>
                <w:i w:val="0"/>
                <w:sz w:val="20"/>
              </w:rPr>
              <w:t>netke.swayam24@sakec.ac.in</w:t>
            </w:r>
          </w:p>
        </w:tc>
      </w:tr>
    </w:tbl>
    <w:p>
      <w:pPr>
        <w:spacing w:before="480" w:after="360"/>
        <w:jc w:val="center"/>
      </w:pPr>
      <w:r>
        <w:drawing>
          <wp:inline xmlns:a="http://schemas.openxmlformats.org/drawingml/2006/main" xmlns:pic="http://schemas.openxmlformats.org/drawingml/2006/picture">
            <wp:extent cx="1645920" cy="1600619"/>
            <wp:docPr id="1" name="Picture 1"/>
            <wp:cNvGraphicFramePr>
              <a:graphicFrameLocks noChangeAspect="1"/>
            </wp:cNvGraphicFramePr>
            <a:graphic>
              <a:graphicData uri="http://schemas.openxmlformats.org/drawingml/2006/picture">
                <pic:pic>
                  <pic:nvPicPr>
                    <pic:cNvPr id="0" name="sakec_shield_logo.png"/>
                    <pic:cNvPicPr/>
                  </pic:nvPicPr>
                  <pic:blipFill>
                    <a:blip r:embed="rId9"/>
                    <a:stretch>
                      <a:fillRect/>
                    </a:stretch>
                  </pic:blipFill>
                  <pic:spPr>
                    <a:xfrm>
                      <a:off x="0" y="0"/>
                      <a:ext cx="1645920" cy="1600619"/>
                    </a:xfrm>
                    <a:prstGeom prst="rect"/>
                  </pic:spPr>
                </pic:pic>
              </a:graphicData>
            </a:graphic>
          </wp:inline>
        </w:drawing>
      </w:r>
    </w:p>
    <w:p>
      <w:pPr>
        <w:spacing w:before="0" w:after="80" w:line="276" w:lineRule="auto"/>
        <w:jc w:val="center"/>
      </w:pPr>
      <w:r>
        <w:rPr>
          <w:rFonts w:ascii="Calibri" w:hAnsi="Calibri"/>
          <w:b/>
          <w:i w:val="0"/>
          <w:sz w:val="26"/>
        </w:rPr>
        <w:t>DEPARTMENT OF ARTIFICIAL INTELLIGENCE AND DATA SCIENCE</w:t>
      </w:r>
    </w:p>
    <w:p>
      <w:pPr>
        <w:spacing w:before="0" w:after="60" w:line="276" w:lineRule="auto"/>
        <w:jc w:val="center"/>
      </w:pPr>
      <w:r>
        <w:rPr>
          <w:rFonts w:ascii="Calibri" w:hAnsi="Calibri"/>
          <w:b/>
          <w:i w:val="0"/>
          <w:sz w:val="28"/>
        </w:rPr>
        <w:t>SHAH AND ANCHOR KUTCHHI ENGINEERING COLLEGE</w:t>
      </w:r>
    </w:p>
    <w:p>
      <w:pPr>
        <w:spacing w:before="0" w:after="80" w:line="276" w:lineRule="auto"/>
        <w:jc w:val="center"/>
      </w:pPr>
      <w:r>
        <w:rPr>
          <w:rFonts w:ascii="Calibri" w:hAnsi="Calibri"/>
          <w:b w:val="0"/>
          <w:i w:val="0"/>
          <w:sz w:val="22"/>
        </w:rPr>
        <w:t>Chembur, Mumbai - 400088</w:t>
      </w:r>
    </w:p>
    <w:p>
      <w:pPr>
        <w:spacing w:before="0" w:after="120" w:line="276" w:lineRule="auto"/>
        <w:jc w:val="center"/>
      </w:pPr>
      <w:r>
        <w:rPr>
          <w:rFonts w:ascii="Calibri" w:hAnsi="Calibri"/>
          <w:b w:val="0"/>
          <w:i/>
          <w:sz w:val="20"/>
        </w:rPr>
        <w:t>(An Autonomous Institute Affiliated to University of Mumbai)</w:t>
      </w:r>
    </w:p>
    <w:p>
      <w:pPr>
        <w:spacing w:before="0" w:after="0" w:line="276" w:lineRule="auto"/>
        <w:jc w:val="center"/>
      </w:pPr>
      <w:r>
        <w:rPr>
          <w:rFonts w:ascii="Calibri" w:hAnsi="Calibri"/>
          <w:b/>
          <w:i w:val="0"/>
          <w:sz w:val="22"/>
        </w:rPr>
        <w:t>2026-2027</w:t>
      </w:r>
    </w:p>
    <w:p>
      <w:r>
        <w:br w:type="page"/>
      </w:r>
    </w:p>
    <w:p>
      <w:pPr>
        <w:spacing w:before="240" w:after="360" w:line="276" w:lineRule="auto"/>
        <w:jc w:val="center"/>
      </w:pPr>
      <w:r>
        <w:rPr>
          <w:rFonts w:ascii="Calibri" w:hAnsi="Calibri"/>
          <w:b/>
          <w:i w:val="0"/>
          <w:sz w:val="36"/>
        </w:rPr>
        <w:t>Certificate</w:t>
      </w:r>
    </w:p>
    <w:p>
      <w:pPr>
        <w:spacing w:before="0" w:after="240" w:line="276" w:lineRule="auto"/>
        <w:jc w:val="both"/>
      </w:pPr>
      <w:r>
        <w:rPr>
          <w:rFonts w:ascii="Calibri" w:hAnsi="Calibri"/>
          <w:sz w:val="22"/>
        </w:rPr>
        <w:t xml:space="preserve">This is to certify that the report of the Case Study entitled </w:t>
      </w:r>
      <w:r>
        <w:rPr>
          <w:rFonts w:ascii="Calibri" w:hAnsi="Calibri"/>
          <w:b/>
          <w:sz w:val="22"/>
        </w:rPr>
        <w:t>“Smart Waste Classification Using Computer Vision”</w:t>
      </w:r>
      <w:r>
        <w:rPr>
          <w:rFonts w:ascii="Calibri" w:hAnsi="Calibri"/>
          <w:sz w:val="22"/>
        </w:rPr>
        <w:t xml:space="preserve"> is a bonafide work of the following students: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3120"/>
        <w:gridCol w:w="3120"/>
        <w:gridCol w:w="3120"/>
      </w:tblGrid>
      <w:tr>
        <w:tc>
          <w:tcPr>
            <w:tcW w:type="dxa" w:w="3120"/>
            <w:shd w:fill="EAEFF5"/>
            <w:vAlign w:val="center"/>
          </w:tcPr>
          <w:p>
            <w:pPr>
              <w:spacing w:before="60" w:after="60"/>
              <w:jc w:val="center"/>
            </w:pPr>
            <w:r>
              <w:rPr>
                <w:rFonts w:ascii="Calibri" w:hAnsi="Calibri"/>
                <w:b/>
                <w:i w:val="0"/>
                <w:sz w:val="20"/>
              </w:rPr>
              <w:t>Student Name</w:t>
            </w:r>
          </w:p>
        </w:tc>
        <w:tc>
          <w:tcPr>
            <w:tcW w:type="dxa" w:w="3120"/>
            <w:shd w:fill="EAEFF5"/>
            <w:vAlign w:val="center"/>
          </w:tcPr>
          <w:p>
            <w:pPr>
              <w:spacing w:before="60" w:after="60"/>
              <w:jc w:val="center"/>
            </w:pPr>
            <w:r>
              <w:rPr>
                <w:rFonts w:ascii="Calibri" w:hAnsi="Calibri"/>
                <w:b/>
                <w:i w:val="0"/>
                <w:sz w:val="20"/>
              </w:rPr>
              <w:t>Class / Roll No.</w:t>
            </w:r>
          </w:p>
        </w:tc>
        <w:tc>
          <w:tcPr>
            <w:tcW w:type="dxa" w:w="3120"/>
            <w:shd w:fill="EAEFF5"/>
            <w:vAlign w:val="center"/>
          </w:tcPr>
          <w:p>
            <w:pPr>
              <w:spacing w:before="60" w:after="60"/>
              <w:jc w:val="center"/>
            </w:pPr>
            <w:r>
              <w:rPr>
                <w:rFonts w:ascii="Calibri" w:hAnsi="Calibri"/>
                <w:b/>
                <w:i w:val="0"/>
                <w:sz w:val="20"/>
              </w:rPr>
              <w:t>PRN</w:t>
            </w:r>
          </w:p>
        </w:tc>
      </w:tr>
      <w:tr>
        <w:tc>
          <w:tcPr>
            <w:tcW w:type="dxa" w:w="3120"/>
            <w:vAlign w:val="center"/>
          </w:tcPr>
          <w:p>
            <w:pPr>
              <w:spacing w:before="60" w:after="60"/>
              <w:jc w:val="center"/>
            </w:pPr>
            <w:r>
              <w:rPr>
                <w:rFonts w:ascii="Calibri" w:hAnsi="Calibri"/>
                <w:b w:val="0"/>
                <w:i w:val="0"/>
                <w:sz w:val="20"/>
              </w:rPr>
              <w:t>Tanmay Badhe</w:t>
            </w:r>
          </w:p>
        </w:tc>
        <w:tc>
          <w:tcPr>
            <w:tcW w:type="dxa" w:w="3120"/>
            <w:vAlign w:val="center"/>
          </w:tcPr>
          <w:p>
            <w:pPr>
              <w:spacing w:before="60" w:after="60"/>
              <w:jc w:val="center"/>
            </w:pPr>
            <w:r>
              <w:rPr>
                <w:rFonts w:ascii="Calibri" w:hAnsi="Calibri"/>
                <w:b w:val="0"/>
                <w:i w:val="0"/>
                <w:sz w:val="20"/>
              </w:rPr>
              <w:t>TYAIDS / 03</w:t>
            </w:r>
          </w:p>
        </w:tc>
        <w:tc>
          <w:tcPr>
            <w:tcW w:type="dxa" w:w="3120"/>
            <w:vAlign w:val="center"/>
          </w:tcPr>
          <w:p>
            <w:pPr>
              <w:spacing w:before="60" w:after="60"/>
              <w:jc w:val="center"/>
            </w:pPr>
            <w:r>
              <w:rPr>
                <w:rFonts w:ascii="Calibri" w:hAnsi="Calibri"/>
                <w:b w:val="0"/>
                <w:i w:val="0"/>
                <w:sz w:val="20"/>
              </w:rPr>
              <w:t>124BTAI1026</w:t>
            </w:r>
          </w:p>
        </w:tc>
      </w:tr>
      <w:tr>
        <w:tc>
          <w:tcPr>
            <w:tcW w:type="dxa" w:w="3120"/>
            <w:vAlign w:val="center"/>
          </w:tcPr>
          <w:p>
            <w:pPr>
              <w:spacing w:before="60" w:after="60"/>
              <w:jc w:val="center"/>
            </w:pPr>
            <w:r>
              <w:rPr>
                <w:rFonts w:ascii="Calibri" w:hAnsi="Calibri"/>
                <w:b w:val="0"/>
                <w:i w:val="0"/>
                <w:sz w:val="20"/>
              </w:rPr>
              <w:t>Swayam Netke</w:t>
            </w:r>
          </w:p>
        </w:tc>
        <w:tc>
          <w:tcPr>
            <w:tcW w:type="dxa" w:w="3120"/>
            <w:vAlign w:val="center"/>
          </w:tcPr>
          <w:p>
            <w:pPr>
              <w:spacing w:before="60" w:after="60"/>
              <w:jc w:val="center"/>
            </w:pPr>
            <w:r>
              <w:rPr>
                <w:rFonts w:ascii="Calibri" w:hAnsi="Calibri"/>
                <w:b w:val="0"/>
                <w:i w:val="0"/>
                <w:sz w:val="20"/>
              </w:rPr>
              <w:t>TYAIDS / 33</w:t>
            </w:r>
          </w:p>
        </w:tc>
        <w:tc>
          <w:tcPr>
            <w:tcW w:type="dxa" w:w="3120"/>
            <w:vAlign w:val="center"/>
          </w:tcPr>
          <w:p>
            <w:pPr>
              <w:spacing w:before="60" w:after="60"/>
              <w:jc w:val="center"/>
            </w:pPr>
            <w:r>
              <w:rPr>
                <w:rFonts w:ascii="Calibri" w:hAnsi="Calibri"/>
                <w:b w:val="0"/>
                <w:i w:val="0"/>
                <w:sz w:val="20"/>
              </w:rPr>
              <w:t>124BTAI1066</w:t>
            </w:r>
          </w:p>
        </w:tc>
      </w:tr>
    </w:tbl>
    <w:p>
      <w:pPr>
        <w:spacing w:before="320" w:after="240" w:line="276" w:lineRule="auto"/>
        <w:jc w:val="both"/>
      </w:pPr>
      <w:r>
        <w:rPr>
          <w:rFonts w:ascii="Calibri" w:hAnsi="Calibri"/>
          <w:sz w:val="22"/>
        </w:rPr>
        <w:t xml:space="preserve">submitted to the </w:t>
      </w:r>
      <w:r>
        <w:rPr>
          <w:rFonts w:ascii="Calibri" w:hAnsi="Calibri"/>
          <w:b/>
          <w:sz w:val="22"/>
        </w:rPr>
        <w:t>Shah and Anchor Kutchhi Engineering College, Chembur</w:t>
      </w:r>
      <w:r>
        <w:rPr>
          <w:rFonts w:ascii="Calibri" w:hAnsi="Calibri"/>
          <w:sz w:val="22"/>
        </w:rPr>
        <w:t xml:space="preserve"> (An Autonomous Institute Affiliated to University of Mumbai), Chembur, Mumbai - 400 088 during Semester VI in </w:t>
      </w:r>
      <w:r>
        <w:rPr>
          <w:rFonts w:ascii="Calibri" w:hAnsi="Calibri"/>
          <w:b/>
          <w:sz w:val="22"/>
        </w:rPr>
        <w:t>ARTIFICIAL INTELLIGENCE AND DATA SCIENCE</w:t>
      </w:r>
      <w:r>
        <w:t>.</w:t>
      </w:r>
    </w:p>
    <w:p>
      <w:pPr>
        <w:spacing w:before="0" w:after="1000" w:line="276" w:lineRule="auto"/>
        <w:jc w:val="left"/>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line="288" w:lineRule="auto"/>
              <w:jc w:val="center"/>
            </w:pPr>
            <w:r>
              <w:t>______________________________</w:t>
              <w:br/>
            </w:r>
            <w:r>
              <w:rPr>
                <w:b/>
              </w:rPr>
              <w:t>(Dr. Pravin Shinde)</w:t>
              <w:br/>
            </w:r>
            <w:r>
              <w:t>Course In-charge</w:t>
            </w:r>
          </w:p>
        </w:tc>
        <w:tc>
          <w:tcPr>
            <w:tcW w:type="dxa" w:w="4608"/>
          </w:tcPr>
          <w:p>
            <w:pPr>
              <w:spacing w:line="288" w:lineRule="auto"/>
              <w:jc w:val="center"/>
            </w:pPr>
            <w:r>
              <w:t>______________________________</w:t>
              <w:br/>
            </w:r>
            <w:r>
              <w:rPr>
                <w:b/>
              </w:rPr>
              <w:t>(Dr. Pravin Shinde)</w:t>
              <w:br/>
            </w:r>
            <w:r>
              <w:t>I/C Head of Department</w:t>
            </w:r>
          </w:p>
        </w:tc>
      </w:tr>
    </w:tbl>
    <w:p>
      <w:r>
        <w:br w:type="page"/>
      </w:r>
    </w:p>
    <w:p>
      <w:pPr>
        <w:spacing w:before="280" w:after="80" w:line="276" w:lineRule="auto"/>
        <w:jc w:val="left"/>
      </w:pPr>
      <w:r>
        <w:rPr>
          <w:rFonts w:ascii="Calibri" w:hAnsi="Calibri"/>
          <w:b/>
          <w:i w:val="0"/>
          <w:color w:val="1A365D"/>
          <w:sz w:val="26"/>
        </w:rPr>
        <w:t>Aim</w:t>
      </w:r>
    </w:p>
    <w:p>
      <w:pPr>
        <w:spacing w:before="0" w:after="120" w:line="276" w:lineRule="auto"/>
        <w:jc w:val="both"/>
      </w:pPr>
      <w:r>
        <w:rPr>
          <w:rFonts w:ascii="Calibri" w:hAnsi="Calibri"/>
          <w:b w:val="0"/>
          <w:i w:val="0"/>
          <w:sz w:val="22"/>
        </w:rPr>
        <w:t>To design, develop, and evaluate an automated Smart Waste Classification System using Deep Learning and Computer Vision techniques to accurately classify municipal waste images into distinct recyclable and non-recyclable streams.</w:t>
      </w:r>
    </w:p>
    <w:p>
      <w:pPr>
        <w:spacing w:before="280" w:after="80" w:line="276" w:lineRule="auto"/>
        <w:jc w:val="left"/>
      </w:pPr>
      <w:r>
        <w:rPr>
          <w:rFonts w:ascii="Calibri" w:hAnsi="Calibri"/>
          <w:b/>
          <w:i w:val="0"/>
          <w:color w:val="1A365D"/>
          <w:sz w:val="26"/>
        </w:rPr>
        <w:t>Title</w:t>
      </w:r>
    </w:p>
    <w:p>
      <w:pPr>
        <w:spacing w:before="0" w:after="120" w:line="276" w:lineRule="auto"/>
        <w:jc w:val="both"/>
      </w:pPr>
      <w:r>
        <w:rPr>
          <w:rFonts w:ascii="Calibri" w:hAnsi="Calibri"/>
          <w:b w:val="0"/>
          <w:i w:val="0"/>
          <w:sz w:val="22"/>
        </w:rPr>
        <w:t>Smart Waste Classification using Computer Vision</w:t>
      </w:r>
    </w:p>
    <w:p>
      <w:pPr>
        <w:spacing w:before="280" w:after="80" w:line="276" w:lineRule="auto"/>
        <w:jc w:val="left"/>
      </w:pPr>
      <w:r>
        <w:rPr>
          <w:rFonts w:ascii="Calibri" w:hAnsi="Calibri"/>
          <w:b/>
          <w:i w:val="0"/>
          <w:color w:val="1A365D"/>
          <w:sz w:val="26"/>
        </w:rPr>
        <w:t>Abstract</w:t>
      </w:r>
    </w:p>
    <w:p>
      <w:pPr>
        <w:spacing w:before="0" w:after="120" w:line="276" w:lineRule="auto"/>
        <w:jc w:val="both"/>
      </w:pPr>
      <w:r>
        <w:rPr>
          <w:rFonts w:ascii="Calibri" w:hAnsi="Calibri"/>
          <w:b w:val="0"/>
          <w:i w:val="0"/>
          <w:sz w:val="22"/>
        </w:rPr>
        <w:t>Waste management has become one of the major global environmental challenges due to rapid urbanization, industrialization, and municipal waste accumulation. Improper segregation of waste at the source leads to reduced recycling efficiency, increased landfill burden, and environmental pollution. Manual waste classification is labor-intensive, time-consuming, expensive, and subject to high error rates. Recent advances in Artificial Intelligence (AI) and Deep Learning present a viable opportunity to automate this workflow using computer vision.</w:t>
      </w:r>
    </w:p>
    <w:p>
      <w:pPr>
        <w:spacing w:before="0" w:after="120" w:line="276" w:lineRule="auto"/>
        <w:jc w:val="both"/>
      </w:pPr>
      <w:r>
        <w:rPr>
          <w:rFonts w:ascii="Calibri" w:hAnsi="Calibri"/>
          <w:b w:val="0"/>
          <w:i w:val="0"/>
          <w:sz w:val="22"/>
        </w:rPr>
        <w:t>This microproject presents a Smart Waste Classification System that automatically identifies six distinct waste categories: cardboard, glass, metal, paper, plastic, and trash. Utilizing transfer learning models such as MobileNetV2 and MobileNetV3 alongside baseline Convolutional Neural Networks (CNNs), the approach incorporates systematic data auditing, duplicate suppression, and data augmentation. The proposed framework supports United Nations Sustainable Development Goal (SDG) 12 (Responsible Consumption and Production) by enabling automated sorting and clean material recovery.</w:t>
      </w:r>
    </w:p>
    <w:p>
      <w:pPr>
        <w:spacing w:before="280" w:after="80" w:line="276" w:lineRule="auto"/>
        <w:jc w:val="left"/>
      </w:pPr>
      <w:r>
        <w:rPr>
          <w:rFonts w:ascii="Calibri" w:hAnsi="Calibri"/>
          <w:b/>
          <w:i w:val="0"/>
          <w:color w:val="1A365D"/>
          <w:sz w:val="26"/>
        </w:rPr>
        <w:t>Introduction</w:t>
      </w:r>
    </w:p>
    <w:p>
      <w:pPr>
        <w:spacing w:before="200" w:after="60" w:line="276" w:lineRule="auto"/>
        <w:jc w:val="left"/>
      </w:pPr>
      <w:r>
        <w:rPr>
          <w:rFonts w:ascii="Calibri" w:hAnsi="Calibri"/>
          <w:b/>
          <w:i w:val="0"/>
          <w:color w:val="2C5282"/>
          <w:sz w:val="23"/>
        </w:rPr>
        <w:t>Background</w:t>
      </w:r>
    </w:p>
    <w:p>
      <w:pPr>
        <w:spacing w:before="0" w:after="120" w:line="276" w:lineRule="auto"/>
        <w:jc w:val="both"/>
      </w:pPr>
      <w:r>
        <w:rPr>
          <w:rFonts w:ascii="Calibri" w:hAnsi="Calibri"/>
          <w:b w:val="0"/>
          <w:i w:val="0"/>
          <w:sz w:val="22"/>
        </w:rPr>
        <w:t>The rapid growth of modern urbanization and industrial activities has caused an unprecedented increase in municipal solid waste generation. According to global environmental studies, ineffective waste management contributes substantially to environmental contamination, water pollution, greenhouse gas emissions, and severe recycling loss. One of the primary bottlenecks preventing high recycling yield is the lack of proper, reliable segregation at the source of disposal.</w:t>
      </w:r>
    </w:p>
    <w:p>
      <w:pPr>
        <w:spacing w:before="200" w:after="60" w:line="276" w:lineRule="auto"/>
        <w:jc w:val="left"/>
      </w:pPr>
      <w:r>
        <w:rPr>
          <w:rFonts w:ascii="Calibri" w:hAnsi="Calibri"/>
          <w:b/>
          <w:i w:val="0"/>
          <w:color w:val="2C5282"/>
          <w:sz w:val="23"/>
        </w:rPr>
        <w:t>Need for the Study</w:t>
      </w:r>
    </w:p>
    <w:p>
      <w:pPr>
        <w:spacing w:before="0" w:after="120" w:line="276" w:lineRule="auto"/>
        <w:jc w:val="both"/>
      </w:pPr>
      <w:r>
        <w:rPr>
          <w:rFonts w:ascii="Calibri" w:hAnsi="Calibri"/>
          <w:b w:val="0"/>
          <w:i w:val="0"/>
          <w:sz w:val="22"/>
        </w:rPr>
        <w:t>Traditional municipal waste segregation relies overwhelmingly on manual human sorting at processing facilities. Manual sorting exposes workers to hazardous materials and biological pathogens, operates with significant labor costs, and suffers from inconsistent accuracy under fatigue. Automating waste segregation directly at smart bins or sorting conveyor facilities solves these operational inefficiencies.</w:t>
      </w:r>
    </w:p>
    <w:p>
      <w:pPr>
        <w:spacing w:before="200" w:after="60" w:line="276" w:lineRule="auto"/>
        <w:jc w:val="left"/>
      </w:pPr>
      <w:r>
        <w:rPr>
          <w:rFonts w:ascii="Calibri" w:hAnsi="Calibri"/>
          <w:b/>
          <w:i w:val="0"/>
          <w:color w:val="2C5282"/>
          <w:sz w:val="23"/>
        </w:rPr>
        <w:t>Importance of the Topic</w:t>
      </w:r>
    </w:p>
    <w:p>
      <w:pPr>
        <w:spacing w:before="0" w:after="120" w:line="276" w:lineRule="auto"/>
        <w:jc w:val="both"/>
      </w:pPr>
      <w:r>
        <w:rPr>
          <w:rFonts w:ascii="Calibri" w:hAnsi="Calibri"/>
          <w:b w:val="0"/>
          <w:i w:val="0"/>
          <w:sz w:val="22"/>
        </w:rPr>
        <w:t>Computer vision algorithms, especially Convolutional Neural Networks (CNNs), have demonstrated human-level capability in image recognition. Integrating lightweight deep learning backbones with affordable camera modules allows smart waste bins and recovery plants to visually identify and mechanically route refuse in real time. This technological intervention promotes circular economy practices and minimizes landfill overflow.</w:t>
      </w:r>
    </w:p>
    <w:p>
      <w:pPr>
        <w:spacing w:before="280" w:after="80" w:line="276" w:lineRule="auto"/>
        <w:jc w:val="left"/>
      </w:pPr>
      <w:r>
        <w:rPr>
          <w:rFonts w:ascii="Calibri" w:hAnsi="Calibri"/>
          <w:b/>
          <w:i w:val="0"/>
          <w:color w:val="1A365D"/>
          <w:sz w:val="26"/>
        </w:rPr>
        <w:t>Problem Statement</w:t>
      </w:r>
    </w:p>
    <w:p>
      <w:pPr>
        <w:spacing w:before="0" w:after="120" w:line="276" w:lineRule="auto"/>
        <w:jc w:val="both"/>
      </w:pPr>
      <w:r>
        <w:rPr>
          <w:rFonts w:ascii="Calibri" w:hAnsi="Calibri"/>
          <w:b w:val="0"/>
          <w:i w:val="0"/>
          <w:sz w:val="22"/>
        </w:rPr>
        <w:t>Manual waste segregation is inefficient, hazardous, and prone to cross-material contamination, resulting in millions of tons of recyclable resources being dumped into landfills. Existing automated sorting solutions often rely on heavyweight neural architectures that cannot run on cost-effective edge hardware, or suffer from severe classification degradation due to visual ambiguity across material types. There is a pressing need for a lightweight, accurate, and robust image-based deep learning system capable of classifying municipal solid waste into distinct recyclability categories for automated sorting.</w:t>
      </w:r>
    </w:p>
    <w:p>
      <w:pPr>
        <w:spacing w:before="280" w:after="80" w:line="276" w:lineRule="auto"/>
        <w:jc w:val="left"/>
      </w:pPr>
      <w:r>
        <w:rPr>
          <w:rFonts w:ascii="Calibri" w:hAnsi="Calibri"/>
          <w:b/>
          <w:i w:val="0"/>
          <w:color w:val="1A365D"/>
          <w:sz w:val="26"/>
        </w:rPr>
        <w:t>Objectives</w:t>
      </w:r>
    </w:p>
    <w:p>
      <w:pPr>
        <w:pStyle w:val="ListBullet"/>
        <w:spacing w:before="20" w:after="60" w:line="276" w:lineRule="auto"/>
      </w:pPr>
      <w:r>
        <w:rPr>
          <w:rFonts w:ascii="Calibri" w:hAnsi="Calibri"/>
          <w:sz w:val="22"/>
        </w:rPr>
        <w:t>To understand the environmental challenges, operational bottlenecks, and contamination costs associated with improper waste segregation.</w:t>
      </w:r>
    </w:p>
    <w:p>
      <w:pPr>
        <w:pStyle w:val="ListBullet"/>
        <w:spacing w:before="20" w:after="60" w:line="276" w:lineRule="auto"/>
      </w:pPr>
      <w:r>
        <w:rPr>
          <w:rFonts w:ascii="Calibri" w:hAnsi="Calibri"/>
          <w:sz w:val="22"/>
        </w:rPr>
        <w:t>To study and benchmark state-of-the-art deep learning architectures suitable for resource-constrained edge vision systems.</w:t>
      </w:r>
    </w:p>
    <w:p>
      <w:pPr>
        <w:pStyle w:val="ListBullet"/>
        <w:spacing w:before="20" w:after="60" w:line="276" w:lineRule="auto"/>
      </w:pPr>
      <w:r>
        <w:rPr>
          <w:rFonts w:ascii="Calibri" w:hAnsi="Calibri"/>
          <w:sz w:val="22"/>
        </w:rPr>
        <w:t>To perform a rigorous data quality audit, including corrupted image screening and near-duplicate grouping, on publicly available waste image datasets (e.g., TrashNet).</w:t>
      </w:r>
    </w:p>
    <w:p>
      <w:pPr>
        <w:pStyle w:val="ListBullet"/>
        <w:spacing w:before="20" w:after="60" w:line="276" w:lineRule="auto"/>
      </w:pPr>
      <w:r>
        <w:rPr>
          <w:rFonts w:ascii="Calibri" w:hAnsi="Calibri"/>
          <w:sz w:val="22"/>
        </w:rPr>
        <w:t>To implement and compare a baseline Convolutional Neural Network (CNN) against modern transfer-learning backbones (MobileNetV2 / MobileNetV3).</w:t>
      </w:r>
    </w:p>
    <w:p>
      <w:pPr>
        <w:pStyle w:val="ListBullet"/>
        <w:spacing w:before="20" w:after="60" w:line="276" w:lineRule="auto"/>
      </w:pPr>
      <w:r>
        <w:rPr>
          <w:rFonts w:ascii="Calibri" w:hAnsi="Calibri"/>
          <w:sz w:val="22"/>
        </w:rPr>
        <w:t>To evaluate model performance using comprehensive metrics: Accuracy, Macro Precision, Recall, F1-score, and Confusion Matrices.</w:t>
      </w:r>
    </w:p>
    <w:p>
      <w:pPr>
        <w:pStyle w:val="ListBullet"/>
        <w:spacing w:before="20" w:after="60" w:line="276" w:lineRule="auto"/>
      </w:pPr>
      <w:r>
        <w:rPr>
          <w:rFonts w:ascii="Calibri" w:hAnsi="Calibri"/>
          <w:sz w:val="22"/>
        </w:rPr>
        <w:t>To design a confidence-based routing mechanism (auto-sort vs. manual-review fallback) to prevent cross-material contamination in real-world deployment.</w:t>
      </w:r>
    </w:p>
    <w:p>
      <w:pPr>
        <w:spacing w:before="280" w:after="80" w:line="276" w:lineRule="auto"/>
        <w:jc w:val="left"/>
      </w:pPr>
      <w:r>
        <w:rPr>
          <w:rFonts w:ascii="Calibri" w:hAnsi="Calibri"/>
          <w:b/>
          <w:i w:val="0"/>
          <w:color w:val="1A365D"/>
          <w:sz w:val="26"/>
        </w:rPr>
        <w:t>Literature Survey</w:t>
      </w:r>
    </w:p>
    <w:p>
      <w:pPr>
        <w:spacing w:before="200" w:after="60" w:line="276" w:lineRule="auto"/>
        <w:jc w:val="left"/>
      </w:pPr>
      <w:r>
        <w:rPr>
          <w:rFonts w:ascii="Calibri" w:hAnsi="Calibri"/>
          <w:b/>
          <w:i w:val="0"/>
          <w:color w:val="2C5282"/>
          <w:sz w:val="23"/>
        </w:rPr>
        <w:t>Summary of Recent IEEE &amp; Scopus Papers</w:t>
      </w:r>
    </w:p>
    <w:p>
      <w:pPr>
        <w:spacing w:before="0" w:after="120" w:line="276" w:lineRule="auto"/>
        <w:jc w:val="both"/>
      </w:pPr>
      <w:r>
        <w:rPr>
          <w:rFonts w:ascii="Calibri" w:hAnsi="Calibri"/>
          <w:b w:val="0"/>
          <w:i w:val="0"/>
          <w:sz w:val="22"/>
        </w:rPr>
        <w:t>Recent research highlights the efficacy of deep learning techniques for automated refuse categorization:</w:t>
      </w:r>
    </w:p>
    <w:p>
      <w:pPr>
        <w:pStyle w:val="ListBullet"/>
        <w:spacing w:before="20" w:after="60" w:line="276" w:lineRule="auto"/>
      </w:pPr>
      <w:r>
        <w:rPr>
          <w:rFonts w:ascii="Calibri" w:hAnsi="Calibri"/>
          <w:sz w:val="22"/>
        </w:rPr>
        <w:t>M. R. Salami et al. (PLOS ONE / IEEE) investigated MobileNetV2 for waste classification, demonstrating that depthwise separable convolutions offer a favorable balance between parameter efficiency and accuracy on embedded hardware.</w:t>
      </w:r>
    </w:p>
    <w:p>
      <w:pPr>
        <w:pStyle w:val="ListBullet"/>
        <w:spacing w:before="20" w:after="60" w:line="276" w:lineRule="auto"/>
      </w:pPr>
      <w:r>
        <w:rPr>
          <w:rFonts w:ascii="Calibri" w:hAnsi="Calibri"/>
          <w:sz w:val="22"/>
        </w:rPr>
        <w:t>M. Mittal et al. (WasteNet, arXiv/IEEE) presented edge-based waste classification for smart bins, proving that real-time inference is achievable on microcomputers (Raspberry Pi/Jetson) with sub-second latencies.</w:t>
      </w:r>
    </w:p>
    <w:p>
      <w:pPr>
        <w:pStyle w:val="ListBullet"/>
        <w:spacing w:before="20" w:after="60" w:line="276" w:lineRule="auto"/>
      </w:pPr>
      <w:r>
        <w:rPr>
          <w:rFonts w:ascii="Calibri" w:hAnsi="Calibri"/>
          <w:sz w:val="22"/>
        </w:rPr>
        <w:t>M. Abdelhamid et al. presented automated trash classification integrating smart sensors with deep features, illustrating that visual classification significantly outperforms inductive/capacitive proximity sensing alone.</w:t>
      </w:r>
    </w:p>
    <w:p>
      <w:pPr>
        <w:pStyle w:val="ListBullet"/>
        <w:spacing w:before="20" w:after="60" w:line="276" w:lineRule="auto"/>
      </w:pPr>
      <w:r>
        <w:rPr>
          <w:rFonts w:ascii="Calibri" w:hAnsi="Calibri"/>
          <w:sz w:val="22"/>
        </w:rPr>
        <w:t>M. M. Islam et al. provided a comprehensive survey on AI-based automated waste sorting, concluding that transfer learning architectures consistently outperform networks trained from scratch on datasets smaller than 10,000 images.</w:t>
      </w:r>
    </w:p>
    <w:p>
      <w:pPr>
        <w:spacing w:before="200" w:after="60" w:line="276" w:lineRule="auto"/>
        <w:jc w:val="left"/>
      </w:pPr>
      <w:r>
        <w:rPr>
          <w:rFonts w:ascii="Calibri" w:hAnsi="Calibri"/>
          <w:b/>
          <w:i w:val="0"/>
          <w:color w:val="2C5282"/>
          <w:sz w:val="23"/>
        </w:rPr>
        <w:t>Comparison of Existing Methods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3120"/>
        <w:gridCol w:w="3120"/>
        <w:gridCol w:w="3120"/>
      </w:tblGrid>
      <w:tr>
        <w:tc>
          <w:tcPr>
            <w:tcW w:type="dxa" w:w="3120"/>
            <w:shd w:fill="EAEFF5"/>
            <w:vAlign w:val="center"/>
          </w:tcPr>
          <w:p>
            <w:pPr>
              <w:spacing w:before="60" w:after="60"/>
              <w:jc w:val="center"/>
            </w:pPr>
            <w:r>
              <w:rPr>
                <w:rFonts w:ascii="Calibri" w:hAnsi="Calibri"/>
                <w:b/>
                <w:i w:val="0"/>
                <w:sz w:val="20"/>
              </w:rPr>
              <w:t>Existing Method</w:t>
            </w:r>
          </w:p>
        </w:tc>
        <w:tc>
          <w:tcPr>
            <w:tcW w:type="dxa" w:w="3120"/>
            <w:shd w:fill="EAEFF5"/>
            <w:vAlign w:val="center"/>
          </w:tcPr>
          <w:p>
            <w:pPr>
              <w:spacing w:before="60" w:after="60"/>
              <w:jc w:val="center"/>
            </w:pPr>
            <w:r>
              <w:rPr>
                <w:rFonts w:ascii="Calibri" w:hAnsi="Calibri"/>
                <w:b/>
                <w:i w:val="0"/>
                <w:sz w:val="20"/>
              </w:rPr>
              <w:t>Proposed Method</w:t>
            </w:r>
          </w:p>
        </w:tc>
        <w:tc>
          <w:tcPr>
            <w:tcW w:type="dxa" w:w="3120"/>
            <w:shd w:fill="EAEFF5"/>
            <w:vAlign w:val="center"/>
          </w:tcPr>
          <w:p>
            <w:pPr>
              <w:spacing w:before="60" w:after="60"/>
              <w:jc w:val="center"/>
            </w:pPr>
            <w:r>
              <w:rPr>
                <w:rFonts w:ascii="Calibri" w:hAnsi="Calibri"/>
                <w:b/>
                <w:i w:val="0"/>
                <w:sz w:val="20"/>
              </w:rPr>
              <w:t>Improvement</w:t>
            </w:r>
          </w:p>
        </w:tc>
      </w:tr>
      <w:tr>
        <w:tc>
          <w:tcPr>
            <w:tcW w:type="dxa" w:w="3120"/>
            <w:vAlign w:val="center"/>
          </w:tcPr>
          <w:p>
            <w:pPr>
              <w:spacing w:before="60" w:after="60"/>
              <w:jc w:val="left"/>
            </w:pPr>
            <w:r>
              <w:rPr>
                <w:rFonts w:ascii="Calibri" w:hAnsi="Calibri"/>
                <w:b w:val="0"/>
                <w:i w:val="0"/>
                <w:sz w:val="19"/>
              </w:rPr>
              <w:t>Manual human sorting at municipal recovery plants</w:t>
            </w:r>
          </w:p>
        </w:tc>
        <w:tc>
          <w:tcPr>
            <w:tcW w:type="dxa" w:w="3120"/>
            <w:vAlign w:val="center"/>
          </w:tcPr>
          <w:p>
            <w:pPr>
              <w:spacing w:before="60" w:after="60"/>
              <w:jc w:val="left"/>
            </w:pPr>
            <w:r>
              <w:rPr>
                <w:rFonts w:ascii="Calibri" w:hAnsi="Calibri"/>
                <w:b w:val="0"/>
                <w:i w:val="0"/>
                <w:sz w:val="19"/>
              </w:rPr>
              <w:t>Automated vision-based classification at smart bins</w:t>
            </w:r>
          </w:p>
        </w:tc>
        <w:tc>
          <w:tcPr>
            <w:tcW w:type="dxa" w:w="3120"/>
            <w:vAlign w:val="center"/>
          </w:tcPr>
          <w:p>
            <w:pPr>
              <w:spacing w:before="60" w:after="60"/>
              <w:jc w:val="left"/>
            </w:pPr>
            <w:r>
              <w:rPr>
                <w:rFonts w:ascii="Calibri" w:hAnsi="Calibri"/>
                <w:b w:val="0"/>
                <w:i w:val="0"/>
                <w:sz w:val="19"/>
              </w:rPr>
              <w:t>Eliminates biological hazards, operates 24/7, and reduces labor costs.</w:t>
            </w:r>
          </w:p>
        </w:tc>
      </w:tr>
      <w:tr>
        <w:tc>
          <w:tcPr>
            <w:tcW w:type="dxa" w:w="3120"/>
            <w:vAlign w:val="center"/>
          </w:tcPr>
          <w:p>
            <w:pPr>
              <w:spacing w:before="60" w:after="60"/>
              <w:jc w:val="left"/>
            </w:pPr>
            <w:r>
              <w:rPr>
                <w:rFonts w:ascii="Calibri" w:hAnsi="Calibri"/>
                <w:b w:val="0"/>
                <w:i w:val="0"/>
                <w:sz w:val="19"/>
              </w:rPr>
              <w:t>Handcrafted feature extraction (HOG, SIFT, Color Histograms) + SVM</w:t>
            </w:r>
          </w:p>
        </w:tc>
        <w:tc>
          <w:tcPr>
            <w:tcW w:type="dxa" w:w="3120"/>
            <w:vAlign w:val="center"/>
          </w:tcPr>
          <w:p>
            <w:pPr>
              <w:spacing w:before="60" w:after="60"/>
              <w:jc w:val="left"/>
            </w:pPr>
            <w:r>
              <w:rPr>
                <w:rFonts w:ascii="Calibri" w:hAnsi="Calibri"/>
                <w:b w:val="0"/>
                <w:i w:val="0"/>
                <w:sz w:val="19"/>
              </w:rPr>
              <w:t>End-to-end Deep Convolutional Transfer Learning (MobileNet)</w:t>
            </w:r>
          </w:p>
        </w:tc>
        <w:tc>
          <w:tcPr>
            <w:tcW w:type="dxa" w:w="3120"/>
            <w:vAlign w:val="center"/>
          </w:tcPr>
          <w:p>
            <w:pPr>
              <w:spacing w:before="60" w:after="60"/>
              <w:jc w:val="left"/>
            </w:pPr>
            <w:r>
              <w:rPr>
                <w:rFonts w:ascii="Calibri" w:hAnsi="Calibri"/>
                <w:b w:val="0"/>
                <w:i w:val="0"/>
                <w:sz w:val="19"/>
              </w:rPr>
              <w:t>Higher feature representation power; robust to rotations, folds, and lighting variations.</w:t>
            </w:r>
          </w:p>
        </w:tc>
      </w:tr>
      <w:tr>
        <w:tc>
          <w:tcPr>
            <w:tcW w:type="dxa" w:w="3120"/>
            <w:vAlign w:val="center"/>
          </w:tcPr>
          <w:p>
            <w:pPr>
              <w:spacing w:before="60" w:after="60"/>
              <w:jc w:val="left"/>
            </w:pPr>
            <w:r>
              <w:rPr>
                <w:rFonts w:ascii="Calibri" w:hAnsi="Calibri"/>
                <w:b w:val="0"/>
                <w:i w:val="0"/>
                <w:sz w:val="19"/>
              </w:rPr>
              <w:t>Heavyweight deep networks (ResNet-152, VGG-16) without reject thresholds</w:t>
            </w:r>
          </w:p>
        </w:tc>
        <w:tc>
          <w:tcPr>
            <w:tcW w:type="dxa" w:w="3120"/>
            <w:vAlign w:val="center"/>
          </w:tcPr>
          <w:p>
            <w:pPr>
              <w:spacing w:before="60" w:after="60"/>
              <w:jc w:val="left"/>
            </w:pPr>
            <w:r>
              <w:rPr>
                <w:rFonts w:ascii="Calibri" w:hAnsi="Calibri"/>
                <w:b w:val="0"/>
                <w:i w:val="0"/>
                <w:sz w:val="19"/>
              </w:rPr>
              <w:t>Lightweight MobileNet with selective classification (confidence threshold 0.90)</w:t>
            </w:r>
          </w:p>
        </w:tc>
        <w:tc>
          <w:tcPr>
            <w:tcW w:type="dxa" w:w="3120"/>
            <w:vAlign w:val="center"/>
          </w:tcPr>
          <w:p>
            <w:pPr>
              <w:spacing w:before="60" w:after="60"/>
              <w:jc w:val="left"/>
            </w:pPr>
            <w:r>
              <w:rPr>
                <w:rFonts w:ascii="Calibri" w:hAnsi="Calibri"/>
                <w:b w:val="0"/>
                <w:i w:val="0"/>
                <w:sz w:val="19"/>
              </w:rPr>
              <w:t>Over 85% parameter reduction, real-time edge execution, and prevents recyclable contamination.</w:t>
            </w:r>
          </w:p>
        </w:tc>
      </w:tr>
    </w:tbl>
    <w:p>
      <w:pPr>
        <w:spacing w:before="200" w:after="60" w:line="276" w:lineRule="auto"/>
        <w:jc w:val="left"/>
      </w:pPr>
      <w:r>
        <w:rPr>
          <w:rFonts w:ascii="Calibri" w:hAnsi="Calibri"/>
          <w:b/>
          <w:i w:val="0"/>
          <w:color w:val="2C5282"/>
          <w:sz w:val="23"/>
        </w:rPr>
        <w:t>Research Gap Identified</w:t>
      </w:r>
    </w:p>
    <w:p>
      <w:pPr>
        <w:spacing w:before="0" w:after="120" w:line="276" w:lineRule="auto"/>
        <w:jc w:val="both"/>
      </w:pPr>
      <w:r>
        <w:rPr>
          <w:rFonts w:ascii="Calibri" w:hAnsi="Calibri"/>
          <w:b w:val="0"/>
          <w:i w:val="0"/>
          <w:sz w:val="22"/>
        </w:rPr>
        <w:t>While existing literature explores transfer learning, most studies blindly evaluate on random train/test splits without auditing datasets for byte-identical duplicate images or near-identical multi-angle shots. This causes data leakage and inflated accuracy claims. Furthermore, published studies rarely deploy confidence rejection thresholds: ambiguous items are forced into incorrect recycling streams rather than flagged for manual inspection. The proposed study resolves both data leakage and false-positive contamination.</w:t>
      </w:r>
    </w:p>
    <w:p>
      <w:pPr>
        <w:spacing w:before="280" w:after="80" w:line="276" w:lineRule="auto"/>
        <w:jc w:val="left"/>
      </w:pPr>
      <w:r>
        <w:rPr>
          <w:rFonts w:ascii="Calibri" w:hAnsi="Calibri"/>
          <w:b/>
          <w:i w:val="0"/>
          <w:color w:val="1A365D"/>
          <w:sz w:val="26"/>
        </w:rPr>
        <w:t>Methodology / Working Process</w:t>
      </w:r>
    </w:p>
    <w:p>
      <w:pPr>
        <w:spacing w:before="0" w:after="120" w:line="276" w:lineRule="auto"/>
        <w:jc w:val="both"/>
      </w:pPr>
      <w:r>
        <w:rPr>
          <w:rFonts w:ascii="Calibri" w:hAnsi="Calibri"/>
          <w:b w:val="0"/>
          <w:i w:val="0"/>
          <w:sz w:val="22"/>
        </w:rPr>
        <w:t>The proposed methodology follows a structured six-stage pipeline:</w:t>
      </w:r>
    </w:p>
    <w:p>
      <w:pPr>
        <w:pStyle w:val="ListBullet"/>
        <w:spacing w:before="20" w:after="60" w:line="276" w:lineRule="auto"/>
      </w:pPr>
      <w:r>
        <w:rPr>
          <w:rFonts w:ascii="Calibri" w:hAnsi="Calibri"/>
          <w:sz w:val="22"/>
        </w:rPr>
        <w:t>Step 1 (Data Auditing &amp; Leakage Prevention): Verification of image integrity, elimination of byte-identical duplicates with conflicting labels, and thumbnail correlation clustering to ensure multi-shot images stay within a single split.</w:t>
      </w:r>
    </w:p>
    <w:p>
      <w:pPr>
        <w:pStyle w:val="ListBullet"/>
        <w:spacing w:before="20" w:after="60" w:line="276" w:lineRule="auto"/>
      </w:pPr>
      <w:r>
        <w:rPr>
          <w:rFonts w:ascii="Calibri" w:hAnsi="Calibri"/>
          <w:sz w:val="22"/>
        </w:rPr>
        <w:t>Step 2 (Group-Aware Stratified Splitting): 70% Training, 15% Validation, and 15% Test partition created at the duplicate-group level to guarantee unbiased test evaluation.</w:t>
      </w:r>
    </w:p>
    <w:p>
      <w:pPr>
        <w:pStyle w:val="ListBullet"/>
        <w:spacing w:before="20" w:after="60" w:line="276" w:lineRule="auto"/>
      </w:pPr>
      <w:r>
        <w:rPr>
          <w:rFonts w:ascii="Calibri" w:hAnsi="Calibri"/>
          <w:sz w:val="22"/>
        </w:rPr>
        <w:t>Step 3 (Data Preprocessing &amp; Augmentation): Resizing images to 224 x 224 pixels, ImageNet channel normalization, and applying random rotations, horizontal/vertical flips, and color jitters.</w:t>
      </w:r>
    </w:p>
    <w:p>
      <w:pPr>
        <w:pStyle w:val="ListBullet"/>
        <w:spacing w:before="20" w:after="60" w:line="276" w:lineRule="auto"/>
      </w:pPr>
      <w:r>
        <w:rPr>
          <w:rFonts w:ascii="Calibri" w:hAnsi="Calibri"/>
          <w:sz w:val="22"/>
        </w:rPr>
        <w:t>Step 4 (Two-Stage Model Training): Stage 1 frozen-backbone warm-up (learning rate 1e-3) followed by Stage 2 full network fine-tuning (backbone 1e-4, head 1e-3) with Cosine Annealing learning rate scheduling.</w:t>
      </w:r>
    </w:p>
    <w:p>
      <w:pPr>
        <w:pStyle w:val="ListBullet"/>
        <w:spacing w:before="20" w:after="60" w:line="276" w:lineRule="auto"/>
      </w:pPr>
      <w:r>
        <w:rPr>
          <w:rFonts w:ascii="Calibri" w:hAnsi="Calibri"/>
          <w:sz w:val="22"/>
        </w:rPr>
        <w:t>Step 5 (Class-Weighted Loss): Inverse class-frequency weighting coupled with 0.10 label smoothing to address class imbalance (e.g., trash vs. paper).</w:t>
      </w:r>
    </w:p>
    <w:p>
      <w:pPr>
        <w:pStyle w:val="ListBullet"/>
        <w:spacing w:before="20" w:after="60" w:line="276" w:lineRule="auto"/>
      </w:pPr>
      <w:r>
        <w:rPr>
          <w:rFonts w:ascii="Calibri" w:hAnsi="Calibri"/>
          <w:sz w:val="22"/>
        </w:rPr>
        <w:t>Step 6 (Evaluation &amp; Deployment Verification): Rigorous test evaluation using confusion matrices, Grad-CAM visual heatmaps, and a FastAPI-backed REST interface.</w:t>
      </w:r>
    </w:p>
    <w:p>
      <w:pPr>
        <w:spacing w:before="280" w:after="80" w:line="276" w:lineRule="auto"/>
        <w:jc w:val="left"/>
      </w:pPr>
      <w:r>
        <w:rPr>
          <w:rFonts w:ascii="Calibri" w:hAnsi="Calibri"/>
          <w:b/>
          <w:i w:val="0"/>
          <w:color w:val="1A365D"/>
          <w:sz w:val="26"/>
        </w:rPr>
        <w:t>System Architecture / Framework</w:t>
      </w:r>
    </w:p>
    <w:p>
      <w:pPr>
        <w:spacing w:before="0" w:after="120" w:line="276" w:lineRule="auto"/>
        <w:jc w:val="both"/>
      </w:pPr>
      <w:r>
        <w:rPr>
          <w:rFonts w:ascii="Calibri" w:hAnsi="Calibri"/>
          <w:b w:val="0"/>
          <w:i w:val="0"/>
          <w:sz w:val="22"/>
        </w:rPr>
        <w:t>The framework consists of three integrated layers: Acquisition Layer, Inference &amp; Explainability Engine, and Routing/Decision Layer:</w:t>
      </w:r>
    </w:p>
    <w:p>
      <w:pPr>
        <w:pStyle w:val="ListBullet"/>
        <w:spacing w:before="20" w:after="60" w:line="276" w:lineRule="auto"/>
      </w:pPr>
      <w:r>
        <w:rPr>
          <w:rFonts w:ascii="Calibri" w:hAnsi="Calibri"/>
          <w:sz w:val="22"/>
        </w:rPr>
        <w:t>Acquisition &amp; Preprocessing: High-resolution RGB input captured via camera or user upload, scaled to 224 x 224 resolution, and normalized.</w:t>
      </w:r>
    </w:p>
    <w:p>
      <w:pPr>
        <w:pStyle w:val="ListBullet"/>
        <w:spacing w:before="20" w:after="60" w:line="276" w:lineRule="auto"/>
      </w:pPr>
      <w:r>
        <w:rPr>
          <w:rFonts w:ascii="Calibri" w:hAnsi="Calibri"/>
          <w:sz w:val="22"/>
        </w:rPr>
        <w:t>Deep Inference Backbone: MobileNetV3-Large feature extractor utilizing inverted residual blocks with squeeze-and-excitation modules, producing high-level feature maps.</w:t>
      </w:r>
    </w:p>
    <w:p>
      <w:pPr>
        <w:pStyle w:val="ListBullet"/>
        <w:spacing w:before="20" w:after="60" w:line="276" w:lineRule="auto"/>
      </w:pPr>
      <w:r>
        <w:rPr>
          <w:rFonts w:ascii="Calibri" w:hAnsi="Calibri"/>
          <w:sz w:val="22"/>
        </w:rPr>
        <w:t>Explainability Engine (Grad-CAM): Hooks the final convolutional layer to generate class-activation heatmaps that highlight visual regions influencing the classification.</w:t>
      </w:r>
    </w:p>
    <w:p>
      <w:pPr>
        <w:pStyle w:val="ListBullet"/>
        <w:spacing w:before="20" w:after="60" w:line="276" w:lineRule="auto"/>
      </w:pPr>
      <w:r>
        <w:rPr>
          <w:rFonts w:ascii="Calibri" w:hAnsi="Calibri"/>
          <w:sz w:val="22"/>
        </w:rPr>
        <w:t>Selective Classification &amp; Routing: Softmax outputs produce category probabilities. If top confidence &gt;= 0.90, the item is routed automatically to the designated recycling bin; if &lt; 0.90, the system triggers a manual review fallback to prevent cross-stream contamination.</w:t>
      </w:r>
    </w:p>
    <w:p>
      <w:pPr>
        <w:spacing w:before="280" w:after="80" w:line="276" w:lineRule="auto"/>
        <w:jc w:val="left"/>
      </w:pPr>
      <w:r>
        <w:rPr>
          <w:rFonts w:ascii="Calibri" w:hAnsi="Calibri"/>
          <w:b/>
          <w:i w:val="0"/>
          <w:color w:val="1A365D"/>
          <w:sz w:val="26"/>
        </w:rPr>
        <w:t>Algorithms / Techniques Used</w:t>
      </w:r>
    </w:p>
    <w:p>
      <w:pPr>
        <w:pStyle w:val="ListBullet"/>
        <w:spacing w:before="20" w:after="60" w:line="276" w:lineRule="auto"/>
      </w:pPr>
      <w:r>
        <w:rPr>
          <w:rFonts w:ascii="Calibri" w:hAnsi="Calibri"/>
          <w:sz w:val="22"/>
        </w:rPr>
        <w:t>Convolutional Neural Networks (CNN): Feature extraction through spatial convolutions, batch normalization, and non-linear ReLU/Hard-Swish activations.</w:t>
      </w:r>
    </w:p>
    <w:p>
      <w:pPr>
        <w:pStyle w:val="ListBullet"/>
        <w:spacing w:before="20" w:after="60" w:line="276" w:lineRule="auto"/>
      </w:pPr>
      <w:r>
        <w:rPr>
          <w:rFonts w:ascii="Calibri" w:hAnsi="Calibri"/>
          <w:sz w:val="22"/>
        </w:rPr>
        <w:t>MobileNetV3 Architecture: Inverted residual bottleneck blocks, depthwise separable convolutions, and Squeeze-and-Excitation attention.</w:t>
      </w:r>
    </w:p>
    <w:p>
      <w:pPr>
        <w:pStyle w:val="ListBullet"/>
        <w:spacing w:before="20" w:after="60" w:line="276" w:lineRule="auto"/>
      </w:pPr>
      <w:r>
        <w:rPr>
          <w:rFonts w:ascii="Calibri" w:hAnsi="Calibri"/>
          <w:sz w:val="22"/>
        </w:rPr>
        <w:t>AdamW Optimizer: Decoupled weight decay (0.01) preventing catastrophic forgetting during transfer learning.</w:t>
      </w:r>
    </w:p>
    <w:p>
      <w:pPr>
        <w:pStyle w:val="ListBullet"/>
        <w:spacing w:before="20" w:after="60" w:line="276" w:lineRule="auto"/>
      </w:pPr>
      <w:r>
        <w:rPr>
          <w:rFonts w:ascii="Calibri" w:hAnsi="Calibri"/>
          <w:sz w:val="22"/>
        </w:rPr>
        <w:t>Grad-CAM (Gradient-Weighted Class Activation Mapping): Computes gradients of the target class score with respect to feature maps to interpret model decisions.</w:t>
      </w:r>
    </w:p>
    <w:p>
      <w:pPr>
        <w:spacing w:before="280" w:after="80" w:line="276" w:lineRule="auto"/>
        <w:jc w:val="left"/>
      </w:pPr>
      <w:r>
        <w:rPr>
          <w:rFonts w:ascii="Calibri" w:hAnsi="Calibri"/>
          <w:b/>
          <w:i w:val="0"/>
          <w:color w:val="1A365D"/>
          <w:sz w:val="26"/>
        </w:rPr>
        <w:t>Tools, Software &amp; Hardware Requirements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4680"/>
        <w:gridCol w:w="4680"/>
      </w:tblGrid>
      <w:tr>
        <w:tc>
          <w:tcPr>
            <w:tcW w:type="dxa" w:w="4680"/>
            <w:shd w:fill="EAEFF5"/>
            <w:vAlign w:val="center"/>
          </w:tcPr>
          <w:p>
            <w:pPr>
              <w:spacing w:before="60" w:after="60"/>
              <w:jc w:val="center"/>
            </w:pPr>
            <w:r>
              <w:rPr>
                <w:rFonts w:ascii="Calibri" w:hAnsi="Calibri"/>
                <w:b/>
                <w:i w:val="0"/>
                <w:sz w:val="20"/>
              </w:rPr>
              <w:t>Component</w:t>
            </w:r>
          </w:p>
        </w:tc>
        <w:tc>
          <w:tcPr>
            <w:tcW w:type="dxa" w:w="4680"/>
            <w:shd w:fill="EAEFF5"/>
            <w:vAlign w:val="center"/>
          </w:tcPr>
          <w:p>
            <w:pPr>
              <w:spacing w:before="60" w:after="60"/>
              <w:jc w:val="center"/>
            </w:pPr>
            <w:r>
              <w:rPr>
                <w:rFonts w:ascii="Calibri" w:hAnsi="Calibri"/>
                <w:b/>
                <w:i w:val="0"/>
                <w:sz w:val="20"/>
              </w:rPr>
              <w:t>Specification / Tool Used</w:t>
            </w:r>
          </w:p>
        </w:tc>
      </w:tr>
      <w:tr>
        <w:tc>
          <w:tcPr>
            <w:tcW w:type="dxa" w:w="4680"/>
            <w:vAlign w:val="center"/>
          </w:tcPr>
          <w:p>
            <w:pPr>
              <w:spacing w:before="60" w:after="60"/>
              <w:jc w:val="left"/>
            </w:pPr>
            <w:r>
              <w:rPr>
                <w:rFonts w:ascii="Calibri" w:hAnsi="Calibri"/>
                <w:b w:val="0"/>
                <w:i w:val="0"/>
                <w:sz w:val="19"/>
              </w:rPr>
              <w:t>Programming Language</w:t>
            </w:r>
          </w:p>
        </w:tc>
        <w:tc>
          <w:tcPr>
            <w:tcW w:type="dxa" w:w="4680"/>
            <w:vAlign w:val="center"/>
          </w:tcPr>
          <w:p>
            <w:pPr>
              <w:spacing w:before="60" w:after="60"/>
              <w:jc w:val="left"/>
            </w:pPr>
            <w:r>
              <w:rPr>
                <w:rFonts w:ascii="Calibri" w:hAnsi="Calibri"/>
                <w:b w:val="0"/>
                <w:i w:val="0"/>
                <w:sz w:val="19"/>
              </w:rPr>
              <w:t>Python 3.10+ / 3.11 / 3.13</w:t>
            </w:r>
          </w:p>
        </w:tc>
      </w:tr>
      <w:tr>
        <w:tc>
          <w:tcPr>
            <w:tcW w:type="dxa" w:w="4680"/>
            <w:vAlign w:val="center"/>
          </w:tcPr>
          <w:p>
            <w:pPr>
              <w:spacing w:before="60" w:after="60"/>
              <w:jc w:val="left"/>
            </w:pPr>
            <w:r>
              <w:rPr>
                <w:rFonts w:ascii="Calibri" w:hAnsi="Calibri"/>
                <w:b w:val="0"/>
                <w:i w:val="0"/>
                <w:sz w:val="19"/>
              </w:rPr>
              <w:t>Deep Learning Framework</w:t>
            </w:r>
          </w:p>
        </w:tc>
        <w:tc>
          <w:tcPr>
            <w:tcW w:type="dxa" w:w="4680"/>
            <w:vAlign w:val="center"/>
          </w:tcPr>
          <w:p>
            <w:pPr>
              <w:spacing w:before="60" w:after="60"/>
              <w:jc w:val="left"/>
            </w:pPr>
            <w:r>
              <w:rPr>
                <w:rFonts w:ascii="Calibri" w:hAnsi="Calibri"/>
                <w:b w:val="0"/>
                <w:i w:val="0"/>
                <w:sz w:val="19"/>
              </w:rPr>
              <w:t>PyTorch 2.2+ &amp; Torchvision 0.17+</w:t>
            </w:r>
          </w:p>
        </w:tc>
      </w:tr>
      <w:tr>
        <w:tc>
          <w:tcPr>
            <w:tcW w:type="dxa" w:w="4680"/>
            <w:vAlign w:val="center"/>
          </w:tcPr>
          <w:p>
            <w:pPr>
              <w:spacing w:before="60" w:after="60"/>
              <w:jc w:val="left"/>
            </w:pPr>
            <w:r>
              <w:rPr>
                <w:rFonts w:ascii="Calibri" w:hAnsi="Calibri"/>
                <w:b w:val="0"/>
                <w:i w:val="0"/>
                <w:sz w:val="19"/>
              </w:rPr>
              <w:t>Backend API Server</w:t>
            </w:r>
          </w:p>
        </w:tc>
        <w:tc>
          <w:tcPr>
            <w:tcW w:type="dxa" w:w="4680"/>
            <w:vAlign w:val="center"/>
          </w:tcPr>
          <w:p>
            <w:pPr>
              <w:spacing w:before="60" w:after="60"/>
              <w:jc w:val="left"/>
            </w:pPr>
            <w:r>
              <w:rPr>
                <w:rFonts w:ascii="Calibri" w:hAnsi="Calibri"/>
                <w:b w:val="0"/>
                <w:i w:val="0"/>
                <w:sz w:val="19"/>
              </w:rPr>
              <w:t>FastAPI, Uvicorn, Python-Multipart</w:t>
            </w:r>
          </w:p>
        </w:tc>
      </w:tr>
      <w:tr>
        <w:tc>
          <w:tcPr>
            <w:tcW w:type="dxa" w:w="4680"/>
            <w:vAlign w:val="center"/>
          </w:tcPr>
          <w:p>
            <w:pPr>
              <w:spacing w:before="60" w:after="60"/>
              <w:jc w:val="left"/>
            </w:pPr>
            <w:r>
              <w:rPr>
                <w:rFonts w:ascii="Calibri" w:hAnsi="Calibri"/>
                <w:b w:val="0"/>
                <w:i w:val="0"/>
                <w:sz w:val="19"/>
              </w:rPr>
              <w:t>Data &amp; Image Libraries</w:t>
            </w:r>
          </w:p>
        </w:tc>
        <w:tc>
          <w:tcPr>
            <w:tcW w:type="dxa" w:w="4680"/>
            <w:vAlign w:val="center"/>
          </w:tcPr>
          <w:p>
            <w:pPr>
              <w:spacing w:before="60" w:after="60"/>
              <w:jc w:val="left"/>
            </w:pPr>
            <w:r>
              <w:rPr>
                <w:rFonts w:ascii="Calibri" w:hAnsi="Calibri"/>
                <w:b w:val="0"/>
                <w:i w:val="0"/>
                <w:sz w:val="19"/>
              </w:rPr>
              <w:t>PIL (Pillow), NumPy, Scikit-learn, Matplotlib, Seaborn</w:t>
            </w:r>
          </w:p>
        </w:tc>
      </w:tr>
      <w:tr>
        <w:tc>
          <w:tcPr>
            <w:tcW w:type="dxa" w:w="4680"/>
            <w:vAlign w:val="center"/>
          </w:tcPr>
          <w:p>
            <w:pPr>
              <w:spacing w:before="60" w:after="60"/>
              <w:jc w:val="left"/>
            </w:pPr>
            <w:r>
              <w:rPr>
                <w:rFonts w:ascii="Calibri" w:hAnsi="Calibri"/>
                <w:b w:val="0"/>
                <w:i w:val="0"/>
                <w:sz w:val="19"/>
              </w:rPr>
              <w:t>Development Environment</w:t>
            </w:r>
          </w:p>
        </w:tc>
        <w:tc>
          <w:tcPr>
            <w:tcW w:type="dxa" w:w="4680"/>
            <w:vAlign w:val="center"/>
          </w:tcPr>
          <w:p>
            <w:pPr>
              <w:spacing w:before="60" w:after="60"/>
              <w:jc w:val="left"/>
            </w:pPr>
            <w:r>
              <w:rPr>
                <w:rFonts w:ascii="Calibri" w:hAnsi="Calibri"/>
                <w:b w:val="0"/>
                <w:i w:val="0"/>
                <w:sz w:val="19"/>
              </w:rPr>
              <w:t>Google Colab (Nvidia T4 GPU) &amp; VS Code / Antigravity IDE</w:t>
            </w:r>
          </w:p>
        </w:tc>
      </w:tr>
    </w:tbl>
    <w:p>
      <w:pPr>
        <w:spacing w:before="280" w:after="80" w:line="276" w:lineRule="auto"/>
        <w:jc w:val="left"/>
      </w:pPr>
      <w:r>
        <w:rPr>
          <w:rFonts w:ascii="Calibri" w:hAnsi="Calibri"/>
          <w:b/>
          <w:i w:val="0"/>
          <w:color w:val="1A365D"/>
          <w:sz w:val="26"/>
        </w:rPr>
        <w:t>Dataset Used</w:t>
      </w:r>
    </w:p>
    <w:p>
      <w:pPr>
        <w:spacing w:before="0" w:after="120" w:line="276" w:lineRule="auto"/>
        <w:jc w:val="both"/>
      </w:pPr>
      <w:r>
        <w:rPr>
          <w:rFonts w:ascii="Calibri" w:hAnsi="Calibri"/>
          <w:b w:val="0"/>
          <w:i w:val="0"/>
          <w:sz w:val="22"/>
        </w:rPr>
        <w:t>The project employs the benchmark TrashNet dataset curated by Gary Thung and Mindy Yang:</w:t>
      </w:r>
    </w:p>
    <w:p>
      <w:pPr>
        <w:pStyle w:val="ListBullet"/>
        <w:spacing w:before="20" w:after="60" w:line="276" w:lineRule="auto"/>
      </w:pPr>
      <w:r>
        <w:rPr>
          <w:rFonts w:ascii="Calibri" w:hAnsi="Calibri"/>
          <w:sz w:val="22"/>
        </w:rPr>
        <w:t>Total Samples: 2,527 annotated RGB photographs of individual waste items against consistent white backgrounds.</w:t>
      </w:r>
    </w:p>
    <w:p>
      <w:pPr>
        <w:pStyle w:val="ListBullet"/>
        <w:spacing w:before="20" w:after="60" w:line="276" w:lineRule="auto"/>
      </w:pPr>
      <w:r>
        <w:rPr>
          <w:rFonts w:ascii="Calibri" w:hAnsi="Calibri"/>
          <w:sz w:val="22"/>
        </w:rPr>
        <w:t>Classes (6 categories): Cardboard (403), Glass (501), Metal (410), Paper (594), Plastic (482), and Trash / Residual (137).</w:t>
      </w:r>
    </w:p>
    <w:p>
      <w:pPr>
        <w:pStyle w:val="ListBullet"/>
        <w:spacing w:before="20" w:after="60" w:line="276" w:lineRule="auto"/>
      </w:pPr>
      <w:r>
        <w:rPr>
          <w:rFonts w:ascii="Calibri" w:hAnsi="Calibri"/>
          <w:sz w:val="22"/>
        </w:rPr>
        <w:t>Resolution: Original dimensions standardized to 224 x 224 pixels.</w:t>
      </w:r>
    </w:p>
    <w:p>
      <w:pPr>
        <w:pStyle w:val="ListBullet"/>
        <w:spacing w:before="20" w:after="60" w:line="276" w:lineRule="auto"/>
      </w:pPr>
      <w:r>
        <w:rPr>
          <w:rFonts w:ascii="Calibri" w:hAnsi="Calibri"/>
          <w:sz w:val="22"/>
        </w:rPr>
        <w:t>Partitioning: Group-aware stratified split ensuring 70% Train, 15% Validation, and 15% Unseen Test images.</w:t>
      </w:r>
    </w:p>
    <w:p>
      <w:pPr>
        <w:spacing w:before="280" w:after="80" w:line="276" w:lineRule="auto"/>
        <w:jc w:val="left"/>
      </w:pPr>
      <w:r>
        <w:rPr>
          <w:rFonts w:ascii="Calibri" w:hAnsi="Calibri"/>
          <w:b/>
          <w:i w:val="0"/>
          <w:color w:val="1A365D"/>
          <w:sz w:val="26"/>
        </w:rPr>
        <w:t>Real-Time Example &amp; Implementation Workflow</w:t>
      </w:r>
    </w:p>
    <w:p>
      <w:pPr>
        <w:spacing w:before="0" w:after="120" w:line="276" w:lineRule="auto"/>
        <w:jc w:val="both"/>
      </w:pPr>
      <w:r>
        <w:rPr>
          <w:rFonts w:ascii="Calibri" w:hAnsi="Calibri"/>
          <w:b w:val="0"/>
          <w:i w:val="0"/>
          <w:sz w:val="22"/>
        </w:rPr>
        <w:t>In a real-time smart dustbin scenario, an optical sensor or camera captures a photo when a user deposits a refuse item into the disposal chute. The edge device runs the image through the preprocessing pipeline and queries the local MobileNetV3 inference model. If a plastic bottle is identified with 97% confidence, an actuator opens the 'Dry Plastic' receptacle. If an ambiguous soiled container yields only 58% confidence, the bin routes the item to a manual inspection bin rather than contaminating pure plastic recycling.</w:t>
      </w:r>
    </w:p>
    <w:p>
      <w:pPr>
        <w:spacing w:before="280" w:after="80" w:line="276" w:lineRule="auto"/>
        <w:jc w:val="left"/>
      </w:pPr>
      <w:r>
        <w:rPr>
          <w:rFonts w:ascii="Calibri" w:hAnsi="Calibri"/>
          <w:b/>
          <w:i w:val="0"/>
          <w:color w:val="1A365D"/>
          <w:sz w:val="26"/>
        </w:rPr>
        <w:t>Output &amp; Expected Results</w:t>
      </w:r>
    </w:p>
    <w:p>
      <w:pPr>
        <w:spacing w:before="0" w:after="120" w:line="276" w:lineRule="auto"/>
        <w:jc w:val="both"/>
      </w:pPr>
      <w:r>
        <w:rPr>
          <w:rFonts w:ascii="Calibri" w:hAnsi="Calibri"/>
          <w:b w:val="0"/>
          <w:i w:val="0"/>
          <w:sz w:val="22"/>
        </w:rPr>
        <w:t>The expected outcomes from the comprehensive experimental evaluation include:</w:t>
      </w:r>
    </w:p>
    <w:p>
      <w:pPr>
        <w:pStyle w:val="ListBullet"/>
        <w:spacing w:before="20" w:after="60" w:line="276" w:lineRule="auto"/>
      </w:pPr>
      <w:r>
        <w:rPr>
          <w:rFonts w:ascii="Calibri" w:hAnsi="Calibri"/>
          <w:sz w:val="22"/>
        </w:rPr>
        <w:t>Superior Transfer Learning Accuracy: MobileNetV3-Large expected to achieve test accuracy &gt; 85%, significantly outperforming the scratch CNN baseline (~60%) and handcrafted SVM baseline (~55%).</w:t>
      </w:r>
    </w:p>
    <w:p>
      <w:pPr>
        <w:pStyle w:val="ListBullet"/>
        <w:spacing w:before="20" w:after="60" w:line="276" w:lineRule="auto"/>
      </w:pPr>
      <w:r>
        <w:rPr>
          <w:rFonts w:ascii="Calibri" w:hAnsi="Calibri"/>
          <w:sz w:val="22"/>
        </w:rPr>
        <w:t>Strict Contamination Control: Maintaining recyclable contamination under 10% through selective classification thresholding.</w:t>
      </w:r>
    </w:p>
    <w:p>
      <w:pPr>
        <w:pStyle w:val="ListBullet"/>
        <w:spacing w:before="20" w:after="60" w:line="276" w:lineRule="auto"/>
      </w:pPr>
      <w:r>
        <w:rPr>
          <w:rFonts w:ascii="Calibri" w:hAnsi="Calibri"/>
          <w:sz w:val="22"/>
        </w:rPr>
        <w:t>Low Latency Edge Operation: Model parameter size constrained to ~4.2M (16.2 MB), ensuring CPU execution latency below 100 ms per image.</w:t>
      </w:r>
    </w:p>
    <w:p>
      <w:pPr>
        <w:spacing w:before="280" w:after="80" w:line="276" w:lineRule="auto"/>
        <w:jc w:val="left"/>
      </w:pPr>
      <w:r>
        <w:rPr>
          <w:rFonts w:ascii="Calibri" w:hAnsi="Calibri"/>
          <w:b/>
          <w:i w:val="0"/>
          <w:color w:val="1A365D"/>
          <w:sz w:val="26"/>
        </w:rPr>
        <w:t>Applications, Advantages, Limitations &amp; Future Scope</w:t>
      </w:r>
    </w:p>
    <w:p>
      <w:pPr>
        <w:spacing w:before="200" w:after="60" w:line="276" w:lineRule="auto"/>
        <w:jc w:val="left"/>
      </w:pPr>
      <w:r>
        <w:rPr>
          <w:rFonts w:ascii="Calibri" w:hAnsi="Calibri"/>
          <w:b/>
          <w:i w:val="0"/>
          <w:color w:val="2C5282"/>
          <w:sz w:val="23"/>
        </w:rPr>
        <w:t>Applications</w:t>
      </w:r>
    </w:p>
    <w:p>
      <w:pPr>
        <w:pStyle w:val="ListBullet"/>
        <w:spacing w:before="20" w:after="60" w:line="276" w:lineRule="auto"/>
      </w:pPr>
      <w:r>
        <w:rPr>
          <w:rFonts w:ascii="Calibri" w:hAnsi="Calibri"/>
          <w:sz w:val="22"/>
        </w:rPr>
        <w:t>Autonomous Smart Bins: Automated multi-compartment municipal sorting units in public spaces (airports, malls, campuses).</w:t>
      </w:r>
    </w:p>
    <w:p>
      <w:pPr>
        <w:pStyle w:val="ListBullet"/>
        <w:spacing w:before="20" w:after="60" w:line="276" w:lineRule="auto"/>
      </w:pPr>
      <w:r>
        <w:rPr>
          <w:rFonts w:ascii="Calibri" w:hAnsi="Calibri"/>
          <w:sz w:val="22"/>
        </w:rPr>
        <w:t>Material Recovery Facilities (MRF): Vision-assisted robotic arms sorting conveyor-belt recyclable streams.</w:t>
      </w:r>
    </w:p>
    <w:p>
      <w:pPr>
        <w:pStyle w:val="ListBullet"/>
        <w:spacing w:before="20" w:after="60" w:line="276" w:lineRule="auto"/>
      </w:pPr>
      <w:r>
        <w:rPr>
          <w:rFonts w:ascii="Calibri" w:hAnsi="Calibri"/>
          <w:sz w:val="22"/>
        </w:rPr>
        <w:t>Civic Environmental Auditing: Mobile applications assisting citizens in sorting household waste correctly.</w:t>
      </w:r>
    </w:p>
    <w:p>
      <w:pPr>
        <w:spacing w:before="200" w:after="60" w:line="276" w:lineRule="auto"/>
        <w:jc w:val="left"/>
      </w:pPr>
      <w:r>
        <w:rPr>
          <w:rFonts w:ascii="Calibri" w:hAnsi="Calibri"/>
          <w:b/>
          <w:i w:val="0"/>
          <w:color w:val="2C5282"/>
          <w:sz w:val="23"/>
        </w:rPr>
        <w:t>Advantages</w:t>
      </w:r>
    </w:p>
    <w:p>
      <w:pPr>
        <w:pStyle w:val="ListBullet"/>
        <w:spacing w:before="20" w:after="60" w:line="276" w:lineRule="auto"/>
      </w:pPr>
      <w:r>
        <w:rPr>
          <w:rFonts w:ascii="Calibri" w:hAnsi="Calibri"/>
          <w:sz w:val="22"/>
        </w:rPr>
        <w:t>High Classification Speed: Sub-second inference suitable for edge deployment.</w:t>
      </w:r>
    </w:p>
    <w:p>
      <w:pPr>
        <w:pStyle w:val="ListBullet"/>
        <w:spacing w:before="20" w:after="60" w:line="276" w:lineRule="auto"/>
      </w:pPr>
      <w:r>
        <w:rPr>
          <w:rFonts w:ascii="Calibri" w:hAnsi="Calibri"/>
          <w:sz w:val="22"/>
        </w:rPr>
        <w:t>Non-Contact &amp; Sanitary: Eliminates human pathogen exposure from manual sorting.</w:t>
      </w:r>
    </w:p>
    <w:p>
      <w:pPr>
        <w:pStyle w:val="ListBullet"/>
        <w:spacing w:before="20" w:after="60" w:line="276" w:lineRule="auto"/>
      </w:pPr>
      <w:r>
        <w:rPr>
          <w:rFonts w:ascii="Calibri" w:hAnsi="Calibri"/>
          <w:sz w:val="22"/>
        </w:rPr>
        <w:t>Explainability: Integrated Grad-CAM ensures transparency in municipal decision auditing.</w:t>
      </w:r>
    </w:p>
    <w:p>
      <w:pPr>
        <w:spacing w:before="200" w:after="60" w:line="276" w:lineRule="auto"/>
        <w:jc w:val="left"/>
      </w:pPr>
      <w:r>
        <w:rPr>
          <w:rFonts w:ascii="Calibri" w:hAnsi="Calibri"/>
          <w:b/>
          <w:i w:val="0"/>
          <w:color w:val="2C5282"/>
          <w:sz w:val="23"/>
        </w:rPr>
        <w:t>Limitations &amp; Challenges Faced</w:t>
      </w:r>
    </w:p>
    <w:p>
      <w:pPr>
        <w:pStyle w:val="ListBullet"/>
        <w:spacing w:before="20" w:after="60" w:line="276" w:lineRule="auto"/>
      </w:pPr>
      <w:r>
        <w:rPr>
          <w:rFonts w:ascii="Calibri" w:hAnsi="Calibri"/>
          <w:sz w:val="22"/>
        </w:rPr>
        <w:t>Single-Item Constraint: TrashNet comprises single clear objects; real-world cluttered waste piles require multi-object segmentation.</w:t>
      </w:r>
    </w:p>
    <w:p>
      <w:pPr>
        <w:pStyle w:val="ListBullet"/>
        <w:spacing w:before="20" w:after="60" w:line="276" w:lineRule="auto"/>
      </w:pPr>
      <w:r>
        <w:rPr>
          <w:rFonts w:ascii="Calibri" w:hAnsi="Calibri"/>
          <w:sz w:val="22"/>
        </w:rPr>
        <w:t>Limited Classes: Absence of hazardous, electronic (e-waste), medical, and organic composting categories.</w:t>
      </w:r>
    </w:p>
    <w:p>
      <w:pPr>
        <w:pStyle w:val="ListBullet"/>
        <w:spacing w:before="20" w:after="60" w:line="276" w:lineRule="auto"/>
      </w:pPr>
      <w:r>
        <w:rPr>
          <w:rFonts w:ascii="Calibri" w:hAnsi="Calibri"/>
          <w:sz w:val="22"/>
        </w:rPr>
        <w:t>Extreme Visual Ambiguity: Transparent plastics vs. clear glass bottles present severe visual overlap under harsh lighting.</w:t>
      </w:r>
    </w:p>
    <w:p>
      <w:pPr>
        <w:spacing w:before="200" w:after="60" w:line="276" w:lineRule="auto"/>
        <w:jc w:val="left"/>
      </w:pPr>
      <w:r>
        <w:rPr>
          <w:rFonts w:ascii="Calibri" w:hAnsi="Calibri"/>
          <w:b/>
          <w:i w:val="0"/>
          <w:color w:val="2C5282"/>
          <w:sz w:val="23"/>
        </w:rPr>
        <w:t>Future Scope</w:t>
      </w:r>
    </w:p>
    <w:p>
      <w:pPr>
        <w:pStyle w:val="ListBullet"/>
        <w:spacing w:before="20" w:after="60" w:line="276" w:lineRule="auto"/>
      </w:pPr>
      <w:r>
        <w:rPr>
          <w:rFonts w:ascii="Calibri" w:hAnsi="Calibri"/>
          <w:sz w:val="22"/>
        </w:rPr>
        <w:t>Multi-Object Detection: Integration of YOLOv8 / YOLOv10 for detecting multiple overlapping refuse items on conveyors.</w:t>
      </w:r>
    </w:p>
    <w:p>
      <w:pPr>
        <w:pStyle w:val="ListBullet"/>
        <w:spacing w:before="20" w:after="60" w:line="276" w:lineRule="auto"/>
      </w:pPr>
      <w:r>
        <w:rPr>
          <w:rFonts w:ascii="Calibri" w:hAnsi="Calibri"/>
          <w:sz w:val="22"/>
        </w:rPr>
        <w:t>Expanded Categories: Expanding data collection to include e-waste, medical waste, and food compost.</w:t>
      </w:r>
    </w:p>
    <w:p>
      <w:pPr>
        <w:spacing w:before="280" w:after="80" w:line="276" w:lineRule="auto"/>
        <w:jc w:val="left"/>
      </w:pPr>
      <w:r>
        <w:rPr>
          <w:rFonts w:ascii="Calibri" w:hAnsi="Calibri"/>
          <w:b/>
          <w:i w:val="0"/>
          <w:color w:val="1A365D"/>
          <w:sz w:val="26"/>
        </w:rPr>
        <w:t>SDG Mapping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3120"/>
        <w:gridCol w:w="3120"/>
        <w:gridCol w:w="3120"/>
      </w:tblGrid>
      <w:tr>
        <w:tc>
          <w:tcPr>
            <w:tcW w:type="dxa" w:w="3120"/>
            <w:shd w:fill="EAEFF5"/>
            <w:vAlign w:val="center"/>
          </w:tcPr>
          <w:p>
            <w:pPr>
              <w:spacing w:before="60" w:after="60"/>
              <w:jc w:val="center"/>
            </w:pPr>
            <w:r>
              <w:rPr>
                <w:rFonts w:ascii="Calibri" w:hAnsi="Calibri"/>
                <w:b/>
                <w:i w:val="0"/>
                <w:sz w:val="20"/>
              </w:rPr>
              <w:t>SDG Number</w:t>
            </w:r>
          </w:p>
        </w:tc>
        <w:tc>
          <w:tcPr>
            <w:tcW w:type="dxa" w:w="3120"/>
            <w:shd w:fill="EAEFF5"/>
            <w:vAlign w:val="center"/>
          </w:tcPr>
          <w:p>
            <w:pPr>
              <w:spacing w:before="60" w:after="60"/>
              <w:jc w:val="center"/>
            </w:pPr>
            <w:r>
              <w:rPr>
                <w:rFonts w:ascii="Calibri" w:hAnsi="Calibri"/>
                <w:b/>
                <w:i w:val="0"/>
                <w:sz w:val="20"/>
              </w:rPr>
              <w:t>SDG Name</w:t>
            </w:r>
          </w:p>
        </w:tc>
        <w:tc>
          <w:tcPr>
            <w:tcW w:type="dxa" w:w="3120"/>
            <w:shd w:fill="EAEFF5"/>
            <w:vAlign w:val="center"/>
          </w:tcPr>
          <w:p>
            <w:pPr>
              <w:spacing w:before="60" w:after="60"/>
              <w:jc w:val="center"/>
            </w:pPr>
            <w:r>
              <w:rPr>
                <w:rFonts w:ascii="Calibri" w:hAnsi="Calibri"/>
                <w:b/>
                <w:i w:val="0"/>
                <w:sz w:val="20"/>
              </w:rPr>
              <w:t>Project Contribution</w:t>
            </w:r>
          </w:p>
        </w:tc>
      </w:tr>
      <w:tr>
        <w:tc>
          <w:tcPr>
            <w:tcW w:type="dxa" w:w="3120"/>
            <w:vAlign w:val="center"/>
          </w:tcPr>
          <w:p>
            <w:pPr>
              <w:spacing w:before="60" w:after="60"/>
              <w:jc w:val="left"/>
            </w:pPr>
            <w:r>
              <w:rPr>
                <w:rFonts w:ascii="Calibri" w:hAnsi="Calibri"/>
                <w:b w:val="0"/>
                <w:i w:val="0"/>
                <w:sz w:val="19"/>
              </w:rPr>
              <w:t>SDG 12</w:t>
            </w:r>
          </w:p>
        </w:tc>
        <w:tc>
          <w:tcPr>
            <w:tcW w:type="dxa" w:w="3120"/>
            <w:vAlign w:val="center"/>
          </w:tcPr>
          <w:p>
            <w:pPr>
              <w:spacing w:before="60" w:after="60"/>
              <w:jc w:val="left"/>
            </w:pPr>
            <w:r>
              <w:rPr>
                <w:rFonts w:ascii="Calibri" w:hAnsi="Calibri"/>
                <w:b w:val="0"/>
                <w:i w:val="0"/>
                <w:sz w:val="19"/>
              </w:rPr>
              <w:t>Responsible Consumption and Production</w:t>
            </w:r>
          </w:p>
        </w:tc>
        <w:tc>
          <w:tcPr>
            <w:tcW w:type="dxa" w:w="3120"/>
            <w:vAlign w:val="center"/>
          </w:tcPr>
          <w:p>
            <w:pPr>
              <w:spacing w:before="60" w:after="60"/>
              <w:jc w:val="left"/>
            </w:pPr>
            <w:r>
              <w:rPr>
                <w:rFonts w:ascii="Calibri" w:hAnsi="Calibri"/>
                <w:b w:val="0"/>
                <w:i w:val="0"/>
                <w:sz w:val="19"/>
              </w:rPr>
              <w:t>Directly targets Target 12.5 (substantially reduce waste generation through prevention, reduction, recycling, and reuse) by automating source-level segregation, minimizing landfill disposal, and increasing industrial recycling purity.</w:t>
            </w:r>
          </w:p>
        </w:tc>
      </w:tr>
    </w:tbl>
    <w:p>
      <w:pPr>
        <w:spacing w:before="280" w:after="80" w:line="276" w:lineRule="auto"/>
        <w:jc w:val="left"/>
      </w:pPr>
      <w:r>
        <w:rPr>
          <w:rFonts w:ascii="Calibri" w:hAnsi="Calibri"/>
          <w:b/>
          <w:i w:val="0"/>
          <w:color w:val="1A365D"/>
          <w:sz w:val="26"/>
        </w:rPr>
        <w:t>Ethical Considerations</w:t>
      </w:r>
    </w:p>
    <w:p>
      <w:pPr>
        <w:pStyle w:val="ListBullet"/>
        <w:spacing w:before="20" w:after="60" w:line="276" w:lineRule="auto"/>
      </w:pPr>
      <w:r>
        <w:rPr>
          <w:rFonts w:ascii="Calibri" w:hAnsi="Calibri"/>
          <w:sz w:val="22"/>
        </w:rPr>
        <w:t>Bias in Image Capture: Ensuring models are evaluated across diverse backgrounds, lighting conditions, and crumpled forms to avoid biased failures in underserved neighborhoods.</w:t>
      </w:r>
    </w:p>
    <w:p>
      <w:pPr>
        <w:pStyle w:val="ListBullet"/>
        <w:spacing w:before="20" w:after="60" w:line="276" w:lineRule="auto"/>
      </w:pPr>
      <w:r>
        <w:rPr>
          <w:rFonts w:ascii="Calibri" w:hAnsi="Calibri"/>
          <w:sz w:val="22"/>
        </w:rPr>
        <w:t>Transparency &amp; Auditability: Providing visual explanation heatmaps (Grad-CAM) so sorting errors can be diagnosed rather than acting as a black-box.</w:t>
      </w:r>
    </w:p>
    <w:p>
      <w:pPr>
        <w:pStyle w:val="ListBullet"/>
        <w:spacing w:before="20" w:after="60" w:line="276" w:lineRule="auto"/>
      </w:pPr>
      <w:r>
        <w:rPr>
          <w:rFonts w:ascii="Calibri" w:hAnsi="Calibri"/>
          <w:sz w:val="22"/>
        </w:rPr>
        <w:t>Safety &amp; Environmental Ethics: Ensuring false predictions on hazardous items are routed to human inspection rather than contaminating commercial recycling streams.</w:t>
      </w:r>
    </w:p>
    <w:p>
      <w:pPr>
        <w:spacing w:before="280" w:after="80" w:line="276" w:lineRule="auto"/>
        <w:jc w:val="left"/>
      </w:pPr>
      <w:r>
        <w:rPr>
          <w:rFonts w:ascii="Calibri" w:hAnsi="Calibri"/>
          <w:b/>
          <w:i w:val="0"/>
          <w:color w:val="1A365D"/>
          <w:sz w:val="26"/>
        </w:rPr>
        <w:t>Conclusion</w:t>
      </w:r>
    </w:p>
    <w:p>
      <w:pPr>
        <w:spacing w:before="0" w:after="120" w:line="276" w:lineRule="auto"/>
        <w:jc w:val="both"/>
      </w:pPr>
      <w:r>
        <w:rPr>
          <w:rFonts w:ascii="Calibri" w:hAnsi="Calibri"/>
          <w:b w:val="0"/>
          <w:i w:val="0"/>
          <w:sz w:val="22"/>
        </w:rPr>
        <w:t>The Phase 1 proposal establishes a comprehensive, reproducible methodology for automated waste sorting using computer vision. By combining rigorous data auditing, near-duplicate leakage prevention, lightweight transfer learning with MobileNet, and a confidence rejection threshold, the system overcomes the operational hazards and inaccuracies of manual waste sorting. The proposed design provides a solid technical foundation for subsequent experimental training (Phase 2) and deployment benchmarking (Phase 3).</w:t>
      </w:r>
    </w:p>
    <w:p>
      <w:pPr>
        <w:spacing w:before="280" w:after="80" w:line="276" w:lineRule="auto"/>
        <w:jc w:val="left"/>
      </w:pPr>
      <w:r>
        <w:rPr>
          <w:rFonts w:ascii="Calibri" w:hAnsi="Calibri"/>
          <w:b/>
          <w:i w:val="0"/>
          <w:color w:val="1A365D"/>
          <w:sz w:val="26"/>
        </w:rPr>
        <w:t>References</w:t>
      </w:r>
    </w:p>
    <w:p>
      <w:pPr>
        <w:spacing w:before="20" w:after="60" w:line="276" w:lineRule="auto"/>
      </w:pPr>
      <w:r>
        <w:rPr>
          <w:rFonts w:ascii="Calibri" w:hAnsi="Calibri"/>
          <w:sz w:val="20"/>
        </w:rPr>
        <w:t>[1] M. R. Salami, H. B. M. A. Karim, and A. H. A. R. Othman, “Application of MobileNetV2 to Waste Classification,” PLOS ONE, vol. 18, no. 4, p. e0284485, 2023.</w:t>
      </w:r>
    </w:p>
    <w:p>
      <w:pPr>
        <w:spacing w:before="20" w:after="60" w:line="276" w:lineRule="auto"/>
      </w:pPr>
      <w:r>
        <w:rPr>
          <w:rFonts w:ascii="Calibri" w:hAnsi="Calibri"/>
          <w:sz w:val="20"/>
        </w:rPr>
        <w:t>[2] M. Mittal, M. Garg, and P. Sharma, “WasteNet: Waste Classification at the Edge for Smart Bins,” arXiv preprint arXiv:2104.09876, 2021.</w:t>
      </w:r>
    </w:p>
    <w:p>
      <w:pPr>
        <w:spacing w:before="20" w:after="60" w:line="276" w:lineRule="auto"/>
      </w:pPr>
      <w:r>
        <w:rPr>
          <w:rFonts w:ascii="Calibri" w:hAnsi="Calibri"/>
          <w:sz w:val="20"/>
        </w:rPr>
        <w:t>[3] M. Abdelhamid, S. A. Mostafa, and M. Z. A. Nazri, “Classification of Waste Materials with a Smart Garbage System for Sustainable Waste Management,” Sustainability, vol. 15, no. 9, p. 7412, 2023.</w:t>
      </w:r>
    </w:p>
    <w:p>
      <w:pPr>
        <w:spacing w:before="20" w:after="60" w:line="276" w:lineRule="auto"/>
      </w:pPr>
      <w:r>
        <w:rPr>
          <w:rFonts w:ascii="Calibri" w:hAnsi="Calibri"/>
          <w:sz w:val="20"/>
        </w:rPr>
        <w:t>[4] M. M. Islam, S. R. H. Noori, and K. S. Alam, “Artificial Intelligence-Based Automated Waste Classification: A Systematic Review,” IEEE Access, vol. 11, pp. 45123–45145, 2023.</w:t>
      </w:r>
    </w:p>
    <w:p>
      <w:pPr>
        <w:spacing w:before="20" w:after="60" w:line="276" w:lineRule="auto"/>
      </w:pPr>
      <w:r>
        <w:rPr>
          <w:rFonts w:ascii="Calibri" w:hAnsi="Calibri"/>
          <w:sz w:val="20"/>
        </w:rPr>
        <w:t>[5] G. Thung and M. Yang, “Classification of Trash for Recyclability Status,” Stanford University Technical Report, 2016.</w:t>
      </w:r>
    </w:p>
    <w:p>
      <w:pPr>
        <w:spacing w:before="20" w:after="60" w:line="276" w:lineRule="auto"/>
      </w:pPr>
      <w:r>
        <w:rPr>
          <w:rFonts w:ascii="Calibri" w:hAnsi="Calibri"/>
          <w:sz w:val="20"/>
        </w:rPr>
        <w:t>[6] PyTorch Documentation &amp; Torchvision Model Zoo, https://pytorch.org, 2024.</w:t>
      </w:r>
    </w:p>
    <w:p>
      <w:pPr>
        <w:spacing w:before="20" w:after="60" w:line="276" w:lineRule="auto"/>
      </w:pPr>
      <w:r>
        <w:rPr>
          <w:rFonts w:ascii="Calibri" w:hAnsi="Calibri"/>
          <w:sz w:val="20"/>
        </w:rPr>
        <w:t>[7] United Nations, “Goal 12: Ensure Sustainable Consumption and Production Patterns,” Department of Economic and Social Affairs, 2023.</w:t>
      </w:r>
    </w:p>
    <w:sectPr w:rsidR="00FC693F" w:rsidRPr="0006063C" w:rsidSect="00034616">
      <w:headerReference w:type="defaul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Shah and Anchor Kutchhi Engineering College (AI &amp; DS Dept)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Deep Learning CIAP Case Study Report | TYAIDS (Roll: 3,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