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jc w:val="center"/>
      </w:pPr>
      <w:r>
        <w:rPr>
          <w:rFonts w:ascii="Times New Roman" w:cs="Times New Roman" w:eastAsia="Times New Roman" w:hAnsi="Times New Roman"/>
          <w:sz w:val="20"/>
          <w:szCs w:val="20"/>
        </w:rPr>
        <w:t xml:space="preserve">UG PROGRAM IN ARTIFICIAL INTELLIGENCE AND DATA SCIENCE</w:t>
      </w:r>
    </w:p>
    <w:p/>
    <w:p>
      <w:pPr>
        <w:pBdr>
          <w:bottom w:val="single" w:color="4F81BD" w:sz="6" w:space="6"/>
        </w:pBdr>
        <w:spacing w:after="120" w:before="200"/>
        <w:jc w:val="center"/>
      </w:pPr>
      <w:r>
        <w:rPr>
          <w:rFonts w:ascii="Times New Roman" w:cs="Times New Roman" w:eastAsia="Times New Roman" w:hAnsi="Times New Roman"/>
          <w:b/>
          <w:bCs/>
          <w:sz w:val="36"/>
          <w:szCs w:val="36"/>
        </w:rPr>
        <w:t xml:space="preserve">MICROPROJECT REPORT  |  PHASE 3</w:t>
      </w:r>
    </w:p>
    <w:p>
      <w:pPr>
        <w:spacing w:after="120" w:before="120"/>
        <w:jc w:val="center"/>
      </w:pPr>
      <w:r>
        <w:rPr>
          <w:rFonts w:ascii="Times New Roman" w:cs="Times New Roman" w:eastAsia="Times New Roman" w:hAnsi="Times New Roman"/>
          <w:b/>
          <w:bCs/>
          <w:sz w:val="36"/>
          <w:szCs w:val="36"/>
        </w:rPr>
        <w:t xml:space="preserve">SMART WASTE CLASSIFICATION</w:t>
      </w:r>
      <w:r>
        <w:rPr>
          <w:rFonts w:ascii="Times New Roman" w:cs="Times New Roman" w:eastAsia="Times New Roman" w:hAnsi="Times New Roman"/>
          <w:b/>
          <w:bCs/>
          <w:sz w:val="36"/>
          <w:szCs w:val="36"/>
        </w:rPr>
        <w:br/>
        <w:t xml:space="preserve">USING COMPUTER VISION</w:t>
      </w:r>
    </w:p>
    <w:p/>
    <w:p/>
    <w:p>
      <w:pPr>
        <w:spacing w:after="60"/>
        <w:jc w:val="center"/>
      </w:pPr>
      <w:r>
        <w:rPr>
          <w:rFonts w:ascii="Times New Roman" w:cs="Times New Roman" w:eastAsia="Times New Roman" w:hAnsi="Times New Roman"/>
          <w:sz w:val="22"/>
          <w:szCs w:val="22"/>
        </w:rPr>
        <w:t xml:space="preserve">Course: Deep Learning (ADCOR1PC301)</w:t>
      </w:r>
    </w:p>
    <w:p/>
    <w:p>
      <w:pPr>
        <w:spacing w:after="60"/>
        <w:jc w:val="center"/>
      </w:pPr>
      <w:r>
        <w:rPr>
          <w:rFonts w:ascii="Times New Roman" w:cs="Times New Roman" w:eastAsia="Times New Roman" w:hAnsi="Times New Roman"/>
          <w:b/>
          <w:bCs/>
          <w:sz w:val="22"/>
          <w:szCs w:val="22"/>
        </w:rPr>
        <w:t xml:space="preserve">Submitted by:</w:t>
      </w:r>
    </w:p>
    <w:p>
      <w:pPr>
        <w:spacing w:after="60"/>
        <w:jc w:val="center"/>
      </w:pPr>
      <w:r>
        <w:rPr>
          <w:rFonts w:ascii="Times New Roman" w:cs="Times New Roman" w:eastAsia="Times New Roman" w:hAnsi="Times New Roman"/>
          <w:sz w:val="22"/>
          <w:szCs w:val="22"/>
        </w:rPr>
        <w:t xml:space="preserve">Tanmay Badhe  |  Roll No.: 33  |  PRN: 124BTAI1026</w:t>
      </w:r>
    </w:p>
    <w:p>
      <w:pPr>
        <w:spacing w:after="60"/>
        <w:jc w:val="center"/>
      </w:pPr>
      <w:r>
        <w:rPr>
          <w:rFonts w:ascii="Times New Roman" w:cs="Times New Roman" w:eastAsia="Times New Roman" w:hAnsi="Times New Roman"/>
          <w:sz w:val="22"/>
          <w:szCs w:val="22"/>
        </w:rPr>
        <w:t xml:space="preserve">Swayam Netke  |  Roll No.: 33  |  PRN: 124BTAI1066</w:t>
      </w:r>
    </w:p>
    <w:p>
      <w:pPr>
        <w:spacing w:after="60"/>
        <w:jc w:val="center"/>
      </w:pPr>
      <w:r>
        <w:rPr>
          <w:rFonts w:ascii="Times New Roman" w:cs="Times New Roman" w:eastAsia="Times New Roman" w:hAnsi="Times New Roman"/>
          <w:sz w:val="22"/>
          <w:szCs w:val="22"/>
        </w:rPr>
        <w:t xml:space="preserve">Class: TYAIDS-03</w:t>
      </w:r>
    </w:p>
    <w:p/>
    <w:p>
      <w:pPr>
        <w:spacing w:after="60"/>
        <w:jc w:val="center"/>
      </w:pPr>
      <w:r>
        <w:rPr>
          <w:rFonts w:ascii="Times New Roman" w:cs="Times New Roman" w:eastAsia="Times New Roman" w:hAnsi="Times New Roman"/>
          <w:sz w:val="22"/>
          <w:szCs w:val="22"/>
        </w:rPr>
        <w:t xml:space="preserve">Department of Artificial Intelligence and Data Science</w:t>
      </w:r>
    </w:p>
    <w:p>
      <w:pPr>
        <w:spacing w:after="60"/>
        <w:jc w:val="center"/>
      </w:pPr>
      <w:r>
        <w:rPr>
          <w:rFonts w:ascii="Times New Roman" w:cs="Times New Roman" w:eastAsia="Times New Roman" w:hAnsi="Times New Roman"/>
          <w:sz w:val="22"/>
          <w:szCs w:val="22"/>
        </w:rPr>
        <w:t xml:space="preserve">Shah &amp; Anchor Kutchhi Engineering College, Chembur - 400088</w:t>
      </w:r>
    </w:p>
    <w:p>
      <w:pPr>
        <w:spacing w:after="60"/>
        <w:jc w:val="center"/>
      </w:pPr>
      <w:r>
        <w:rPr>
          <w:rFonts w:ascii="Times New Roman" w:cs="Times New Roman" w:eastAsia="Times New Roman" w:hAnsi="Times New Roman"/>
          <w:sz w:val="22"/>
          <w:szCs w:val="22"/>
        </w:rPr>
        <w:t xml:space="preserve">Academic Year 2026–27</w:t>
      </w:r>
    </w:p>
    <w:p>
      <w:pPr>
        <w:pStyle w:val="Heading1"/>
        <w:keepNext/>
        <w:pageBreakBefore/>
        <w:spacing w:after="120" w:before="240"/>
      </w:pPr>
      <w:r>
        <w:rPr>
          <w:rFonts w:ascii="Times New Roman" w:cs="Times New Roman" w:eastAsia="Times New Roman" w:hAnsi="Times New Roman"/>
          <w:b/>
          <w:bCs/>
          <w:sz w:val="26"/>
          <w:szCs w:val="26"/>
        </w:rPr>
        <w:t xml:space="preserve">ABSTRACT</w:t>
      </w:r>
    </w:p>
    <w:p>
      <w:pPr>
        <w:spacing w:after="110" w:line="252"/>
        <w:jc w:val="both"/>
      </w:pPr>
      <w:r>
        <w:rPr>
          <w:rFonts w:ascii="Times New Roman" w:cs="Times New Roman" w:eastAsia="Times New Roman" w:hAnsi="Times New Roman"/>
          <w:sz w:val="20"/>
          <w:szCs w:val="20"/>
        </w:rPr>
        <w:t xml:space="preserve">This Phase 3 microproject evaluates a computer-vision classifier for six TrashNet waste categories: cardboard, glass, metal, paper, plastic and residual trash. The supplied results archive documents 2,521 cleaned images, split into 1,766 training, 377 validation and 378 held-out test images. Five methods were compared: an HOG/HSV/LBP support vector machine, a convolutional network trained from scratch, and pretrained ResNet-50, MobileNetV3-Large and EfficientNet-B0. Under the predeclared 2-GFLOP edge-selection rule, MobileNetV3-Large was selected. It achieved 94.44% test accuracy (95% bootstrap CI 92.1%–96.6%), macro precision 0.928, macro recall 0.953 and macro F1-score 0.938; ResNet-50 achieved equal test accuracy with 19.0 times more computation. The selected model used 0.431 GFLOPs and 21.7 ms single-thread CPU inference on the reported benchmark environment. The six-class model performed well on held-out photographs, but confidence-gated automatic sorting at threshold 0.90 covered just 28.0% of test images; the remaining images require manual review. INT8 quantization reduced the artifact size to 4.9 MB but degraded accuracy to 51.6%, ruling out that quantized build for use as-is. These results support a promising prototype, not a field-validated smart-bin deployment.</w:t>
      </w:r>
    </w:p>
    <w:p>
      <w:pPr>
        <w:pStyle w:val="Heading2"/>
        <w:keepNext/>
        <w:spacing w:after="80" w:before="160"/>
      </w:pPr>
      <w:r>
        <w:rPr>
          <w:rFonts w:ascii="Times New Roman" w:cs="Times New Roman" w:eastAsia="Times New Roman" w:hAnsi="Times New Roman"/>
          <w:b/>
          <w:bCs/>
          <w:sz w:val="22"/>
          <w:szCs w:val="22"/>
        </w:rPr>
        <w:t xml:space="preserve">Evidence and experimental provenance</w:t>
      </w:r>
    </w:p>
    <w:p>
      <w:pPr>
        <w:spacing w:after="110" w:line="252"/>
        <w:jc w:val="both"/>
      </w:pPr>
      <w:r>
        <w:rPr>
          <w:rFonts w:ascii="Times New Roman" w:cs="Times New Roman" w:eastAsia="Times New Roman" w:hAnsi="Times New Roman"/>
          <w:sz w:val="20"/>
          <w:szCs w:val="20"/>
        </w:rPr>
        <w:t xml:space="preserve">Numerical findings and visuals in this report were extracted from the supplied smart_waste_results.zip archive (model_comparison.csv, split.csv, per_class_report.csv, significance.csv, reject_option.csv, deployment_optimisation.csv and results/figures). The archive includes a trained MobileNetV3-Large checkpoint and an INT8 ONNX export. We checked cross-file consistency, but the underlying experiment was not independently rerun, and the ZIP does not contain the fully executed notebook, individual prediction screenshots or target smart-bin hardware logs. Laboratory CPU latency is not hardware-deployment evidence.</w:t>
      </w:r>
    </w:p>
    <w:p>
      <w:pPr>
        <w:pStyle w:val="Heading1"/>
        <w:keepNext/>
        <w:spacing w:after="120" w:before="240"/>
      </w:pPr>
      <w:r>
        <w:rPr>
          <w:rFonts w:ascii="Times New Roman" w:cs="Times New Roman" w:eastAsia="Times New Roman" w:hAnsi="Times New Roman"/>
          <w:b/>
          <w:bCs/>
          <w:sz w:val="26"/>
          <w:szCs w:val="26"/>
        </w:rPr>
        <w:t xml:space="preserve">1. INTRODUCTION</w:t>
      </w:r>
    </w:p>
    <w:p>
      <w:pPr>
        <w:pStyle w:val="Heading2"/>
        <w:keepNext/>
        <w:spacing w:after="80" w:before="160"/>
      </w:pPr>
      <w:r>
        <w:rPr>
          <w:rFonts w:ascii="Times New Roman" w:cs="Times New Roman" w:eastAsia="Times New Roman" w:hAnsi="Times New Roman"/>
          <w:b/>
          <w:bCs/>
          <w:sz w:val="22"/>
          <w:szCs w:val="22"/>
        </w:rPr>
        <w:t xml:space="preserve">1.1 Problem statement</w:t>
      </w:r>
    </w:p>
    <w:p>
      <w:pPr>
        <w:spacing w:after="110" w:line="252"/>
        <w:jc w:val="both"/>
      </w:pPr>
      <w:r>
        <w:rPr>
          <w:rFonts w:ascii="Times New Roman" w:cs="Times New Roman" w:eastAsia="Times New Roman" w:hAnsi="Times New Roman"/>
          <w:sz w:val="20"/>
          <w:szCs w:val="20"/>
        </w:rPr>
        <w:t xml:space="preserve">Mixed recyclable and residual waste reduces material recovery and increases reliance on time-consuming manual segregation. Manual inspection can also expose operators to sharp or contaminated objects. The research problem is to determine whether a single RGB photograph is sufficient to identify one visible waste item into a useful material category with a deep-learning model suitable for constrained smart-bin hardware.</w:t>
      </w:r>
    </w:p>
    <w:p>
      <w:pPr>
        <w:pStyle w:val="Heading2"/>
        <w:keepNext/>
        <w:spacing w:after="80" w:before="160"/>
      </w:pPr>
      <w:r>
        <w:rPr>
          <w:rFonts w:ascii="Times New Roman" w:cs="Times New Roman" w:eastAsia="Times New Roman" w:hAnsi="Times New Roman"/>
          <w:b/>
          <w:bCs/>
          <w:sz w:val="22"/>
          <w:szCs w:val="22"/>
        </w:rPr>
        <w:t xml:space="preserve">1.2 Objectives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Curate a six-class dataset while reducing leakage caused by duplicate or visually near-identical photographs.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Benchmark a classical hand-engineered baseline, a scratch CNN and three pretrained convolutional architectures.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Compare test accuracy, macro precision, macro recall, macro-F1 and confusion matrices using the same held-out data.</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Choose a candidate for edge use by validation macro-F1 under a fixed 2-GFLOP limit, rather than test accuracy alone.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Study error types, selective human review, Grad-CAM interpretability, CPU latency and ONNX/INT8 feasibility.</w:t>
      </w:r>
    </w:p>
    <w:p>
      <w:pPr>
        <w:pStyle w:val="Heading2"/>
        <w:keepNext/>
        <w:spacing w:after="80" w:before="160"/>
      </w:pPr>
      <w:r>
        <w:rPr>
          <w:rFonts w:ascii="Times New Roman" w:cs="Times New Roman" w:eastAsia="Times New Roman" w:hAnsi="Times New Roman"/>
          <w:b/>
          <w:bCs/>
          <w:sz w:val="22"/>
          <w:szCs w:val="22"/>
        </w:rPr>
        <w:t xml:space="preserve">1.3 Scope</w:t>
      </w:r>
    </w:p>
    <w:p>
      <w:pPr>
        <w:spacing w:after="110" w:line="252"/>
        <w:jc w:val="both"/>
      </w:pPr>
      <w:r>
        <w:rPr>
          <w:rFonts w:ascii="Times New Roman" w:cs="Times New Roman" w:eastAsia="Times New Roman" w:hAnsi="Times New Roman"/>
          <w:sz w:val="20"/>
          <w:szCs w:val="20"/>
        </w:rPr>
        <w:t xml:space="preserve">The classifier accepts one predominantly visible item in a 224 × 224 RGB image. Its label space is exactly cardboard, glass, metal, paper, plastic and residual trash. Organic, sanitary, hazardous, battery and electronic waste are not separately recognised. Mixed piles, full robotic sorting control and live on-device validation remain out of scope.</w:t>
      </w:r>
    </w:p>
    <w:p>
      <w:pPr>
        <w:pStyle w:val="Heading2"/>
        <w:keepNext/>
        <w:spacing w:after="80" w:before="160"/>
      </w:pPr>
      <w:r>
        <w:rPr>
          <w:rFonts w:ascii="Times New Roman" w:cs="Times New Roman" w:eastAsia="Times New Roman" w:hAnsi="Times New Roman"/>
          <w:b/>
          <w:bCs/>
          <w:sz w:val="22"/>
          <w:szCs w:val="22"/>
        </w:rPr>
        <w:t xml:space="preserve">1.4 Development across phases</w:t>
      </w:r>
    </w:p>
    <w:p>
      <w:pPr>
        <w:spacing w:after="110" w:line="252"/>
        <w:jc w:val="both"/>
      </w:pPr>
      <w:r>
        <w:rPr>
          <w:rFonts w:ascii="Times New Roman" w:cs="Times New Roman" w:eastAsia="Times New Roman" w:hAnsi="Times New Roman"/>
          <w:sz w:val="20"/>
          <w:szCs w:val="20"/>
        </w:rPr>
        <w:t xml:space="preserve">Phase 1 framed the waste-management problem and proposed a baseline CNN and lightweight transfer learning. Phase 2 developed the five-model PyTorch workflow and edge-aware evaluation criteria. Phase 3 now adds completed result files, class-level error analysis, confidence-based review, statistical comparisons and a documented deployment limitation from INT8 quantization.</w:t>
      </w:r>
    </w:p>
    <w:p>
      <w:pPr>
        <w:pStyle w:val="Heading1"/>
        <w:keepNext/>
        <w:pageBreakBefore/>
        <w:spacing w:after="120" w:before="240"/>
      </w:pPr>
      <w:r>
        <w:rPr>
          <w:rFonts w:ascii="Times New Roman" w:cs="Times New Roman" w:eastAsia="Times New Roman" w:hAnsi="Times New Roman"/>
          <w:b/>
          <w:bCs/>
          <w:sz w:val="26"/>
          <w:szCs w:val="26"/>
        </w:rPr>
        <w:t xml:space="preserve">2. DATASET AND SYSTEM DESIGN</w:t>
      </w:r>
    </w:p>
    <w:p>
      <w:pPr>
        <w:pStyle w:val="Heading2"/>
        <w:keepNext/>
        <w:spacing w:after="80" w:before="160"/>
      </w:pPr>
      <w:r>
        <w:rPr>
          <w:rFonts w:ascii="Times New Roman" w:cs="Times New Roman" w:eastAsia="Times New Roman" w:hAnsi="Times New Roman"/>
          <w:b/>
          <w:bCs/>
          <w:sz w:val="22"/>
          <w:szCs w:val="22"/>
        </w:rPr>
        <w:t xml:space="preserve">2.1 Dataset: TrashNet</w:t>
      </w:r>
    </w:p>
    <w:p>
      <w:pPr>
        <w:keepNext/>
        <w:spacing w:after="110" w:line="252"/>
        <w:jc w:val="both"/>
      </w:pPr>
      <w:r>
        <w:rPr>
          <w:rFonts w:ascii="Times New Roman" w:cs="Times New Roman" w:eastAsia="Times New Roman" w:hAnsi="Times New Roman"/>
          <w:sz w:val="20"/>
          <w:szCs w:val="20"/>
        </w:rPr>
        <w:t xml:space="preserve">The provided TrashNet split file confirms 2,521 cleaned records from the 2,527-source-image dataset (six contradictory duplicates removed); the original six raw class counts shown in Figure 1 remain the dataset reference.</w:t>
      </w:r>
    </w:p>
    <w:p>
      <w:pPr>
        <w:keepNext/>
        <w:spacing w:after="40" w:before="80"/>
        <w:jc w:val="center"/>
      </w:pPr>
      <w:r>
        <w:drawing>
          <wp:inline distT="0" distB="0" distL="0" distR="0">
            <wp:extent cx="4953000" cy="1914525"/>
            <wp:effectExtent t="0" r="0" b="0" l="0"/>
            <wp:docPr id="2" name="Bar chart of raw TrashNet class distribution" descr="Bar chart of raw TrashNet class distribution" title="Bar chart of raw TrashNet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14525"/>
                    </a:xfrm>
                    <a:prstGeom prst="rect">
                      <a:avLst/>
                    </a:prstGeom>
                  </pic:spPr>
                </pic:pic>
              </a:graphicData>
            </a:graphic>
          </wp:inline>
        </w:drawing>
      </w:r>
    </w:p>
    <w:p>
      <w:pPr>
        <w:keepLines/>
        <w:spacing w:after="200" w:before="60"/>
        <w:jc w:val="center"/>
      </w:pPr>
      <w:r>
        <w:rPr>
          <w:rFonts w:ascii="Times New Roman" w:cs="Times New Roman" w:eastAsia="Times New Roman" w:hAnsi="Times New Roman"/>
          <w:b/>
          <w:bCs/>
          <w:color w:val="4F81BD"/>
          <w:sz w:val="19"/>
          <w:szCs w:val="19"/>
        </w:rPr>
        <w:t xml:space="preserve">Figure 1. Raw class distribution reported in Phase 2. Total = 2,527; paper is the largest class (594 images) and residual trash the smallest (137 images).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8"/>
        <w:gridCol w:w="2208"/>
        <w:gridCol w:w="5520"/>
      </w:tblGrid>
      <w:tr>
        <w:trPr>
          <w:cantSplit/>
          <w:tblHeader/>
        </w:trPr>
        <w:tc>
          <w:tcPr>
            <w:tcW w:type="dxa" w:w="220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Category</w:t>
            </w:r>
          </w:p>
        </w:tc>
        <w:tc>
          <w:tcPr>
            <w:tcW w:type="dxa" w:w="220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Raw images</w:t>
            </w:r>
          </w:p>
        </w:tc>
        <w:tc>
          <w:tcPr>
            <w:tcW w:type="dxa" w:w="5520"/>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Example sorting stream</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403</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Glass</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501</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Metal</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410</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Paper</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594</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Plastic</w:t>
            </w:r>
          </w:p>
        </w:tc>
        <w:tc>
          <w:tcPr>
            <w:tcW w:type="dxa" w:w="220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482</w:t>
            </w:r>
          </w:p>
        </w:tc>
        <w:tc>
          <w:tcPr>
            <w:tcW w:type="dxa" w:w="552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Dry recyclable / material-specific</w:t>
            </w:r>
          </w:p>
        </w:tc>
      </w:tr>
      <w:tr>
        <w:trPr>
          <w:cantSplit/>
        </w:trPr>
        <w:tc>
          <w:tcPr>
            <w:tcW w:type="dxa" w:w="220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Trash</w:t>
            </w:r>
          </w:p>
        </w:tc>
        <w:tc>
          <w:tcPr>
            <w:tcW w:type="dxa" w:w="220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137</w:t>
            </w:r>
          </w:p>
        </w:tc>
        <w:tc>
          <w:tcPr>
            <w:tcW w:type="dxa" w:w="5520"/>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Residual / manual review</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2.2 Data integrity and split strategy</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Verify that images open correctly and discard corrupted items.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Remove exact duplicate files that appear under contradictory class labels.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Group near-identical photographs and keep each group entirely within one of train, validation or test.</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Target approximately 70% training, 15% validation and 15% held-out test, preserving label balance at group level.</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The uploaded split.csv verifies 2,521 records: 1,766 train (70.05%), 377 validation (14.95%) and 378 test (15.00%). Across 2,502 near-duplicate group identifiers, no group appears in more than one partition. This verifies the split bookkeeping in the provided archive, not every aspect of upstream preprocessing.</w:t>
      </w:r>
    </w:p>
    <w:p>
      <w:pPr>
        <w:pStyle w:val="Heading2"/>
        <w:keepNext/>
        <w:spacing w:after="80" w:before="160"/>
      </w:pPr>
      <w:r>
        <w:rPr>
          <w:rFonts w:ascii="Times New Roman" w:cs="Times New Roman" w:eastAsia="Times New Roman" w:hAnsi="Times New Roman"/>
          <w:b/>
          <w:bCs/>
          <w:sz w:val="22"/>
          <w:szCs w:val="22"/>
        </w:rPr>
        <w:t xml:space="preserve">2.3 Preprocessing and augmentation</w:t>
      </w:r>
    </w:p>
    <w:p>
      <w:pPr>
        <w:spacing w:after="110" w:line="252"/>
        <w:jc w:val="both"/>
      </w:pPr>
      <w:r>
        <w:rPr>
          <w:rFonts w:ascii="Times New Roman" w:cs="Times New Roman" w:eastAsia="Times New Roman" w:hAnsi="Times New Roman"/>
          <w:sz w:val="20"/>
          <w:szCs w:val="20"/>
        </w:rPr>
        <w:t xml:space="preserve">All models use the same image labels and evaluation partition. Neural inputs are resized to 224 × 224 RGB and normalized using ImageNet channel statistics. Training augmentation includes random resized crop, horizontal/vertical flips, ±15° rotations and colour jitter. Validation and test transformations should be deterministic and should not contain random augmentation.</w:t>
      </w:r>
    </w:p>
    <w:p>
      <w:pPr>
        <w:pStyle w:val="Heading2"/>
        <w:keepNext/>
        <w:spacing w:after="80" w:before="160"/>
      </w:pPr>
      <w:r>
        <w:rPr>
          <w:rFonts w:ascii="Times New Roman" w:cs="Times New Roman" w:eastAsia="Times New Roman" w:hAnsi="Times New Roman"/>
          <w:b/>
          <w:bCs/>
          <w:sz w:val="22"/>
          <w:szCs w:val="22"/>
        </w:rPr>
        <w:t xml:space="preserve">2.4 End-to-end system overview</w:t>
      </w:r>
    </w:p>
    <w:p>
      <w:pPr>
        <w:keepNext/>
        <w:spacing w:after="40" w:before="80"/>
        <w:jc w:val="center"/>
      </w:pPr>
      <w:r>
        <w:drawing>
          <wp:inline distT="0" distB="0" distL="0" distR="0">
            <wp:extent cx="4762500" cy="1752600"/>
            <wp:effectExtent t="0" r="0" b="0" l="0"/>
            <wp:docPr id="3" name="Evaluation workflow diagram" descr="Evaluation workflow diagram" title="Evaluat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52600"/>
                    </a:xfrm>
                    <a:prstGeom prst="rect">
                      <a:avLst/>
                    </a:prstGeom>
                  </pic:spPr>
                </pic:pic>
              </a:graphicData>
            </a:graphic>
          </wp:inline>
        </w:drawing>
      </w:r>
    </w:p>
    <w:p>
      <w:pPr>
        <w:keepLines/>
        <w:spacing w:after="200" w:before="60"/>
        <w:jc w:val="center"/>
      </w:pPr>
      <w:r>
        <w:rPr>
          <w:rFonts w:ascii="Times New Roman" w:cs="Times New Roman" w:eastAsia="Times New Roman" w:hAnsi="Times New Roman"/>
          <w:b/>
          <w:bCs/>
          <w:color w:val="4F81BD"/>
          <w:sz w:val="19"/>
          <w:szCs w:val="19"/>
        </w:rPr>
        <w:t xml:space="preserve">Figure 2. Implemented evaluation workflow: image audit, group-constrained splitting, model training, validation-based selection, final held-out testing and deployment analysis.</w:t>
      </w:r>
    </w:p>
    <w:p>
      <w:pPr>
        <w:pStyle w:val="Heading1"/>
        <w:keepNext/>
        <w:spacing w:after="120" w:before="240"/>
      </w:pPr>
      <w:r>
        <w:rPr>
          <w:rFonts w:ascii="Times New Roman" w:cs="Times New Roman" w:eastAsia="Times New Roman" w:hAnsi="Times New Roman"/>
          <w:b/>
          <w:bCs/>
          <w:sz w:val="26"/>
          <w:szCs w:val="26"/>
        </w:rPr>
        <w:t xml:space="preserve">3. MODEL ARCHITECTURES AND TRAINING</w:t>
      </w:r>
    </w:p>
    <w:p>
      <w:pPr>
        <w:pStyle w:val="Heading2"/>
        <w:keepNext/>
        <w:spacing w:after="80" w:before="160"/>
      </w:pPr>
      <w:r>
        <w:rPr>
          <w:rFonts w:ascii="Times New Roman" w:cs="Times New Roman" w:eastAsia="Times New Roman" w:hAnsi="Times New Roman"/>
          <w:b/>
          <w:bCs/>
          <w:sz w:val="22"/>
          <w:szCs w:val="22"/>
        </w:rPr>
        <w:t xml:space="preserve">3.1 Models under comparison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77"/>
        <w:gridCol w:w="5175"/>
        <w:gridCol w:w="2484"/>
      </w:tblGrid>
      <w:tr>
        <w:trPr>
          <w:cantSplit/>
          <w:tblHeader/>
        </w:trPr>
        <w:tc>
          <w:tcPr>
            <w:tcW w:type="dxa" w:w="2277"/>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517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Key architectural idea</w:t>
            </w:r>
          </w:p>
        </w:tc>
        <w:tc>
          <w:tcPr>
            <w:tcW w:type="dxa" w:w="248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Role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Handcrafted HOG shape, HSV colour, LBP texture; scaled PCA and RBF-SVM</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Classical baseline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Five Conv–BatchNorm–ReLU–MaxPool stages and six-class head</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Deep learning baseline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residual network, six-class final head</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Higher-compute reference</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517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mobile-focused architecture</w:t>
            </w:r>
          </w:p>
        </w:tc>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Edge candidate</w:t>
            </w:r>
          </w:p>
        </w:tc>
      </w:tr>
      <w:tr>
        <w:trPr>
          <w:cantSplit/>
        </w:trPr>
        <w:tc>
          <w:tcPr>
            <w:tcW w:type="dxa" w:w="2277"/>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517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Pretrained MBConv-based efficient architecture</w:t>
            </w:r>
          </w:p>
        </w:tc>
        <w:tc>
          <w:tcPr>
            <w:tcW w:type="dxa" w:w="248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Edge candidate</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3.2 Hyperparameters described in Phase 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77"/>
        <w:gridCol w:w="7659"/>
      </w:tblGrid>
      <w:tr>
        <w:trPr>
          <w:cantSplit/>
          <w:tblHeader/>
        </w:trPr>
        <w:tc>
          <w:tcPr>
            <w:tcW w:type="dxa" w:w="2277"/>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Parameter</w:t>
            </w:r>
          </w:p>
        </w:tc>
        <w:tc>
          <w:tcPr>
            <w:tcW w:type="dxa" w:w="7659"/>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Configuration</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Optimizer</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AdamW (neural models); RBF-SVM validation search C = 1, 10, 100</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Loss</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Class-weighted cross-entropy; label smoothing = 0.10</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Learning rate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Scratch/head: 1e-3; fine-tuned pretrained backbone: 1e-4</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Batch size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32</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Training plan</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Scratch: up to 30 epochs. Transfer: 2 frozen-head warm-up + up to 15 fine-tuning epochs.</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Regularization</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Weight decay 0.01, dropout 0.30, augmentation</w:t>
            </w:r>
          </w:p>
        </w:tc>
      </w:tr>
      <w:tr>
        <w:trPr>
          <w:cantSplit/>
        </w:trPr>
        <w:tc>
          <w:tcPr>
            <w:tcW w:type="dxa" w:w="2277"/>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Checkpoint choice</w:t>
            </w:r>
          </w:p>
        </w:tc>
        <w:tc>
          <w:tcPr>
            <w:tcW w:type="dxa" w:w="765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Highest validation macro-F1; early stopping patience 8 scratch / 5 transfer</w:t>
            </w:r>
          </w:p>
        </w:tc>
      </w:tr>
      <w:tr>
        <w:trPr>
          <w:cantSplit/>
        </w:trPr>
        <w:tc>
          <w:tcPr>
            <w:tcW w:type="dxa" w:w="2277"/>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Efficiency</w:t>
            </w:r>
          </w:p>
        </w:tc>
        <w:tc>
          <w:tcPr>
            <w:tcW w:type="dxa" w:w="7659"/>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Mixed precision with GPU where available; measure FLOPs and CPU latency</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3.3 Leakage and reproducibility controls</w:t>
      </w:r>
    </w:p>
    <w:p>
      <w:pPr>
        <w:spacing w:after="110" w:line="252"/>
        <w:jc w:val="both"/>
      </w:pPr>
      <w:r>
        <w:rPr>
          <w:rFonts w:ascii="Times New Roman" w:cs="Times New Roman" w:eastAsia="Times New Roman" w:hAnsi="Times New Roman"/>
          <w:sz w:val="20"/>
          <w:szCs w:val="20"/>
        </w:rPr>
        <w:t xml:space="preserve">Use a fixed random seed (42), group-constrained splitting before augmentation, training-only loss weights and validation-only hyperparameter tuning. Do not inspect or optimize against the final held-out test labels when choosing the model or the confidence threshold. Record Python/PyTorch/CUDA versions, hardware, train sizes, test sample counts and checkpoint IDs with the scores.</w:t>
      </w:r>
    </w:p>
    <w:p>
      <w:pPr>
        <w:pStyle w:val="Heading1"/>
        <w:keepNext/>
        <w:pageBreakBefore/>
        <w:spacing w:after="120" w:before="240"/>
      </w:pPr>
      <w:r>
        <w:rPr>
          <w:rFonts w:ascii="Times New Roman" w:cs="Times New Roman" w:eastAsia="Times New Roman" w:hAnsi="Times New Roman"/>
          <w:b/>
          <w:bCs/>
          <w:sz w:val="26"/>
          <w:szCs w:val="26"/>
        </w:rPr>
        <w:t xml:space="preserve">4. EXPERIMENTAL EVALUATION AND SELECTION</w:t>
      </w:r>
    </w:p>
    <w:p>
      <w:pPr>
        <w:pStyle w:val="Heading2"/>
        <w:keepNext/>
        <w:spacing w:after="80" w:before="160"/>
      </w:pPr>
      <w:r>
        <w:rPr>
          <w:rFonts w:ascii="Times New Roman" w:cs="Times New Roman" w:eastAsia="Times New Roman" w:hAnsi="Times New Roman"/>
          <w:b/>
          <w:bCs/>
          <w:sz w:val="22"/>
          <w:szCs w:val="22"/>
        </w:rPr>
        <w:t xml:space="preserve">4.1 Evaluation indicators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Accuracy: fraction of correct test predictions across all images.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 precision: unweighted average of class-specific precision across all six labels.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 recall: unweighted average of class-specific recall; useful for class imbalance.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Macro-F1: unweighted mean of six class F1 scores and primary validation selection metric.</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Confusion matrix: actual class by predicted class; reveals material-specific error patterns.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CPU latency, parameter count, approximate FLOPs, uncertainty rejection rate and ONNX/INT8 changes: deployment indicators.</w:t>
      </w:r>
    </w:p>
    <w:p>
      <w:pPr>
        <w:pStyle w:val="Heading2"/>
        <w:keepNext/>
        <w:spacing w:after="80" w:before="160"/>
      </w:pPr>
      <w:r>
        <w:rPr>
          <w:rFonts w:ascii="Times New Roman" w:cs="Times New Roman" w:eastAsia="Times New Roman" w:hAnsi="Times New Roman"/>
          <w:b/>
          <w:bCs/>
          <w:sz w:val="22"/>
          <w:szCs w:val="22"/>
        </w:rPr>
        <w:t xml:space="preserve">4.2 Model selection rule</w:t>
      </w:r>
    </w:p>
    <w:p>
      <w:pPr>
        <w:spacing w:after="110" w:line="252"/>
        <w:jc w:val="both"/>
      </w:pPr>
      <w:r>
        <w:rPr>
          <w:rFonts w:ascii="Times New Roman" w:cs="Times New Roman" w:eastAsia="Times New Roman" w:hAnsi="Times New Roman"/>
          <w:sz w:val="20"/>
          <w:szCs w:val="20"/>
        </w:rPr>
        <w:t xml:space="preserve">Among trained neural candidate models with measured computational cost strictly within the 2-GFLOP budget, select the architecture with highest validation macro-F1. Evaluate the locked candidate on the untouched test set. Retain ResNet-50 as a reference if it breaches the budget; do not call it edge-compatible without a verified compute measurement.</w:t>
      </w:r>
    </w:p>
    <w:p>
      <w:pPr>
        <w:pStyle w:val="Heading2"/>
        <w:keepNext/>
        <w:spacing w:after="80" w:before="160"/>
      </w:pPr>
      <w:r>
        <w:rPr>
          <w:rFonts w:ascii="Times New Roman" w:cs="Times New Roman" w:eastAsia="Times New Roman" w:hAnsi="Times New Roman"/>
          <w:b/>
          <w:bCs/>
          <w:sz w:val="22"/>
          <w:szCs w:val="22"/>
        </w:rPr>
        <w:t xml:space="preserve">4.3 Statistical and operational analysis</w:t>
      </w:r>
    </w:p>
    <w:p>
      <w:pPr>
        <w:spacing w:after="110" w:line="252"/>
        <w:jc w:val="both"/>
      </w:pPr>
      <w:r>
        <w:rPr>
          <w:rFonts w:ascii="Times New Roman" w:cs="Times New Roman" w:eastAsia="Times New Roman" w:hAnsi="Times New Roman"/>
          <w:sz w:val="20"/>
          <w:szCs w:val="20"/>
        </w:rPr>
        <w:t xml:space="preserve">Where supported, add bootstrap 95% confidence intervals for test accuracy and macro-F1, paired McNemar tests for competing classifiers, confusion-matrix review, and an analysis of sorting mistakes. Compute confidence-threshold coverage (fraction automatically handled) and error on accepted images using a threshold tuned only on validation predictions. Real-time performance claims require a measured target-device benchmark.</w:t>
      </w:r>
    </w:p>
    <w:p>
      <w:pPr>
        <w:pStyle w:val="Heading1"/>
        <w:keepNext/>
        <w:pageBreakBefore/>
        <w:spacing w:after="120" w:before="240"/>
      </w:pPr>
      <w:r>
        <w:rPr>
          <w:rFonts w:ascii="Times New Roman" w:cs="Times New Roman" w:eastAsia="Times New Roman" w:hAnsi="Times New Roman"/>
          <w:b/>
          <w:bCs/>
          <w:sz w:val="26"/>
          <w:szCs w:val="26"/>
        </w:rPr>
        <w:t xml:space="preserve">5. RESULTS, ANALYSIS AND FINDINGS</w:t>
      </w:r>
    </w:p>
    <w:p>
      <w:pPr>
        <w:pStyle w:val="Heading2"/>
        <w:keepNext/>
        <w:spacing w:after="80" w:before="160"/>
      </w:pPr>
      <w:r>
        <w:rPr>
          <w:rFonts w:ascii="Times New Roman" w:cs="Times New Roman" w:eastAsia="Times New Roman" w:hAnsi="Times New Roman"/>
          <w:b/>
          <w:bCs/>
          <w:sz w:val="22"/>
          <w:szCs w:val="22"/>
        </w:rPr>
        <w:t xml:space="preserve">5.1 Results evidence ledger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81"/>
        <w:gridCol w:w="4372"/>
        <w:gridCol w:w="2583"/>
      </w:tblGrid>
      <w:tr>
        <w:trPr>
          <w:cantSplit/>
          <w:tblHeader/>
        </w:trPr>
        <w:tc>
          <w:tcPr>
            <w:tcW w:type="dxa" w:w="2981"/>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Result</w:t>
            </w:r>
          </w:p>
        </w:tc>
        <w:tc>
          <w:tcPr>
            <w:tcW w:type="dxa" w:w="4372"/>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Source-grounded observation</w:t>
            </w:r>
          </w:p>
        </w:tc>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Status</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Cleaned and split image count</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2,521 total; 1,766 train / 377 validation / 378 test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Verified from split.csv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Cross-split near-duplicate groups</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 of 2,502 groups shared across partitions</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Verified from split.csv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Five-model benchmark</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Completed: SVM, scratch CNN, ResNet-50, MobileNetV3, EfficientNet-B0</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model_comparison.csv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model</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MobileNetV3-Large (under 2-GFLOP limit)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results_summary.md</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held-out accuracy</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 95% bootstrap CI 92.1–96.6%</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model_comparison / significance</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Selected macro precision / recall / F1</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0.928 / 0.953 / 0.938</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per_class_report.csv</w:t>
            </w:r>
          </w:p>
        </w:tc>
      </w:tr>
      <w:tr>
        <w:trPr>
          <w:cantSplit/>
        </w:trPr>
        <w:tc>
          <w:tcPr>
            <w:tcW w:type="dxa" w:w="298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Training curves / confusion / Grad-CAM</w:t>
            </w:r>
          </w:p>
        </w:tc>
        <w:tc>
          <w:tcPr>
            <w:tcW w:type="dxa" w:w="437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Generated PNG outputs present</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figures/</w:t>
            </w:r>
          </w:p>
        </w:tc>
      </w:tr>
      <w:tr>
        <w:trPr>
          <w:cantSplit/>
        </w:trPr>
        <w:tc>
          <w:tcPr>
            <w:tcW w:type="dxa" w:w="2981"/>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 INT8 results</w:t>
            </w:r>
          </w:p>
        </w:tc>
        <w:tc>
          <w:tcPr>
            <w:tcW w:type="dxa" w:w="4372"/>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21.66 ms FP32; INT8 test accuracy 51.59%</w:t>
            </w:r>
          </w:p>
        </w:tc>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deployment_optimisation.csv</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5.2 Comparative held-out test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14"/>
        <w:gridCol w:w="1579"/>
        <w:gridCol w:w="1671"/>
        <w:gridCol w:w="1486"/>
        <w:gridCol w:w="1300"/>
        <w:gridCol w:w="1486"/>
      </w:tblGrid>
      <w:tr>
        <w:trPr>
          <w:cantSplit/>
          <w:tblHeader/>
        </w:trPr>
        <w:tc>
          <w:tcPr>
            <w:tcW w:type="dxa" w:w="241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1579"/>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accuracy</w:t>
            </w:r>
          </w:p>
        </w:tc>
        <w:tc>
          <w:tcPr>
            <w:tcW w:type="dxa" w:w="1671"/>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 precision</w:t>
            </w:r>
          </w:p>
        </w:tc>
        <w:tc>
          <w:tcPr>
            <w:tcW w:type="dxa" w:w="1486"/>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 recall</w:t>
            </w:r>
          </w:p>
        </w:tc>
        <w:tc>
          <w:tcPr>
            <w:tcW w:type="dxa" w:w="1300"/>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w:t>
            </w:r>
          </w:p>
        </w:tc>
        <w:tc>
          <w:tcPr>
            <w:tcW w:type="dxa" w:w="1486"/>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latency</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75.13%</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0.733</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0.752</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0.740</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15.9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75.66%</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0.749</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0.775</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0.740</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41.1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0.922</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0.945</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0.929</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122.3 ms</w:t>
            </w:r>
          </w:p>
        </w:tc>
      </w:tr>
      <w:tr>
        <w:trPr>
          <w:cantSplit/>
        </w:trPr>
        <w:tc>
          <w:tcPr>
            <w:tcW w:type="dxa" w:w="241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1579"/>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671"/>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0.928</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0.953</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c>
          <w:tcPr>
            <w:tcW w:type="dxa" w:w="1486"/>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21.7 ms</w:t>
            </w:r>
          </w:p>
        </w:tc>
      </w:tr>
      <w:tr>
        <w:trPr>
          <w:cantSplit/>
        </w:trPr>
        <w:tc>
          <w:tcPr>
            <w:tcW w:type="dxa" w:w="241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1579"/>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92.59%</w:t>
            </w:r>
          </w:p>
        </w:tc>
        <w:tc>
          <w:tcPr>
            <w:tcW w:type="dxa" w:w="1671"/>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w:t>
            </w:r>
          </w:p>
        </w:tc>
        <w:tc>
          <w:tcPr>
            <w:tcW w:type="dxa" w:w="1486"/>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0.929</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0.917</w:t>
            </w:r>
          </w:p>
        </w:tc>
        <w:tc>
          <w:tcPr>
            <w:tcW w:type="dxa" w:w="1486"/>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35.8 ms</w:t>
            </w:r>
          </w:p>
        </w:tc>
      </w:tr>
    </w:tbl>
    <w:p>
      <w:pPr>
        <w:spacing w:after="80"/>
      </w:pPr>
    </w:p>
    <w:p>
      <w:pPr>
        <w:spacing w:after="110" w:line="252"/>
        <w:jc w:val="both"/>
      </w:pPr>
      <w:r>
        <w:rPr>
          <w:rFonts w:ascii="Times New Roman" w:cs="Times New Roman" w:eastAsia="Times New Roman" w:hAnsi="Times New Roman"/>
          <w:sz w:val="20"/>
          <w:szCs w:val="20"/>
        </w:rPr>
        <w:t xml:space="preserve">The five-model summary above was read from model_comparison.csv. All accuracy and macro-F1 results are measured on the common held-out test set (n = 378). MobileNetV3-Large and ResNet-50 both correctly classified 357 of 378 test images; MobileNetV3-Large has the higher macro F1-score and complies with the 2-GFLOP budget.</w:t>
      </w:r>
    </w:p>
    <w:p>
      <w:pPr>
        <w:pStyle w:val="Heading2"/>
        <w:keepNext/>
        <w:spacing w:after="80" w:before="160"/>
      </w:pPr>
      <w:r>
        <w:rPr>
          <w:rFonts w:ascii="Times New Roman" w:cs="Times New Roman" w:eastAsia="Times New Roman" w:hAnsi="Times New Roman"/>
          <w:b/>
          <w:bCs/>
          <w:sz w:val="22"/>
          <w:szCs w:val="22"/>
        </w:rPr>
        <w:t xml:space="preserve">5.3 Per-class results: selected MobileNetV3-Large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1863"/>
        <w:gridCol w:w="1863"/>
        <w:gridCol w:w="1863"/>
        <w:gridCol w:w="1863"/>
      </w:tblGrid>
      <w:tr>
        <w:trPr>
          <w:cantSplit/>
          <w:tblHeader/>
        </w:trPr>
        <w:tc>
          <w:tcPr>
            <w:tcW w:type="dxa" w:w="248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Class</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Precision</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Recall</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F1</w:t>
            </w:r>
          </w:p>
        </w:tc>
        <w:tc>
          <w:tcPr>
            <w:tcW w:type="dxa" w:w="186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support</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0.959</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61</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glass</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0.973</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75</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metal</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0.935</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61</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paper</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0.964</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0.936</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89</w:t>
            </w:r>
          </w:p>
        </w:tc>
      </w:tr>
      <w:tr>
        <w:trPr>
          <w:cantSplit/>
        </w:trPr>
        <w:tc>
          <w:tcPr>
            <w:tcW w:type="dxa" w:w="248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plastic</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0.957</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0.931</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0.944</w:t>
            </w:r>
          </w:p>
        </w:tc>
        <w:tc>
          <w:tcPr>
            <w:tcW w:type="dxa" w:w="186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72</w:t>
            </w:r>
          </w:p>
        </w:tc>
      </w:tr>
      <w:tr>
        <w:trPr>
          <w:cantSplit/>
        </w:trPr>
        <w:tc>
          <w:tcPr>
            <w:tcW w:type="dxa" w:w="248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trash</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0.800</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1.000</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0.889</w:t>
            </w:r>
          </w:p>
        </w:tc>
        <w:tc>
          <w:tcPr>
            <w:tcW w:type="dxa" w:w="186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20</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5.4 Observed confusion, uncertainty and computational findings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Training-curve panels are included in Appendix B for all four neural models. They document training/validation trends rather than substitute for held-out evaluation.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selected-model confusion matrix reports 21 errors: the largest individual off-diagonal entry is plastic classified as metal (4 images); paper classified as trash also occurs 4 times, followed by cardboard classified as paper (3 images).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Residual trash achieved 20/20 test recall (100%), but precision was 0.80 because 5 recyclable images were incorrectly predicted as trash. The minority-class sample is small; this is not proof of faultless trash detection.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selected architecture requires 4.210 million parameters, 0.431 GFLOPs and 21.66 ms per inference on the supplied single-thread CPU benchmark, versus ResNet-50 at 23.52 million parameters, 8.174 GFLOPs and 122.26 ms.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With validation-chosen confidence threshold 0.90, 106 of 378 test images (28.0%) are automatically accepted at 100.0% accepted accuracy; 272 are referred for manual sorting. This 106/106 observation is not a general safety guarantee.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Static INT8 reduced the ONNX artifact to 4.884 MB and reported 18.55 ms CPU latency, but test accuracy collapsed to 51.59% from 94.44% in PyTorch FP32. ONNX FP32 matched accuracy at 8.97 ms in the supplied table, but its 0.34 MB file entry is not independently verified as a standalone weight-complete export; that artifact is absent from the ZIP.</w:t>
      </w:r>
    </w:p>
    <w:p>
      <w:pPr>
        <w:pStyle w:val="Heading2"/>
        <w:keepNext/>
        <w:spacing w:after="80" w:before="160"/>
      </w:pPr>
      <w:r>
        <w:rPr>
          <w:rFonts w:ascii="Times New Roman" w:cs="Times New Roman" w:eastAsia="Times New Roman" w:hAnsi="Times New Roman"/>
          <w:b/>
          <w:bCs/>
          <w:sz w:val="22"/>
          <w:szCs w:val="22"/>
        </w:rPr>
        <w:t xml:space="preserve">5.5 Key findings supported by executed outputs</w:t>
      </w:r>
    </w:p>
    <w:p>
      <w:pPr>
        <w:spacing w:after="110" w:line="252"/>
        <w:jc w:val="both"/>
      </w:pPr>
      <w:r>
        <w:rPr>
          <w:rFonts w:ascii="Times New Roman" w:cs="Times New Roman" w:eastAsia="Times New Roman" w:hAnsi="Times New Roman"/>
          <w:sz w:val="20"/>
          <w:szCs w:val="20"/>
        </w:rPr>
        <w:t xml:space="preserve">Transfer learning substantially improved generalisation: MobileNetV3-Large achieved 94.44% accuracy versus 75.66% for scratch CNN and 75.13% for HOG + SVM. Compared with scratch CNN, the increase is 18.78 percentage points. ResNet-50 matched MobileNetV3-Large accuracy; exact paired McNemar p = 1.000, with a similar result for EfficientNet-B0 (p = 0.2295). Selection was based on validation macro-F1 under the 2-GFLOP constraint, not a statistically proven superiority over all architectures. The selected network recorded 0.0% residual-trash contamination among items routed to recycling, 1.4% recyclable loss into residual waste, and 4.5% cross-material misroutes on the supplied evaluation; these are dataset estimates, not measured waste-facility outcomes.</w:t>
      </w:r>
    </w:p>
    <w:p>
      <w:pPr>
        <w:pStyle w:val="Heading2"/>
        <w:keepNext/>
        <w:spacing w:after="80" w:before="160"/>
      </w:pPr>
      <w:r>
        <w:rPr>
          <w:rFonts w:ascii="Times New Roman" w:cs="Times New Roman" w:eastAsia="Times New Roman" w:hAnsi="Times New Roman"/>
          <w:b/>
          <w:bCs/>
          <w:sz w:val="22"/>
          <w:szCs w:val="22"/>
        </w:rPr>
        <w:t xml:space="preserve">5.6 Dataset split and statistical comparison</w:t>
      </w:r>
    </w:p>
    <w:p>
      <w:pPr>
        <w:keepNext/>
        <w:spacing w:after="110" w:line="252"/>
        <w:jc w:val="both"/>
      </w:pPr>
      <w:r>
        <w:rPr>
          <w:rFonts w:ascii="Times New Roman" w:cs="Times New Roman" w:eastAsia="Times New Roman" w:hAnsi="Times New Roman"/>
          <w:sz w:val="20"/>
          <w:szCs w:val="20"/>
        </w:rPr>
        <w:t xml:space="preserve">The cleaned dataset includes 403 cardboard, 498 glass, 409 metal, 594 paper, 480 plastic and 137 trash records. The 378-image test subset contains 61, 75, 61, 89, 72 and 20 images respectively. Confidence intervals below are the bootstrap results recorded in significance.csv; McNemar tests compare each rival against MobileNetV3-Large.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2385"/>
        <w:gridCol w:w="2385"/>
        <w:gridCol w:w="2583"/>
      </w:tblGrid>
      <w:tr>
        <w:trPr>
          <w:cantSplit/>
          <w:tblHeader/>
        </w:trPr>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Model</w:t>
            </w:r>
          </w:p>
        </w:tc>
        <w:tc>
          <w:tcPr>
            <w:tcW w:type="dxa" w:w="238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Accuracy 95% CI</w:t>
            </w:r>
          </w:p>
        </w:tc>
        <w:tc>
          <w:tcPr>
            <w:tcW w:type="dxa" w:w="2385"/>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 95% CI</w:t>
            </w:r>
          </w:p>
        </w:tc>
        <w:tc>
          <w:tcPr>
            <w:tcW w:type="dxa" w:w="258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McNemar p vs selected</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HOG + SVM</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0.706 to 0.794</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0.690 to 0.785</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&lt;0.001</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Scratch CNN</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0.712 to 0.799</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0.692 to 0.784</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&lt;0.001</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ResNet-50</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0.923 to 0.966</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0.899 to 0.957</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1.000</w:t>
            </w:r>
          </w:p>
        </w:tc>
      </w:tr>
      <w:tr>
        <w:trPr>
          <w:cantSplit/>
        </w:trPr>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MobileNetV3-Large</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0.921 to 0.966</w:t>
            </w:r>
          </w:p>
        </w:tc>
        <w:tc>
          <w:tcPr>
            <w:tcW w:type="dxa" w:w="2385"/>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0.910 to 0.963</w:t>
            </w:r>
          </w:p>
        </w:tc>
        <w:tc>
          <w:tcPr>
            <w:tcW w:type="dxa" w:w="258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reference</w:t>
            </w:r>
          </w:p>
        </w:tc>
      </w:tr>
      <w:tr>
        <w:trPr>
          <w:cantSplit/>
        </w:trPr>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EfficientNet-B0</w:t>
            </w:r>
          </w:p>
        </w:tc>
        <w:tc>
          <w:tcPr>
            <w:tcW w:type="dxa" w:w="238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0.899 to 0.950</w:t>
            </w:r>
          </w:p>
        </w:tc>
        <w:tc>
          <w:tcPr>
            <w:tcW w:type="dxa" w:w="2385"/>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0.885 to 0.945</w:t>
            </w:r>
          </w:p>
        </w:tc>
        <w:tc>
          <w:tcPr>
            <w:tcW w:type="dxa" w:w="258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0.230</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5.7 Deployment optimization and confidence-based review</w:t>
      </w:r>
    </w:p>
    <w:p>
      <w:pPr>
        <w:keepNext/>
        <w:spacing w:after="110" w:line="252"/>
        <w:jc w:val="both"/>
      </w:pPr>
      <w:r>
        <w:rPr>
          <w:rFonts w:ascii="Times New Roman" w:cs="Times New Roman" w:eastAsia="Times New Roman" w:hAnsi="Times New Roman"/>
          <w:sz w:val="20"/>
          <w:szCs w:val="20"/>
        </w:rPr>
        <w:t xml:space="preserve">The size/speed trade-off is not sufficient to justify an INT8 deployment: despite the smaller exported file, the quantized model suffers a 42.86-percentage-point drop in held-out accuracy. The FP32 ONNX figure is retained for completeness, but its unexpectedly small 0.34 MB reported file size should be investigated alongside the absent FP32 ONNX artifact before treating it as a standalone deployment deliverable.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33"/>
        <w:gridCol w:w="1753"/>
        <w:gridCol w:w="1753"/>
        <w:gridCol w:w="2143"/>
        <w:gridCol w:w="1754"/>
      </w:tblGrid>
      <w:tr>
        <w:trPr>
          <w:cantSplit/>
          <w:tblHeader/>
        </w:trPr>
        <w:tc>
          <w:tcPr>
            <w:tcW w:type="dxa" w:w="253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Format</w:t>
            </w:r>
          </w:p>
        </w:tc>
        <w:tc>
          <w:tcPr>
            <w:tcW w:type="dxa" w:w="175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Size (MB)</w:t>
            </w:r>
          </w:p>
        </w:tc>
        <w:tc>
          <w:tcPr>
            <w:tcW w:type="dxa" w:w="175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CPU (ms)</w:t>
            </w:r>
          </w:p>
        </w:tc>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Test accuracy</w:t>
            </w:r>
          </w:p>
        </w:tc>
        <w:tc>
          <w:tcPr>
            <w:tcW w:type="dxa" w:w="1754"/>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Macro-F1</w:t>
            </w:r>
          </w:p>
        </w:tc>
      </w:tr>
      <w:tr>
        <w:trPr>
          <w:cantSplit/>
        </w:trPr>
        <w:tc>
          <w:tcPr>
            <w:tcW w:type="dxa" w:w="253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PyTorch FP32</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17.04</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21.66</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75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r>
      <w:tr>
        <w:trPr>
          <w:cantSplit/>
        </w:trPr>
        <w:tc>
          <w:tcPr>
            <w:tcW w:type="dxa" w:w="253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ONNX FP32</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0.34</w:t>
            </w:r>
          </w:p>
        </w:tc>
        <w:tc>
          <w:tcPr>
            <w:tcW w:type="dxa" w:w="175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8.97</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94.44%</w:t>
            </w:r>
          </w:p>
        </w:tc>
        <w:tc>
          <w:tcPr>
            <w:tcW w:type="dxa" w:w="1754"/>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0.938</w:t>
            </w:r>
          </w:p>
        </w:tc>
      </w:tr>
      <w:tr>
        <w:trPr>
          <w:cantSplit/>
        </w:trPr>
        <w:tc>
          <w:tcPr>
            <w:tcW w:type="dxa" w:w="253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ONNX INT8</w:t>
            </w:r>
          </w:p>
        </w:tc>
        <w:tc>
          <w:tcPr>
            <w:tcW w:type="dxa" w:w="175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4.88</w:t>
            </w:r>
          </w:p>
        </w:tc>
        <w:tc>
          <w:tcPr>
            <w:tcW w:type="dxa" w:w="175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18.55</w:t>
            </w:r>
          </w:p>
        </w:tc>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51.59%</w:t>
            </w:r>
          </w:p>
        </w:tc>
        <w:tc>
          <w:tcPr>
            <w:tcW w:type="dxa" w:w="1754"/>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0.497</w:t>
            </w:r>
          </w:p>
        </w:tc>
      </w:tr>
    </w:tbl>
    <w:p>
      <w:pPr>
        <w:spacing w:after="80"/>
      </w:pPr>
    </w:p>
    <w:p>
      <w:pPr>
        <w:spacing w:after="110" w:line="252"/>
        <w:jc w:val="both"/>
      </w:pPr>
      <w:r>
        <w:rPr>
          <w:rFonts w:ascii="Times New Roman" w:cs="Times New Roman" w:eastAsia="Times New Roman" w:hAnsi="Times New Roman"/>
          <w:sz w:val="20"/>
          <w:szCs w:val="20"/>
        </w:rPr>
        <w:t xml:space="preserve">At the validation-chosen 0.90 threshold, validation acceptance is 28.9% and test acceptance is 28.0%; all 106 accepted test images were correctly classified, while 272 images remain for manual review. This is a limited-data selective prediction result, not a guarantee of perfect sorting on unseen environmental conditions.</w:t>
      </w:r>
    </w:p>
    <w:p>
      <w:pPr>
        <w:pStyle w:val="Heading2"/>
        <w:keepNext/>
        <w:spacing w:after="80" w:before="160"/>
      </w:pPr>
      <w:r>
        <w:rPr>
          <w:rFonts w:ascii="Times New Roman" w:cs="Times New Roman" w:eastAsia="Times New Roman" w:hAnsi="Times New Roman"/>
          <w:b/>
          <w:bCs/>
          <w:sz w:val="22"/>
          <w:szCs w:val="22"/>
        </w:rPr>
        <w:t xml:space="preserve">5.8 Visual experiment outputs</w:t>
      </w:r>
    </w:p>
    <w:p>
      <w:pPr>
        <w:keepNext w:val="false"/>
        <w:spacing w:after="40" w:before="80"/>
        <w:jc w:val="center"/>
      </w:pPr>
      <w:r>
        <w:drawing>
          <wp:inline distT="0" distB="0" distL="0" distR="0">
            <wp:extent cx="5715000" cy="4324350"/>
            <wp:effectExtent t="0" r="0" b="0" l="0"/>
            <wp:docPr id="4" name="Figures 3 and 4: model comparison charts and confusion matrices" descr="Figures 3 and 4: model comparison charts and confusion matrices" title="Figures 3 and 4: model comparison charts and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24350"/>
                    </a:xfrm>
                    <a:prstGeom prst="rect">
                      <a:avLst/>
                    </a:prstGeom>
                  </pic:spPr>
                </pic:pic>
              </a:graphicData>
            </a:graphic>
          </wp:inline>
        </w:drawing>
      </w:r>
    </w:p>
    <w:p>
      <w:pPr>
        <w:keepNext w:val="false"/>
        <w:spacing w:after="40" w:before="80"/>
        <w:jc w:val="center"/>
      </w:pPr>
      <w:r>
        <w:drawing>
          <wp:inline distT="0" distB="0" distL="0" distR="0">
            <wp:extent cx="5715000" cy="4219575"/>
            <wp:effectExtent t="0" r="0" b="0" l="0"/>
            <wp:docPr id="5" name="Figures 5 and 6: ROC and precision-recall curves, Grad-CAM heatmaps" descr="Figures 5 and 6: ROC and precision-recall curves, Grad-CAM heatmaps" title="Figures 5 and 6: ROC and precision-recall curves, Grad-CAM hea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19575"/>
                    </a:xfrm>
                    <a:prstGeom prst="rect">
                      <a:avLst/>
                    </a:prstGeom>
                  </pic:spPr>
                </pic:pic>
              </a:graphicData>
            </a:graphic>
          </wp:inline>
        </w:drawing>
      </w:r>
    </w:p>
    <w:p>
      <w:pPr>
        <w:keepNext w:val="false"/>
        <w:spacing w:after="40" w:before="80"/>
        <w:jc w:val="center"/>
      </w:pPr>
      <w:r>
        <w:drawing>
          <wp:inline distT="0" distB="0" distL="0" distR="0">
            <wp:extent cx="4953000" cy="2400300"/>
            <wp:effectExtent t="0" r="0" b="0" l="0"/>
            <wp:docPr id="6" name="Figure 7: confidence threshold versus coverage and accuracy" descr="Figure 7: confidence threshold versus coverage and accuracy" title="Figure 7: confidence threshold versus coverage an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00300"/>
                    </a:xfrm>
                    <a:prstGeom prst="rect">
                      <a:avLst/>
                    </a:prstGeom>
                  </pic:spPr>
                </pic:pic>
              </a:graphicData>
            </a:graphic>
          </wp:inline>
        </w:drawing>
      </w:r>
    </w:p>
    <w:p>
      <w:pPr>
        <w:pStyle w:val="Heading1"/>
        <w:keepNext/>
        <w:spacing w:after="120" w:before="240"/>
      </w:pPr>
      <w:r>
        <w:rPr>
          <w:rFonts w:ascii="Times New Roman" w:cs="Times New Roman" w:eastAsia="Times New Roman" w:hAnsi="Times New Roman"/>
          <w:b/>
          <w:bCs/>
          <w:sz w:val="26"/>
          <w:szCs w:val="26"/>
        </w:rPr>
        <w:t xml:space="preserve">6. TESTING AND VALIDATION</w:t>
      </w:r>
    </w:p>
    <w:p>
      <w:pPr>
        <w:pStyle w:val="Heading2"/>
        <w:keepNext/>
        <w:spacing w:after="80" w:before="160"/>
      </w:pPr>
      <w:r>
        <w:rPr>
          <w:rFonts w:ascii="Times New Roman" w:cs="Times New Roman" w:eastAsia="Times New Roman" w:hAnsi="Times New Roman"/>
          <w:b/>
          <w:bCs/>
          <w:sz w:val="22"/>
          <w:szCs w:val="22"/>
        </w:rPr>
        <w:t xml:space="preserve">6.1 Functional testing and model demonstration status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43"/>
        <w:gridCol w:w="2338"/>
        <w:gridCol w:w="3312"/>
        <w:gridCol w:w="2143"/>
      </w:tblGrid>
      <w:tr>
        <w:trPr>
          <w:cantSplit/>
          <w:tblHeader/>
        </w:trPr>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Input case</w:t>
            </w:r>
          </w:p>
        </w:tc>
        <w:tc>
          <w:tcPr>
            <w:tcW w:type="dxa" w:w="2338"/>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Expected class / action</w:t>
            </w:r>
          </w:p>
        </w:tc>
        <w:tc>
          <w:tcPr>
            <w:tcW w:type="dxa" w:w="3312"/>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Observed evidence status</w:t>
            </w:r>
          </w:p>
        </w:tc>
        <w:tc>
          <w:tcPr>
            <w:tcW w:type="dxa" w:w="2143"/>
            <w:tcBorders>
              <w:top w:val="single" w:color="000000" w:sz="8"/>
              <w:left w:val="none" w:color="FFFFFF" w:sz="0"/>
              <w:bottom w:val="single" w:color="000000" w:sz="8"/>
              <w:right w:val="none" w:color="FFFFFF" w:sz="0"/>
            </w:tcBorders>
            <w:shd w:fill="EAF0F7" w:color="auto" w:val="clear"/>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What to inspect</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Clear glass bottle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glass; dry glass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Confidence and plastic confusion</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Cardboard package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cardboard; paper/cardboard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Paper vs cardboard confusion</w:t>
            </w:r>
          </w:p>
        </w:tc>
      </w:tr>
      <w:tr>
        <w:trPr>
          <w:cantSplit/>
        </w:trPr>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Residual rubbish photo</w:t>
            </w:r>
          </w:p>
        </w:tc>
        <w:tc>
          <w:tcPr>
            <w:tcW w:type="dxa" w:w="2338"/>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trash; residual stream</w:t>
            </w:r>
          </w:p>
        </w:tc>
        <w:tc>
          <w:tcPr>
            <w:tcW w:type="dxa" w:w="3312"/>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BFBFBF" w:sz="2"/>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Minority-class recall</w:t>
            </w:r>
          </w:p>
        </w:tc>
      </w:tr>
      <w:tr>
        <w:trPr>
          <w:cantSplit/>
        </w:trPr>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bCs/>
                <w:sz w:val="18"/>
                <w:szCs w:val="18"/>
              </w:rPr>
              <w:t xml:space="preserve">Unclear mixed-material item</w:t>
            </w:r>
          </w:p>
        </w:tc>
        <w:tc>
          <w:tcPr>
            <w:tcW w:type="dxa" w:w="2338"/>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Low-confidence flag / human review</w:t>
            </w:r>
          </w:p>
        </w:tc>
        <w:tc>
          <w:tcPr>
            <w:tcW w:type="dxa" w:w="3312"/>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Class-level metrics available; no standalone photo-level run screenshot in ZIP</w:t>
            </w:r>
          </w:p>
        </w:tc>
        <w:tc>
          <w:tcPr>
            <w:tcW w:type="dxa" w:w="2143"/>
            <w:tcBorders>
              <w:top w:val="none" w:color="FFFFFF" w:sz="0"/>
              <w:left w:val="none" w:color="FFFFFF" w:sz="0"/>
              <w:bottom w:val="single" w:color="000000" w:sz="8"/>
              <w:right w:val="none" w:color="FFFFFF" w:sz="0"/>
            </w:tcBorders>
            <w:tcMar>
              <w:top w:type="dxa" w:w="50"/>
              <w:left w:type="dxa" w:w="80"/>
              <w:bottom w:type="dxa" w:w="50"/>
              <w:right w:type="dxa" w:w="80"/>
            </w:tcMar>
            <w:vAlign w:val="center"/>
          </w:tcPr>
          <w:p>
            <w:pPr>
              <w:spacing w:after="0"/>
            </w:pPr>
            <w:r>
              <w:rPr>
                <w:rFonts w:ascii="Times New Roman" w:cs="Times New Roman" w:eastAsia="Times New Roman" w:hAnsi="Times New Roman"/>
                <w:b w:val="false"/>
                <w:bCs w:val="false"/>
                <w:sz w:val="18"/>
                <w:szCs w:val="18"/>
              </w:rPr>
              <w:t xml:space="preserve">Reject-option correctness</w:t>
            </w:r>
          </w:p>
        </w:tc>
      </w:tr>
    </w:tbl>
    <w:p>
      <w:pPr>
        <w:spacing w:after="80"/>
      </w:pPr>
    </w:p>
    <w:p>
      <w:pPr>
        <w:pStyle w:val="Heading2"/>
        <w:keepNext/>
        <w:spacing w:after="80" w:before="160"/>
      </w:pPr>
      <w:r>
        <w:rPr>
          <w:rFonts w:ascii="Times New Roman" w:cs="Times New Roman" w:eastAsia="Times New Roman" w:hAnsi="Times New Roman"/>
          <w:b/>
          <w:bCs/>
          <w:sz w:val="22"/>
          <w:szCs w:val="22"/>
        </w:rPr>
        <w:t xml:space="preserve">6.2 Prediction function requirements</w:t>
      </w:r>
    </w:p>
    <w:p>
      <w:pPr>
        <w:spacing w:after="110" w:line="252"/>
        <w:jc w:val="both"/>
      </w:pPr>
      <w:r>
        <w:rPr>
          <w:rFonts w:ascii="Times New Roman" w:cs="Times New Roman" w:eastAsia="Times New Roman" w:hAnsi="Times New Roman"/>
          <w:sz w:val="20"/>
          <w:szCs w:val="20"/>
        </w:rPr>
        <w:t xml:space="preserve">The ZIP provides model-level evaluation, confusion-matrix and Grad-CAM figures, along with the trained .pt checkpoint. It does not include separate classify(...) screenshots or per-image confidence/top-three probability logs. The example functional scenarios in the table are therefore illustrative. For a practical live demo, run classify(...) on at least three original test photographs, capture the output class, probability and stream recommendation, and note any uncertain or incorrect prediction.</w:t>
      </w:r>
    </w:p>
    <w:p>
      <w:pPr>
        <w:pStyle w:val="Heading2"/>
        <w:keepNext/>
        <w:spacing w:after="80" w:before="160"/>
      </w:pPr>
      <w:r>
        <w:rPr>
          <w:rFonts w:ascii="Times New Roman" w:cs="Times New Roman" w:eastAsia="Times New Roman" w:hAnsi="Times New Roman"/>
          <w:b/>
          <w:bCs/>
          <w:sz w:val="22"/>
          <w:szCs w:val="22"/>
        </w:rPr>
        <w:t xml:space="preserve">6.3 Acceptance criteria</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No overlapping train and test duplicate groups.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All five benchmark methods either completed or clearly documented as excluded with a technical reason.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Metrics and plots computed from held-out predictions, not illustrative numbers.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Final selected model obeys the pre-declared validation metric and edge-cost rule.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A human-review fallback exists for uncertain predictions; limitations on harmful material handling are clearly stated.</w:t>
      </w:r>
    </w:p>
    <w:p>
      <w:pPr>
        <w:pStyle w:val="Heading1"/>
        <w:keepNext/>
        <w:spacing w:after="120" w:before="240"/>
      </w:pPr>
      <w:r>
        <w:rPr>
          <w:rFonts w:ascii="Times New Roman" w:cs="Times New Roman" w:eastAsia="Times New Roman" w:hAnsi="Times New Roman"/>
          <w:b/>
          <w:bCs/>
          <w:sz w:val="26"/>
          <w:szCs w:val="26"/>
        </w:rPr>
        <w:t xml:space="preserve">7. DEPLOYMENT CONCEPT AND LIMITATIONS</w:t>
      </w:r>
    </w:p>
    <w:p>
      <w:pPr>
        <w:pStyle w:val="Heading2"/>
        <w:keepNext/>
        <w:spacing w:after="80" w:before="160"/>
      </w:pPr>
      <w:r>
        <w:rPr>
          <w:rFonts w:ascii="Times New Roman" w:cs="Times New Roman" w:eastAsia="Times New Roman" w:hAnsi="Times New Roman"/>
          <w:b/>
          <w:bCs/>
          <w:sz w:val="22"/>
          <w:szCs w:val="22"/>
        </w:rPr>
        <w:t xml:space="preserve">7.1 Intended application</w:t>
      </w:r>
    </w:p>
    <w:p>
      <w:pPr>
        <w:spacing w:after="110" w:line="252"/>
        <w:jc w:val="both"/>
      </w:pPr>
      <w:r>
        <w:rPr>
          <w:rFonts w:ascii="Times New Roman" w:cs="Times New Roman" w:eastAsia="Times New Roman" w:hAnsi="Times New Roman"/>
          <w:sz w:val="20"/>
          <w:szCs w:val="20"/>
        </w:rPr>
        <w:t xml:space="preserve">A proposed smart-bin pipeline captures a single RGB photo, applies the same 224 × 224 preprocessing, runs MobileNetV3-Large, and displays a suggested material stream only when confidence exceeds the validation-selected threshold of 0.90. On held-out TrashNet images this policy auto-accepted 28.0% at 100% observed accepted accuracy; the remainder was routed for manual decision. It has not been validated on a physical smart-bin controller or complex real-world waste. The quantized INT8 artifact must not be treated as deployment-ready because its measured accuracy fell to 51.6%.</w:t>
      </w:r>
    </w:p>
    <w:p>
      <w:pPr>
        <w:pStyle w:val="Heading2"/>
        <w:keepNext/>
        <w:spacing w:after="80" w:before="160"/>
      </w:pPr>
      <w:r>
        <w:rPr>
          <w:rFonts w:ascii="Times New Roman" w:cs="Times New Roman" w:eastAsia="Times New Roman" w:hAnsi="Times New Roman"/>
          <w:b/>
          <w:bCs/>
          <w:sz w:val="22"/>
          <w:szCs w:val="22"/>
        </w:rPr>
        <w:t xml:space="preserve">7.2 Limitations and risks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TrashNet images generally feature one relatively clear item; clutter, poor lighting, wet waste and occlusion can reduce generalization.</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RGB appearance alone may not distinguish visually similar multi-layer or transparent materials.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TrashNet residual trash is underrepresented (137 source images), which may affect robust per-class learning.</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The label set excludes organic waste despite its appearance in the original Phase 1 proposal.</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 desktop or Colab timing measurement cannot establish actual smart-bin board performance.</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Model errors can contaminate recycling streams; a confidence-based review policy is advisable.</w:t>
      </w:r>
    </w:p>
    <w:p>
      <w:pPr>
        <w:pStyle w:val="Heading2"/>
        <w:keepNext/>
        <w:spacing w:after="80" w:before="160"/>
      </w:pPr>
      <w:r>
        <w:rPr>
          <w:rFonts w:ascii="Times New Roman" w:cs="Times New Roman" w:eastAsia="Times New Roman" w:hAnsi="Times New Roman"/>
          <w:b/>
          <w:bCs/>
          <w:sz w:val="22"/>
          <w:szCs w:val="22"/>
        </w:rPr>
        <w:t xml:space="preserve">7.3 Environmental and social relevance</w:t>
      </w:r>
    </w:p>
    <w:p>
      <w:pPr>
        <w:spacing w:after="110" w:line="252"/>
        <w:jc w:val="both"/>
      </w:pPr>
      <w:r>
        <w:rPr>
          <w:rFonts w:ascii="Times New Roman" w:cs="Times New Roman" w:eastAsia="Times New Roman" w:hAnsi="Times New Roman"/>
          <w:sz w:val="20"/>
          <w:szCs w:val="20"/>
        </w:rPr>
        <w:t xml:space="preserve">The prototype supports the goals of SDG 12, Responsible Consumption and Production, by studying more consistent dry-waste classification. The experiment measures algorithmic accuracy and simulated sorting streams, not real-world recycling rates, worker safety, landfill reduction or emissions. These environmental outcomes require prospective field evaluation.</w:t>
      </w:r>
    </w:p>
    <w:p>
      <w:pPr>
        <w:pStyle w:val="Heading1"/>
        <w:keepNext/>
        <w:spacing w:after="120" w:before="240"/>
      </w:pPr>
      <w:r>
        <w:rPr>
          <w:rFonts w:ascii="Times New Roman" w:cs="Times New Roman" w:eastAsia="Times New Roman" w:hAnsi="Times New Roman"/>
          <w:b/>
          <w:bCs/>
          <w:sz w:val="26"/>
          <w:szCs w:val="26"/>
        </w:rPr>
        <w:t xml:space="preserve">8. CONCLUSION AND FUTURE WORK</w:t>
      </w:r>
    </w:p>
    <w:p>
      <w:pPr>
        <w:spacing w:after="110" w:line="252"/>
        <w:jc w:val="both"/>
      </w:pPr>
      <w:r>
        <w:rPr>
          <w:rFonts w:ascii="Times New Roman" w:cs="Times New Roman" w:eastAsia="Times New Roman" w:hAnsi="Times New Roman"/>
          <w:sz w:val="20"/>
          <w:szCs w:val="20"/>
        </w:rPr>
        <w:t xml:space="preserve">The evaluated six-class waste classifier selected MobileNetV3-Large within the 2-GFLOP edge-compute budget and achieved 94.44% held-out accuracy, 0.938 macro F1-score and a 95% bootstrap accuracy interval of 92.1%–96.6% over 378 images. Its accuracy matched ResNet-50 while using 19.0 times fewer FLOPs and 5.6 times lower measured CPU latency. The strongest errors involved plastic versus metal and paper versus trash. A conservative 0.90 confidence threshold auto-accepted only 28% of images, indicating the importance of manual review for uncertain materials. Although the pretrained FP32 model is a promising computer-vision prototype, the INT8 export lost substantial accuracy and no actual smart-bin hardware trials were supplied. Further calibration, quantization repair and real-world validation are required before physical deployment.</w:t>
      </w:r>
    </w:p>
    <w:p>
      <w:pPr>
        <w:pStyle w:val="Heading2"/>
        <w:keepNext/>
        <w:spacing w:after="80" w:before="160"/>
      </w:pPr>
      <w:r>
        <w:rPr>
          <w:rFonts w:ascii="Times New Roman" w:cs="Times New Roman" w:eastAsia="Times New Roman" w:hAnsi="Times New Roman"/>
          <w:b/>
          <w:bCs/>
          <w:sz w:val="22"/>
          <w:szCs w:val="22"/>
        </w:rPr>
        <w:t xml:space="preserve">Future work</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Archive the executed Colab notebook with environment/version lines, training logs and model-selection traces for reproducibility; the provided ZIP supplies result files but not that execution trace.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Collect local real-world photos of Indian waste items and test robustness to lighting, rotation, damage and mixed piles.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Evaluate out-of-distribution detection, class expansion for special-care waste and human-in-the-loop corrections.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Repair or retrain post-training INT8 quantization (including representative calibration/preprocessing verification) before edge deployment; benchmark end-to-end latency, size and accuracy on actual hardware.</w:t>
      </w:r>
    </w:p>
    <w:p>
      <w:pPr>
        <w:pStyle w:val="Heading1"/>
        <w:keepNext/>
        <w:pageBreakBefore/>
        <w:spacing w:after="120" w:before="240"/>
      </w:pPr>
      <w:r>
        <w:rPr>
          <w:rFonts w:ascii="Times New Roman" w:cs="Times New Roman" w:eastAsia="Times New Roman" w:hAnsi="Times New Roman"/>
          <w:b/>
          <w:bCs/>
          <w:sz w:val="26"/>
          <w:szCs w:val="26"/>
        </w:rPr>
        <w:t xml:space="preserve">REFERENCES</w:t>
      </w:r>
    </w:p>
    <w:p>
      <w:pPr>
        <w:spacing w:after="110" w:line="252"/>
        <w:jc w:val="left"/>
      </w:pPr>
      <w:r>
        <w:rPr>
          <w:rFonts w:ascii="Times New Roman" w:cs="Times New Roman" w:eastAsia="Times New Roman" w:hAnsi="Times New Roman"/>
          <w:sz w:val="20"/>
          <w:szCs w:val="20"/>
        </w:rPr>
        <w:t xml:space="preserve">[1] G. Thung and M. Yang, “Classification of Trash for Recyclability Status,” Stanford CS229 Project Report, 2016; dataset: https://github.com/garythung/trashnet.</w:t>
      </w:r>
    </w:p>
    <w:p>
      <w:pPr>
        <w:spacing w:after="110" w:line="252"/>
        <w:jc w:val="left"/>
      </w:pPr>
      <w:r>
        <w:rPr>
          <w:rFonts w:ascii="Times New Roman" w:cs="Times New Roman" w:eastAsia="Times New Roman" w:hAnsi="Times New Roman"/>
          <w:sz w:val="20"/>
          <w:szCs w:val="20"/>
        </w:rPr>
        <w:t xml:space="preserve">[2] R. A. Aral et al., “Classification of TrashNet Dataset Based on Deep Learning Models,” IEEE International Conference on Big Data, 2018.</w:t>
      </w:r>
    </w:p>
    <w:p>
      <w:pPr>
        <w:spacing w:after="110" w:line="252"/>
        <w:jc w:val="left"/>
      </w:pPr>
      <w:r>
        <w:rPr>
          <w:rFonts w:ascii="Times New Roman" w:cs="Times New Roman" w:eastAsia="Times New Roman" w:hAnsi="Times New Roman"/>
          <w:sz w:val="20"/>
          <w:szCs w:val="20"/>
        </w:rPr>
        <w:t xml:space="preserve">[3] K. He, X. Zhang, S. Ren and J. Sun, “Deep Residual Learning for Image Recognition,” CVPR, 2016.</w:t>
      </w:r>
    </w:p>
    <w:p>
      <w:pPr>
        <w:spacing w:after="110" w:line="252"/>
        <w:jc w:val="left"/>
      </w:pPr>
      <w:r>
        <w:rPr>
          <w:rFonts w:ascii="Times New Roman" w:cs="Times New Roman" w:eastAsia="Times New Roman" w:hAnsi="Times New Roman"/>
          <w:sz w:val="20"/>
          <w:szCs w:val="20"/>
        </w:rPr>
        <w:t xml:space="preserve">[4] A. Howard et al., “Searching for MobileNetV3,” ICCV, 2019.</w:t>
      </w:r>
    </w:p>
    <w:p>
      <w:pPr>
        <w:spacing w:after="110" w:line="252"/>
        <w:jc w:val="left"/>
      </w:pPr>
      <w:r>
        <w:rPr>
          <w:rFonts w:ascii="Times New Roman" w:cs="Times New Roman" w:eastAsia="Times New Roman" w:hAnsi="Times New Roman"/>
          <w:sz w:val="20"/>
          <w:szCs w:val="20"/>
        </w:rPr>
        <w:t xml:space="preserve">[5] M. Tan and Q. V. Le, “EfficientNet: Rethinking Model Scaling for Convolutional Neural Networks,” ICML, 2019.</w:t>
      </w:r>
    </w:p>
    <w:p>
      <w:pPr>
        <w:spacing w:after="110" w:line="252"/>
        <w:jc w:val="left"/>
      </w:pPr>
      <w:r>
        <w:rPr>
          <w:rFonts w:ascii="Times New Roman" w:cs="Times New Roman" w:eastAsia="Times New Roman" w:hAnsi="Times New Roman"/>
          <w:sz w:val="20"/>
          <w:szCs w:val="20"/>
        </w:rPr>
        <w:t xml:space="preserve">[6] R. R. Selvaraju et al., “Grad-CAM: Visual Explanations from Deep Networks via Gradient-Based Localization,” ICCV, 2017.</w:t>
      </w:r>
    </w:p>
    <w:p>
      <w:pPr>
        <w:spacing w:after="110" w:line="252"/>
        <w:jc w:val="left"/>
      </w:pPr>
      <w:r>
        <w:rPr>
          <w:rFonts w:ascii="Times New Roman" w:cs="Times New Roman" w:eastAsia="Times New Roman" w:hAnsi="Times New Roman"/>
          <w:sz w:val="20"/>
          <w:szCs w:val="20"/>
        </w:rPr>
        <w:t xml:space="preserve">[7] I. Goodfellow, Y. Bengio and A. Courville, Deep Learning, MIT Press, 2016.</w:t>
      </w:r>
    </w:p>
    <w:p>
      <w:pPr>
        <w:spacing w:after="110" w:line="252"/>
        <w:jc w:val="left"/>
      </w:pPr>
      <w:r>
        <w:rPr>
          <w:rFonts w:ascii="Times New Roman" w:cs="Times New Roman" w:eastAsia="Times New Roman" w:hAnsi="Times New Roman"/>
          <w:sz w:val="20"/>
          <w:szCs w:val="20"/>
        </w:rPr>
        <w:t xml:space="preserve">[8] PyTorch / torchvision documentation, https://pytorch.org/.</w:t>
      </w:r>
    </w:p>
    <w:p>
      <w:pPr>
        <w:spacing w:after="110" w:line="252"/>
        <w:jc w:val="left"/>
      </w:pPr>
      <w:r>
        <w:rPr>
          <w:rFonts w:ascii="Times New Roman" w:cs="Times New Roman" w:eastAsia="Times New Roman" w:hAnsi="Times New Roman"/>
          <w:sz w:val="20"/>
          <w:szCs w:val="20"/>
        </w:rPr>
        <w:t xml:space="preserve">[9] ONNX Runtime documentation, https://onnxruntime.ai/.</w:t>
      </w:r>
    </w:p>
    <w:p>
      <w:pPr>
        <w:pStyle w:val="Heading1"/>
        <w:keepNext/>
        <w:spacing w:after="120" w:before="240"/>
      </w:pPr>
      <w:r>
        <w:rPr>
          <w:rFonts w:ascii="Times New Roman" w:cs="Times New Roman" w:eastAsia="Times New Roman" w:hAnsi="Times New Roman"/>
          <w:b/>
          <w:bCs/>
          <w:sz w:val="26"/>
          <w:szCs w:val="26"/>
        </w:rPr>
        <w:t xml:space="preserve">APPENDIX A — VERIFIED EXPERIMENT OUTPUTS AND REMAINING EVIDENCE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result ZIP: model_comparison.csv with five models and measured test scores; selected model MobileNetV3-Large.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split.csv: 2,521 cleaned records with 1,766/377/378 train/validation/test split and zero split-crossing duplicate groups.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figures/: per-model training curves, class distribution, image augmentation, model comparison, confusion matrices, ROC/PR plots, Grad-CAM and confidence-coverage curve.</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per_class_report.csv: six-class precision, recall, F1 and support on the 378-image test set.</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Verified in significance.csv and deployment_optimisation.csv: bootstrap intervals, paired tests, CPU latency and quantization outcomes.</w:t>
      </w:r>
    </w:p>
    <w:p>
      <w:pPr>
        <w:pStyle w:val="ListParagraph"/>
        <w:keepNext/>
        <w:keepLines/>
        <w:numPr>
          <w:ilvl w:val="0"/>
          <w:numId w:val="2"/>
        </w:numPr>
        <w:spacing w:after="60" w:line="250"/>
      </w:pPr>
      <w:r>
        <w:rPr>
          <w:rFonts w:ascii="Times New Roman" w:cs="Times New Roman" w:eastAsia="Times New Roman" w:hAnsi="Times New Roman"/>
          <w:sz w:val="20"/>
          <w:szCs w:val="20"/>
        </w:rPr>
        <w:t xml:space="preserve">Still advisable before submission if requested by instructor: attach full executed Colab notebook and 3 sample inference screenshots, with input images and actual predictions.</w:t>
      </w:r>
    </w:p>
    <w:p>
      <w:pPr>
        <w:pStyle w:val="ListParagraph"/>
        <w:keepNext w:val="false"/>
        <w:keepLines/>
        <w:numPr>
          <w:ilvl w:val="0"/>
          <w:numId w:val="2"/>
        </w:numPr>
        <w:spacing w:after="60" w:line="250"/>
      </w:pPr>
      <w:r>
        <w:rPr>
          <w:rFonts w:ascii="Times New Roman" w:cs="Times New Roman" w:eastAsia="Times New Roman" w:hAnsi="Times New Roman"/>
          <w:sz w:val="20"/>
          <w:szCs w:val="20"/>
        </w:rPr>
        <w:t xml:space="preserve">Still required before a practical smart-bin claim: test on local mixed/light-variable waste images, validate calibration and deploy on actual target hardware.</w:t>
      </w:r>
    </w:p>
    <w:p>
      <w:pPr>
        <w:pStyle w:val="Heading1"/>
        <w:keepNext/>
        <w:pageBreakBefore/>
        <w:spacing w:after="120" w:before="240"/>
      </w:pPr>
      <w:r>
        <w:rPr>
          <w:rFonts w:ascii="Times New Roman" w:cs="Times New Roman" w:eastAsia="Times New Roman" w:hAnsi="Times New Roman"/>
          <w:b/>
          <w:bCs/>
          <w:sz w:val="26"/>
          <w:szCs w:val="26"/>
        </w:rPr>
        <w:t xml:space="preserve">APPENDIX B — TRAINING CURVES AND DATA AUDIT FIGURES</w:t>
      </w:r>
    </w:p>
    <w:p>
      <w:pPr>
        <w:keepNext w:val="false"/>
        <w:spacing w:after="40" w:before="80"/>
        <w:jc w:val="center"/>
      </w:pPr>
      <w:r>
        <w:drawing>
          <wp:inline distT="0" distB="0" distL="0" distR="0">
            <wp:extent cx="4953000" cy="4524375"/>
            <wp:effectExtent t="0" r="0" b="0" l="0"/>
            <wp:docPr id="7" name="Training curves A1 to A3" descr="Training curves A1 to A3" title="Training curves A1 to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524375"/>
                    </a:xfrm>
                    <a:prstGeom prst="rect">
                      <a:avLst/>
                    </a:prstGeom>
                  </pic:spPr>
                </pic:pic>
              </a:graphicData>
            </a:graphic>
          </wp:inline>
        </w:drawing>
      </w:r>
    </w:p>
    <w:p>
      <w:pPr>
        <w:keepNext w:val="false"/>
        <w:spacing w:after="40" w:before="80"/>
        <w:jc w:val="center"/>
      </w:pPr>
      <w:r>
        <w:drawing>
          <wp:inline distT="0" distB="0" distL="0" distR="0">
            <wp:extent cx="4762500" cy="4924425"/>
            <wp:effectExtent t="0" r="0" b="0" l="0"/>
            <wp:docPr id="8" name="Training curve A4 and data audit examples A5 and A6" descr="Training curve A4 and data audit examples A5 and A6" title="Training curve A4 and data audit examples A5 and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924425"/>
                    </a:xfrm>
                    <a:prstGeom prst="rect">
                      <a:avLst/>
                    </a:prstGeom>
                  </pic:spPr>
                </pic:pic>
              </a:graphicData>
            </a:graphic>
          </wp:inline>
        </w:drawing>
      </w:r>
    </w:p>
    <w:p>
      <w:pPr>
        <w:pStyle w:val="Heading1"/>
        <w:keepNext/>
        <w:spacing w:after="120" w:before="240"/>
      </w:pPr>
      <w:r>
        <w:rPr>
          <w:rFonts w:ascii="Times New Roman" w:cs="Times New Roman" w:eastAsia="Times New Roman" w:hAnsi="Times New Roman"/>
          <w:b/>
          <w:bCs/>
          <w:sz w:val="26"/>
          <w:szCs w:val="26"/>
        </w:rPr>
        <w:t xml:space="preserve">APPENDIX C — FILE PROVENANCE AND LIMITATIONS</w:t>
      </w:r>
    </w:p>
    <w:p>
      <w:pPr>
        <w:spacing w:after="110" w:line="252"/>
        <w:jc w:val="both"/>
      </w:pPr>
      <w:r>
        <w:rPr>
          <w:rFonts w:ascii="Times New Roman" w:cs="Times New Roman" w:eastAsia="Times New Roman" w:hAnsi="Times New Roman"/>
          <w:sz w:val="20"/>
          <w:szCs w:val="20"/>
        </w:rPr>
        <w:t xml:space="preserve">Project sources: Phase 1 report (DL-Microproject_Report_TYAIDS-03(1).pdf), Phase 2 report (TYAIDS_03_SLA-phase2.docx) and uploaded smart_waste_results.zip. Result archive contains a selected model .pt checkpoint, selected_int8.onnx, seven CSV/MD files and generated evaluation figures. Numerical conclusions reflect the supplied result artifacts, not an independent rerun. The archive has no executed notebook and no raw test-image prediction screenshot set; these should be attached if the submission rubric demands direct execution evidence.</w:t>
      </w:r>
    </w:p>
    <w:p>
      <w:pPr>
        <w:pStyle w:val="Heading1"/>
        <w:keepNext/>
        <w:spacing w:after="120" w:before="240"/>
      </w:pPr>
      <w:r>
        <w:rPr>
          <w:rFonts w:ascii="Times New Roman" w:cs="Times New Roman" w:eastAsia="Times New Roman" w:hAnsi="Times New Roman"/>
          <w:b/>
          <w:bCs/>
          <w:sz w:val="26"/>
          <w:szCs w:val="26"/>
        </w:rPr>
        <w:t xml:space="preserve">APPENDIX D — SUPERVISOR SIGN-OFF</w:t>
      </w:r>
    </w:p>
    <w:p>
      <w:pPr>
        <w:spacing w:after="110" w:line="252"/>
        <w:jc w:val="both"/>
      </w:pPr>
      <w:r>
        <w:rPr>
          <w:rFonts w:ascii="Times New Roman" w:cs="Times New Roman" w:eastAsia="Times New Roman" w:hAnsi="Times New Roman"/>
          <w:sz w:val="20"/>
          <w:szCs w:val="20"/>
        </w:rPr>
        <w:t xml:space="preserve">Student signatures (Tanmay Badhe, Swayam Netke): ______________________________</w:t>
      </w:r>
    </w:p>
    <w:p>
      <w:pPr>
        <w:spacing w:after="110" w:line="252"/>
        <w:jc w:val="both"/>
      </w:pPr>
      <w:r>
        <w:rPr>
          <w:rFonts w:ascii="Times New Roman" w:cs="Times New Roman" w:eastAsia="Times New Roman" w:hAnsi="Times New Roman"/>
          <w:sz w:val="20"/>
          <w:szCs w:val="20"/>
        </w:rPr>
        <w:t xml:space="preserve">Faculty remarks: ______________________________________________________________</w:t>
      </w:r>
    </w:p>
    <w:sectPr>
      <w:headerReference w:type="default" r:id="rId6"/>
      <w:footerReference w:type="default" r:id="rId7"/>
      <w:pgSz w:w="12240" w:h="15840" w:orient="portrait"/>
      <w:pgMar w:top="1100" w:right="1152" w:bottom="1000" w:left="1152" w:header="36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46A"/>
        <w:sz w:val="15"/>
        <w:szCs w:val="15"/>
      </w:rPr>
      <w:t xml:space="preserve">TYAIDS-03  •  PHASE 3  •  ACADEMIC YEAR 2026–27  |  Page </w:t>
    </w:r>
    <w:r>
      <w:rPr>
        <w:rFonts w:ascii="Arial" w:cs="Arial" w:eastAsia="Arial" w:hAnsi="Arial"/>
        <w:color w:val="44546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4572000" cy="1133475"/>
          <wp:effectExtent t="0" r="0" b="0" l="0"/>
          <wp:docPr id="1" name="banner" descr="Shah &amp; Anchor Kutchhi Engineering College - UG Program in Artificial Intelligence and Data Science"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1133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4b609918483195b49282452477736347e07007.png"/><Relationship Id="rId10" Type="http://schemas.openxmlformats.org/officeDocument/2006/relationships/image" Target="media/f6a15e944d47563bcd686f69df5713abe0e46c52.png"/><Relationship Id="rId11" Type="http://schemas.openxmlformats.org/officeDocument/2006/relationships/image" Target="media/0c05d99fa39835e81eed825c56a026600e8b1ced.png"/><Relationship Id="rId12" Type="http://schemas.openxmlformats.org/officeDocument/2006/relationships/image" Target="media/1a1b8f817060af3eb50c24698710dbb47985a92a.png"/><Relationship Id="rId13" Type="http://schemas.openxmlformats.org/officeDocument/2006/relationships/image" Target="media/a80a4a205d884b4975e600bb54a948f2ece6577d.png"/><Relationship Id="rId14" Type="http://schemas.openxmlformats.org/officeDocument/2006/relationships/image" Target="media/ce3d1378af9d25f204d4f29d7e9a2564e599d9ba.png"/><Relationship Id="rId15" Type="http://schemas.openxmlformats.org/officeDocument/2006/relationships/image" Target="media/d8b603e57c83d3bc0f831f15e5aa82b94f66fdd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e44dd5c28b66992b225991f3355735249a9c0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Microproject Report (Phase 3) - Smart Waste Classification</dc:title>
  <dc:creator>Tanmay Badhe, Swayam Netke</dc:creator>
  <cp:lastModifiedBy>Un-named</cp:lastModifiedBy>
  <cp:revision>1</cp:revision>
  <dcterms:created xsi:type="dcterms:W3CDTF">2026-10-28T09:22:51.110Z</dcterms:created>
  <dcterms:modified xsi:type="dcterms:W3CDTF">2026-10-28T09:22:51.110Z</dcterms:modified>
</cp:coreProperties>
</file>

<file path=docProps/custom.xml><?xml version="1.0" encoding="utf-8"?>
<Properties xmlns="http://schemas.openxmlformats.org/officeDocument/2006/custom-properties" xmlns:vt="http://schemas.openxmlformats.org/officeDocument/2006/docPropsVTypes"/>
</file>