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136DE6BA" w14:textId="3A209014" w:rsidR="00834527" w:rsidRPr="006949E6" w:rsidRDefault="00376B81" w:rsidP="0008434D">
      <w:pPr>
        <w:spacing w:line="240" w:lineRule="auto"/>
        <w:jc w:val="both"/>
        <w:rPr>
          <w:rFonts w:ascii="Times New Roman" w:hAnsi="Times New Roman" w:cs="Times New Roman"/>
          <w:i/>
          <w:sz w:val="20"/>
          <w:lang w:val="en-GB"/>
        </w:rPr>
      </w:pPr>
      <w:r w:rsidRPr="006949E6">
        <w:rPr>
          <w:rFonts w:ascii="Times New Roman" w:hAnsi="Times New Roman" w:cs="Times New Roman"/>
          <w:i/>
          <w:sz w:val="20"/>
          <w:lang w:val="en-GB"/>
        </w:rPr>
        <w:t>Brahmadev Panda</w:t>
      </w:r>
      <w:r w:rsidR="00DB5166" w:rsidRPr="006949E6">
        <w:rPr>
          <w:rFonts w:ascii="Times New Roman" w:hAnsi="Times New Roman" w:cs="Times New Roman"/>
          <w:i/>
          <w:sz w:val="20"/>
          <w:lang w:val="en-GB"/>
        </w:rPr>
        <w:t xml:space="preserve"> </w:t>
      </w:r>
    </w:p>
    <w:p w14:paraId="0599C577" w14:textId="45371E32"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Assistant Professor, SIBM Nagpur, Symbiosis International University</w:t>
      </w:r>
    </w:p>
    <w:p w14:paraId="77391A31" w14:textId="643A1F91"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E-mail:brahmadev.panda@gmail.com, brahmadev.panda@sibmnagpur.edu.in</w:t>
      </w:r>
    </w:p>
    <w:p w14:paraId="48037D42" w14:textId="77777777" w:rsidR="007E73BB" w:rsidRPr="00F2448C" w:rsidRDefault="007E73BB" w:rsidP="0008434D">
      <w:pPr>
        <w:spacing w:line="240" w:lineRule="auto"/>
        <w:jc w:val="center"/>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481D0232" w14:textId="77777777" w:rsidR="00164873" w:rsidRDefault="00BD2F20" w:rsidP="0008434D">
      <w:pPr>
        <w:spacing w:line="240" w:lineRule="auto"/>
        <w:jc w:val="both"/>
        <w:rPr>
          <w:rFonts w:ascii="Times New Roman" w:hAnsi="Times New Roman" w:cs="Times New Roman"/>
          <w:sz w:val="20"/>
          <w:lang w:val="en-GB"/>
        </w:rPr>
        <w:sectPr w:rsidR="00164873" w:rsidSect="00AC1CF3">
          <w:type w:val="nextColumn"/>
          <w:pgSz w:w="8640" w:h="12960"/>
          <w:pgMar w:top="850" w:right="1138" w:bottom="850" w:left="1138" w:header="720" w:footer="720" w:gutter="0"/>
          <w:cols w:space="720"/>
          <w:docGrid w:linePitch="360"/>
        </w:sect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 xml:space="preserve">ownership, variables, </w:t>
      </w:r>
    </w:p>
    <w:p w14:paraId="29C0676B" w14:textId="1BBD4C18" w:rsidR="00086E0F" w:rsidRDefault="00086E0F" w:rsidP="0008434D">
      <w:pPr>
        <w:spacing w:line="240" w:lineRule="auto"/>
        <w:jc w:val="both"/>
        <w:rPr>
          <w:rFonts w:ascii="Times New Roman" w:hAnsi="Times New Roman" w:cs="Times New Roman"/>
          <w:sz w:val="20"/>
          <w:lang w:val="en-GB"/>
        </w:rPr>
      </w:pPr>
    </w:p>
    <w:p w14:paraId="14C1DF0D" w14:textId="554C2C71"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r w:rsidR="004308F7" w:rsidRPr="00F2448C">
        <w:rPr>
          <w:rFonts w:ascii="Times New Roman" w:hAnsi="Times New Roman" w:cs="Times New Roman"/>
          <w:sz w:val="20"/>
          <w:lang w:val="en-GB"/>
        </w:rPr>
        <w:t>Shleifer and Vishny,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w:t>
      </w:r>
      <w:r w:rsidR="00DE05A0" w:rsidRPr="00F2448C">
        <w:rPr>
          <w:rFonts w:ascii="Times New Roman" w:hAnsi="Times New Roman" w:cs="Times New Roman"/>
          <w:sz w:val="20"/>
          <w:lang w:val="en-GB"/>
        </w:rPr>
        <w:lastRenderedPageBreak/>
        <w:t>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w:t>
      </w:r>
      <w:r w:rsidR="00D03C7C" w:rsidRPr="00F2448C">
        <w:rPr>
          <w:rFonts w:ascii="Times New Roman" w:hAnsi="Times New Roman" w:cs="Times New Roman"/>
          <w:sz w:val="20"/>
          <w:lang w:val="en-GB"/>
        </w:rPr>
        <w:lastRenderedPageBreak/>
        <w:t xml:space="preserve">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r w:rsidR="004308F7" w:rsidRPr="00F2448C">
        <w:rPr>
          <w:rFonts w:ascii="Times New Roman" w:hAnsi="Times New Roman" w:cs="Times New Roman"/>
          <w:sz w:val="20"/>
          <w:lang w:val="en-GB"/>
        </w:rPr>
        <w:t>Laporta</w:t>
      </w:r>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concentration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endogeneity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w:t>
      </w:r>
      <w:r w:rsidR="00B62E66" w:rsidRPr="00F2448C">
        <w:rPr>
          <w:rFonts w:ascii="Times New Roman" w:hAnsi="Times New Roman" w:cs="Times New Roman"/>
          <w:sz w:val="20"/>
          <w:lang w:val="en-GB"/>
        </w:rPr>
        <w:lastRenderedPageBreak/>
        <w:t xml:space="preserve">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for this study to control the endogeneity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Early evidence on the relationship between the ownership concentration and firm performance can be traced back to the work of Demsetz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Wojcik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inferred that large ownership has a positive monitoring effect of stock return. Zou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w:t>
      </w:r>
      <w:r w:rsidR="00390C0E" w:rsidRPr="00F2448C">
        <w:rPr>
          <w:rFonts w:ascii="Times New Roman" w:eastAsia="Times New Roman" w:hAnsi="Times New Roman" w:cs="Times New Roman"/>
          <w:sz w:val="20"/>
          <w:lang w:val="en-GB" w:eastAsia="en-IN"/>
        </w:rPr>
        <w:lastRenderedPageBreak/>
        <w:t xml:space="preserve">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Zou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a higher stock return. Similarly, Ovtcharova (2003) reported that institutional ownership reflected a positive stock return in stocks with high institutional ownership than stocks with low institutional ownership, which is in line with the findings of the Gompers and Metrick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lastRenderedPageBreak/>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Cella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2015) that institutional owners enhance the price efficiency. Similarly, Dyakov and Wipplinger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term positive effect as well as a negative long term effect on stock returns of 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Dasgupta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lastRenderedPageBreak/>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world economy (Sikorski,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lastRenderedPageBreak/>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This study considers two major ownership structure measures such as ownership concentration and institutional ownership as independent variables. 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lastRenderedPageBreak/>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endogeneity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endogeneity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Arellano–Bond test, Sargan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The insignificant p-values of Sargan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3489D6CE" w:rsidR="006908C3" w:rsidRPr="00F2448C" w:rsidRDefault="007B4926"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7D1E58">
        <w:rPr>
          <w:rFonts w:ascii="Times New Roman" w:eastAsia="Times New Roman" w:hAnsi="Times New Roman" w:cs="Times New Roman"/>
          <w:iCs/>
          <w:color w:val="000000" w:themeColor="text1"/>
          <w:sz w:val="20"/>
          <w:szCs w:val="24"/>
          <w:lang w:val="en-GB" w:eastAsia="en-GB"/>
        </w:rPr>
        <w:tab/>
      </w:r>
      <w:r w:rsidR="0018687F" w:rsidRPr="00F2448C">
        <w:rPr>
          <w:rFonts w:ascii="Times New Roman" w:eastAsia="Times New Roman" w:hAnsi="Times New Roman" w:cs="Times New Roman"/>
          <w:iCs/>
          <w:color w:val="000000" w:themeColor="text1"/>
          <w:sz w:val="20"/>
          <w:szCs w:val="24"/>
          <w:lang w:val="en-GB" w:eastAsia="en-GB"/>
        </w:rPr>
        <w:t>(1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7A900E10" w:rsidR="0018687F" w:rsidRPr="00F2448C" w:rsidRDefault="007B4926"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CF345D">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t>(2)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payout.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08434D">
      <w:pPr>
        <w:spacing w:line="240" w:lineRule="auto"/>
        <w:jc w:val="both"/>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0C81C677" w14:textId="56B70FB6" w:rsidR="0003678D" w:rsidRPr="00F2448C" w:rsidRDefault="0028447D"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552CF2E3" w14:textId="77777777" w:rsidR="009C614A" w:rsidRDefault="009C614A" w:rsidP="0008434D">
      <w:pPr>
        <w:spacing w:after="0" w:line="240" w:lineRule="auto"/>
        <w:jc w:val="center"/>
        <w:rPr>
          <w:rFonts w:ascii="Times New Roman" w:eastAsia="Times New Roman" w:hAnsi="Times New Roman" w:cs="Times New Roman"/>
          <w:iCs/>
          <w:color w:val="000000" w:themeColor="text1"/>
          <w:sz w:val="20"/>
          <w:szCs w:val="24"/>
          <w:lang w:val="en-GB"/>
        </w:rPr>
        <w:sectPr w:rsidR="009C614A" w:rsidSect="00AC1CF3">
          <w:type w:val="continuous"/>
          <w:pgSz w:w="8640" w:h="12960"/>
          <w:pgMar w:top="850" w:right="1138" w:bottom="850" w:left="1138" w:header="720" w:footer="720" w:gutter="0"/>
          <w:cols w:num="2" w:space="720"/>
          <w:docGrid w:linePitch="360"/>
        </w:sectPr>
      </w:pPr>
    </w:p>
    <w:p w14:paraId="69A7738F" w14:textId="1D6F62C5" w:rsidR="00A03C33" w:rsidRDefault="00F67BB3" w:rsidP="0008434D">
      <w:pPr>
        <w:spacing w:after="0" w:line="240" w:lineRule="auto"/>
        <w:jc w:val="center"/>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
    <w:p w14:paraId="74B018FD" w14:textId="77777777" w:rsidR="009C614A" w:rsidRDefault="009C614A" w:rsidP="0008434D">
      <w:pPr>
        <w:spacing w:after="0" w:line="240" w:lineRule="auto"/>
        <w:jc w:val="center"/>
        <w:rPr>
          <w:rFonts w:ascii="Times New Roman" w:eastAsia="Times New Roman" w:hAnsi="Times New Roman" w:cs="Times New Roman"/>
          <w:iCs/>
          <w:color w:val="000000" w:themeColor="text1"/>
          <w:sz w:val="20"/>
          <w:szCs w:val="24"/>
          <w:lang w:val="en-GB"/>
        </w:rPr>
      </w:pPr>
    </w:p>
    <w:tbl>
      <w:tblPr>
        <w:tblW w:w="6190" w:type="dxa"/>
        <w:tblLook w:val="04A0" w:firstRow="1" w:lastRow="0" w:firstColumn="1" w:lastColumn="0" w:noHBand="0" w:noVBand="1"/>
      </w:tblPr>
      <w:tblGrid>
        <w:gridCol w:w="906"/>
        <w:gridCol w:w="937"/>
        <w:gridCol w:w="966"/>
        <w:gridCol w:w="711"/>
        <w:gridCol w:w="766"/>
        <w:gridCol w:w="886"/>
        <w:gridCol w:w="1056"/>
      </w:tblGrid>
      <w:tr w:rsidR="006B10E3" w:rsidRPr="006B10E3" w14:paraId="1BD9233D" w14:textId="77777777" w:rsidTr="00F87AA2">
        <w:trPr>
          <w:trHeight w:val="244"/>
        </w:trPr>
        <w:tc>
          <w:tcPr>
            <w:tcW w:w="901" w:type="dxa"/>
            <w:tcBorders>
              <w:top w:val="single" w:sz="4" w:space="0" w:color="auto"/>
              <w:left w:val="nil"/>
              <w:bottom w:val="single" w:sz="4" w:space="0" w:color="auto"/>
              <w:right w:val="nil"/>
            </w:tcBorders>
            <w:shd w:val="clear" w:color="auto" w:fill="auto"/>
            <w:noWrap/>
            <w:vAlign w:val="center"/>
            <w:hideMark/>
          </w:tcPr>
          <w:p w14:paraId="7FD13BE5"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Variables</w:t>
            </w:r>
          </w:p>
        </w:tc>
        <w:tc>
          <w:tcPr>
            <w:tcW w:w="932" w:type="dxa"/>
            <w:tcBorders>
              <w:top w:val="single" w:sz="4" w:space="0" w:color="auto"/>
              <w:left w:val="nil"/>
              <w:bottom w:val="single" w:sz="4" w:space="0" w:color="auto"/>
              <w:right w:val="nil"/>
            </w:tcBorders>
            <w:shd w:val="clear" w:color="auto" w:fill="auto"/>
            <w:noWrap/>
            <w:vAlign w:val="center"/>
            <w:hideMark/>
          </w:tcPr>
          <w:p w14:paraId="18F3BF7F"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Minimum</w:t>
            </w:r>
          </w:p>
        </w:tc>
        <w:tc>
          <w:tcPr>
            <w:tcW w:w="962" w:type="dxa"/>
            <w:tcBorders>
              <w:top w:val="single" w:sz="4" w:space="0" w:color="auto"/>
              <w:left w:val="nil"/>
              <w:bottom w:val="single" w:sz="4" w:space="0" w:color="auto"/>
              <w:right w:val="nil"/>
            </w:tcBorders>
            <w:shd w:val="clear" w:color="auto" w:fill="auto"/>
            <w:noWrap/>
            <w:vAlign w:val="center"/>
            <w:hideMark/>
          </w:tcPr>
          <w:p w14:paraId="5A0635F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Maximum</w:t>
            </w:r>
          </w:p>
        </w:tc>
        <w:tc>
          <w:tcPr>
            <w:tcW w:w="702" w:type="dxa"/>
            <w:tcBorders>
              <w:top w:val="single" w:sz="4" w:space="0" w:color="auto"/>
              <w:left w:val="nil"/>
              <w:bottom w:val="single" w:sz="4" w:space="0" w:color="auto"/>
              <w:right w:val="nil"/>
            </w:tcBorders>
            <w:shd w:val="clear" w:color="auto" w:fill="auto"/>
            <w:noWrap/>
            <w:vAlign w:val="center"/>
            <w:hideMark/>
          </w:tcPr>
          <w:p w14:paraId="3B52165C"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Mean</w:t>
            </w:r>
          </w:p>
        </w:tc>
        <w:tc>
          <w:tcPr>
            <w:tcW w:w="758" w:type="dxa"/>
            <w:tcBorders>
              <w:top w:val="single" w:sz="4" w:space="0" w:color="auto"/>
              <w:left w:val="nil"/>
              <w:bottom w:val="single" w:sz="4" w:space="0" w:color="auto"/>
              <w:right w:val="nil"/>
            </w:tcBorders>
            <w:shd w:val="clear" w:color="auto" w:fill="auto"/>
            <w:noWrap/>
            <w:vAlign w:val="center"/>
            <w:hideMark/>
          </w:tcPr>
          <w:p w14:paraId="57308D0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Median</w:t>
            </w:r>
          </w:p>
        </w:tc>
        <w:tc>
          <w:tcPr>
            <w:tcW w:w="881" w:type="dxa"/>
            <w:tcBorders>
              <w:top w:val="single" w:sz="4" w:space="0" w:color="auto"/>
              <w:left w:val="nil"/>
              <w:bottom w:val="single" w:sz="4" w:space="0" w:color="auto"/>
              <w:right w:val="nil"/>
            </w:tcBorders>
            <w:shd w:val="clear" w:color="auto" w:fill="auto"/>
            <w:noWrap/>
            <w:vAlign w:val="center"/>
            <w:hideMark/>
          </w:tcPr>
          <w:p w14:paraId="7C9F3BE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Standard deviation</w:t>
            </w:r>
          </w:p>
        </w:tc>
        <w:tc>
          <w:tcPr>
            <w:tcW w:w="1054" w:type="dxa"/>
            <w:tcBorders>
              <w:top w:val="single" w:sz="4" w:space="0" w:color="auto"/>
              <w:left w:val="nil"/>
              <w:bottom w:val="single" w:sz="4" w:space="0" w:color="auto"/>
              <w:right w:val="nil"/>
            </w:tcBorders>
            <w:shd w:val="clear" w:color="auto" w:fill="auto"/>
            <w:noWrap/>
            <w:vAlign w:val="center"/>
            <w:hideMark/>
          </w:tcPr>
          <w:p w14:paraId="03CAF30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Total observation</w:t>
            </w:r>
          </w:p>
        </w:tc>
      </w:tr>
      <w:tr w:rsidR="006B10E3" w:rsidRPr="006B10E3" w14:paraId="73B38750" w14:textId="77777777" w:rsidTr="00F87AA2">
        <w:trPr>
          <w:trHeight w:val="244"/>
        </w:trPr>
        <w:tc>
          <w:tcPr>
            <w:tcW w:w="901" w:type="dxa"/>
            <w:tcBorders>
              <w:top w:val="nil"/>
              <w:left w:val="nil"/>
              <w:bottom w:val="nil"/>
              <w:right w:val="nil"/>
            </w:tcBorders>
            <w:shd w:val="clear" w:color="auto" w:fill="auto"/>
            <w:noWrap/>
            <w:vAlign w:val="center"/>
            <w:hideMark/>
          </w:tcPr>
          <w:p w14:paraId="7429A5A3"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SR</w:t>
            </w:r>
          </w:p>
        </w:tc>
        <w:tc>
          <w:tcPr>
            <w:tcW w:w="932" w:type="dxa"/>
            <w:tcBorders>
              <w:top w:val="nil"/>
              <w:left w:val="nil"/>
              <w:bottom w:val="nil"/>
              <w:right w:val="nil"/>
            </w:tcBorders>
            <w:shd w:val="clear" w:color="auto" w:fill="auto"/>
            <w:noWrap/>
            <w:vAlign w:val="center"/>
            <w:hideMark/>
          </w:tcPr>
          <w:p w14:paraId="7CC44D2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-4.203</w:t>
            </w:r>
          </w:p>
        </w:tc>
        <w:tc>
          <w:tcPr>
            <w:tcW w:w="962" w:type="dxa"/>
            <w:tcBorders>
              <w:top w:val="nil"/>
              <w:left w:val="nil"/>
              <w:bottom w:val="nil"/>
              <w:right w:val="nil"/>
            </w:tcBorders>
            <w:shd w:val="clear" w:color="auto" w:fill="auto"/>
            <w:noWrap/>
            <w:vAlign w:val="center"/>
            <w:hideMark/>
          </w:tcPr>
          <w:p w14:paraId="11D1DE5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50.044</w:t>
            </w:r>
          </w:p>
        </w:tc>
        <w:tc>
          <w:tcPr>
            <w:tcW w:w="702" w:type="dxa"/>
            <w:tcBorders>
              <w:top w:val="nil"/>
              <w:left w:val="nil"/>
              <w:bottom w:val="nil"/>
              <w:right w:val="nil"/>
            </w:tcBorders>
            <w:shd w:val="clear" w:color="auto" w:fill="auto"/>
            <w:noWrap/>
            <w:vAlign w:val="center"/>
            <w:hideMark/>
          </w:tcPr>
          <w:p w14:paraId="3B4C6AFB"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0.389</w:t>
            </w:r>
          </w:p>
        </w:tc>
        <w:tc>
          <w:tcPr>
            <w:tcW w:w="758" w:type="dxa"/>
            <w:tcBorders>
              <w:top w:val="nil"/>
              <w:left w:val="nil"/>
              <w:bottom w:val="nil"/>
              <w:right w:val="nil"/>
            </w:tcBorders>
            <w:shd w:val="clear" w:color="auto" w:fill="auto"/>
            <w:noWrap/>
            <w:vAlign w:val="center"/>
            <w:hideMark/>
          </w:tcPr>
          <w:p w14:paraId="7DB0E6D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0.27</w:t>
            </w:r>
          </w:p>
        </w:tc>
        <w:tc>
          <w:tcPr>
            <w:tcW w:w="881" w:type="dxa"/>
            <w:tcBorders>
              <w:top w:val="nil"/>
              <w:left w:val="nil"/>
              <w:bottom w:val="nil"/>
              <w:right w:val="nil"/>
            </w:tcBorders>
            <w:shd w:val="clear" w:color="auto" w:fill="auto"/>
            <w:noWrap/>
            <w:vAlign w:val="center"/>
            <w:hideMark/>
          </w:tcPr>
          <w:p w14:paraId="0693AC48"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1.811</w:t>
            </w:r>
          </w:p>
        </w:tc>
        <w:tc>
          <w:tcPr>
            <w:tcW w:w="1054" w:type="dxa"/>
            <w:tcBorders>
              <w:top w:val="nil"/>
              <w:left w:val="nil"/>
              <w:bottom w:val="nil"/>
              <w:right w:val="nil"/>
            </w:tcBorders>
            <w:shd w:val="clear" w:color="auto" w:fill="auto"/>
            <w:noWrap/>
            <w:vAlign w:val="center"/>
            <w:hideMark/>
          </w:tcPr>
          <w:p w14:paraId="6A44FD3A"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3FC85F9F" w14:textId="77777777" w:rsidTr="00F87AA2">
        <w:trPr>
          <w:trHeight w:val="244"/>
        </w:trPr>
        <w:tc>
          <w:tcPr>
            <w:tcW w:w="901" w:type="dxa"/>
            <w:tcBorders>
              <w:top w:val="nil"/>
              <w:left w:val="nil"/>
              <w:bottom w:val="nil"/>
              <w:right w:val="nil"/>
            </w:tcBorders>
            <w:shd w:val="clear" w:color="auto" w:fill="auto"/>
            <w:noWrap/>
            <w:vAlign w:val="center"/>
            <w:hideMark/>
          </w:tcPr>
          <w:p w14:paraId="495B01D2"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OC1</w:t>
            </w:r>
          </w:p>
        </w:tc>
        <w:tc>
          <w:tcPr>
            <w:tcW w:w="932" w:type="dxa"/>
            <w:tcBorders>
              <w:top w:val="nil"/>
              <w:left w:val="nil"/>
              <w:bottom w:val="nil"/>
              <w:right w:val="nil"/>
            </w:tcBorders>
            <w:shd w:val="clear" w:color="auto" w:fill="auto"/>
            <w:noWrap/>
            <w:vAlign w:val="center"/>
            <w:hideMark/>
          </w:tcPr>
          <w:p w14:paraId="4361B592"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0.05</w:t>
            </w:r>
          </w:p>
        </w:tc>
        <w:tc>
          <w:tcPr>
            <w:tcW w:w="962" w:type="dxa"/>
            <w:tcBorders>
              <w:top w:val="nil"/>
              <w:left w:val="nil"/>
              <w:bottom w:val="nil"/>
              <w:right w:val="nil"/>
            </w:tcBorders>
            <w:shd w:val="clear" w:color="auto" w:fill="auto"/>
            <w:noWrap/>
            <w:vAlign w:val="center"/>
            <w:hideMark/>
          </w:tcPr>
          <w:p w14:paraId="167F8B8A"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0.761</w:t>
            </w:r>
          </w:p>
        </w:tc>
        <w:tc>
          <w:tcPr>
            <w:tcW w:w="702" w:type="dxa"/>
            <w:tcBorders>
              <w:top w:val="nil"/>
              <w:left w:val="nil"/>
              <w:bottom w:val="nil"/>
              <w:right w:val="nil"/>
            </w:tcBorders>
            <w:shd w:val="clear" w:color="auto" w:fill="auto"/>
            <w:noWrap/>
            <w:vAlign w:val="center"/>
            <w:hideMark/>
          </w:tcPr>
          <w:p w14:paraId="3618FD62"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0.334</w:t>
            </w:r>
          </w:p>
        </w:tc>
        <w:tc>
          <w:tcPr>
            <w:tcW w:w="758" w:type="dxa"/>
            <w:tcBorders>
              <w:top w:val="nil"/>
              <w:left w:val="nil"/>
              <w:bottom w:val="nil"/>
              <w:right w:val="nil"/>
            </w:tcBorders>
            <w:shd w:val="clear" w:color="auto" w:fill="auto"/>
            <w:noWrap/>
            <w:vAlign w:val="center"/>
            <w:hideMark/>
          </w:tcPr>
          <w:p w14:paraId="77BD60A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0.27</w:t>
            </w:r>
          </w:p>
        </w:tc>
        <w:tc>
          <w:tcPr>
            <w:tcW w:w="881" w:type="dxa"/>
            <w:tcBorders>
              <w:top w:val="nil"/>
              <w:left w:val="nil"/>
              <w:bottom w:val="nil"/>
              <w:right w:val="nil"/>
            </w:tcBorders>
            <w:shd w:val="clear" w:color="auto" w:fill="auto"/>
            <w:noWrap/>
            <w:vAlign w:val="center"/>
            <w:hideMark/>
          </w:tcPr>
          <w:p w14:paraId="3732E96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0.209</w:t>
            </w:r>
          </w:p>
        </w:tc>
        <w:tc>
          <w:tcPr>
            <w:tcW w:w="1054" w:type="dxa"/>
            <w:tcBorders>
              <w:top w:val="nil"/>
              <w:left w:val="nil"/>
              <w:bottom w:val="nil"/>
              <w:right w:val="nil"/>
            </w:tcBorders>
            <w:shd w:val="clear" w:color="auto" w:fill="auto"/>
            <w:noWrap/>
            <w:vAlign w:val="center"/>
            <w:hideMark/>
          </w:tcPr>
          <w:p w14:paraId="372FCC9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4987B4B5" w14:textId="77777777" w:rsidTr="00F87AA2">
        <w:trPr>
          <w:trHeight w:val="244"/>
        </w:trPr>
        <w:tc>
          <w:tcPr>
            <w:tcW w:w="901" w:type="dxa"/>
            <w:tcBorders>
              <w:top w:val="nil"/>
              <w:left w:val="nil"/>
              <w:bottom w:val="nil"/>
              <w:right w:val="nil"/>
            </w:tcBorders>
            <w:shd w:val="clear" w:color="auto" w:fill="auto"/>
            <w:noWrap/>
            <w:vAlign w:val="center"/>
            <w:hideMark/>
          </w:tcPr>
          <w:p w14:paraId="05093B65"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OC5</w:t>
            </w:r>
          </w:p>
        </w:tc>
        <w:tc>
          <w:tcPr>
            <w:tcW w:w="932" w:type="dxa"/>
            <w:tcBorders>
              <w:top w:val="nil"/>
              <w:left w:val="nil"/>
              <w:bottom w:val="nil"/>
              <w:right w:val="nil"/>
            </w:tcBorders>
            <w:shd w:val="clear" w:color="auto" w:fill="auto"/>
            <w:noWrap/>
            <w:vAlign w:val="center"/>
            <w:hideMark/>
          </w:tcPr>
          <w:p w14:paraId="4E3842F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0.25</w:t>
            </w:r>
          </w:p>
        </w:tc>
        <w:tc>
          <w:tcPr>
            <w:tcW w:w="962" w:type="dxa"/>
            <w:tcBorders>
              <w:top w:val="nil"/>
              <w:left w:val="nil"/>
              <w:bottom w:val="nil"/>
              <w:right w:val="nil"/>
            </w:tcBorders>
            <w:shd w:val="clear" w:color="auto" w:fill="auto"/>
            <w:noWrap/>
            <w:vAlign w:val="center"/>
            <w:hideMark/>
          </w:tcPr>
          <w:p w14:paraId="5F6EF80B"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0.99</w:t>
            </w:r>
          </w:p>
        </w:tc>
        <w:tc>
          <w:tcPr>
            <w:tcW w:w="702" w:type="dxa"/>
            <w:tcBorders>
              <w:top w:val="nil"/>
              <w:left w:val="nil"/>
              <w:bottom w:val="nil"/>
              <w:right w:val="nil"/>
            </w:tcBorders>
            <w:shd w:val="clear" w:color="auto" w:fill="auto"/>
            <w:noWrap/>
            <w:vAlign w:val="center"/>
            <w:hideMark/>
          </w:tcPr>
          <w:p w14:paraId="3F2E9BCF"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0.577</w:t>
            </w:r>
          </w:p>
        </w:tc>
        <w:tc>
          <w:tcPr>
            <w:tcW w:w="758" w:type="dxa"/>
            <w:tcBorders>
              <w:top w:val="nil"/>
              <w:left w:val="nil"/>
              <w:bottom w:val="nil"/>
              <w:right w:val="nil"/>
            </w:tcBorders>
            <w:shd w:val="clear" w:color="auto" w:fill="auto"/>
            <w:noWrap/>
            <w:vAlign w:val="center"/>
            <w:hideMark/>
          </w:tcPr>
          <w:p w14:paraId="7A1C178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0.58</w:t>
            </w:r>
          </w:p>
        </w:tc>
        <w:tc>
          <w:tcPr>
            <w:tcW w:w="881" w:type="dxa"/>
            <w:tcBorders>
              <w:top w:val="nil"/>
              <w:left w:val="nil"/>
              <w:bottom w:val="nil"/>
              <w:right w:val="nil"/>
            </w:tcBorders>
            <w:shd w:val="clear" w:color="auto" w:fill="auto"/>
            <w:noWrap/>
            <w:vAlign w:val="center"/>
            <w:hideMark/>
          </w:tcPr>
          <w:p w14:paraId="22C0AE1B"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0.174</w:t>
            </w:r>
          </w:p>
        </w:tc>
        <w:tc>
          <w:tcPr>
            <w:tcW w:w="1054" w:type="dxa"/>
            <w:tcBorders>
              <w:top w:val="nil"/>
              <w:left w:val="nil"/>
              <w:bottom w:val="nil"/>
              <w:right w:val="nil"/>
            </w:tcBorders>
            <w:shd w:val="clear" w:color="auto" w:fill="auto"/>
            <w:noWrap/>
            <w:vAlign w:val="center"/>
            <w:hideMark/>
          </w:tcPr>
          <w:p w14:paraId="54E3FDA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6D1CE690" w14:textId="77777777" w:rsidTr="00F87AA2">
        <w:trPr>
          <w:trHeight w:val="244"/>
        </w:trPr>
        <w:tc>
          <w:tcPr>
            <w:tcW w:w="901" w:type="dxa"/>
            <w:tcBorders>
              <w:top w:val="nil"/>
              <w:left w:val="nil"/>
              <w:bottom w:val="nil"/>
              <w:right w:val="nil"/>
            </w:tcBorders>
            <w:shd w:val="clear" w:color="auto" w:fill="auto"/>
            <w:noWrap/>
            <w:vAlign w:val="center"/>
            <w:hideMark/>
          </w:tcPr>
          <w:p w14:paraId="762C5BF1"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IH</w:t>
            </w:r>
          </w:p>
        </w:tc>
        <w:tc>
          <w:tcPr>
            <w:tcW w:w="932" w:type="dxa"/>
            <w:tcBorders>
              <w:top w:val="nil"/>
              <w:left w:val="nil"/>
              <w:bottom w:val="nil"/>
              <w:right w:val="nil"/>
            </w:tcBorders>
            <w:shd w:val="clear" w:color="auto" w:fill="auto"/>
            <w:noWrap/>
            <w:vAlign w:val="center"/>
            <w:hideMark/>
          </w:tcPr>
          <w:p w14:paraId="1ED024B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0.02</w:t>
            </w:r>
          </w:p>
        </w:tc>
        <w:tc>
          <w:tcPr>
            <w:tcW w:w="962" w:type="dxa"/>
            <w:tcBorders>
              <w:top w:val="nil"/>
              <w:left w:val="nil"/>
              <w:bottom w:val="nil"/>
              <w:right w:val="nil"/>
            </w:tcBorders>
            <w:shd w:val="clear" w:color="auto" w:fill="auto"/>
            <w:noWrap/>
            <w:vAlign w:val="center"/>
            <w:hideMark/>
          </w:tcPr>
          <w:p w14:paraId="321E27A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0.909</w:t>
            </w:r>
          </w:p>
        </w:tc>
        <w:tc>
          <w:tcPr>
            <w:tcW w:w="702" w:type="dxa"/>
            <w:tcBorders>
              <w:top w:val="nil"/>
              <w:left w:val="nil"/>
              <w:bottom w:val="nil"/>
              <w:right w:val="nil"/>
            </w:tcBorders>
            <w:shd w:val="clear" w:color="auto" w:fill="auto"/>
            <w:noWrap/>
            <w:vAlign w:val="center"/>
            <w:hideMark/>
          </w:tcPr>
          <w:p w14:paraId="49E2EB1C"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0.213</w:t>
            </w:r>
          </w:p>
        </w:tc>
        <w:tc>
          <w:tcPr>
            <w:tcW w:w="758" w:type="dxa"/>
            <w:tcBorders>
              <w:top w:val="nil"/>
              <w:left w:val="nil"/>
              <w:bottom w:val="nil"/>
              <w:right w:val="nil"/>
            </w:tcBorders>
            <w:shd w:val="clear" w:color="auto" w:fill="auto"/>
            <w:noWrap/>
            <w:vAlign w:val="center"/>
            <w:hideMark/>
          </w:tcPr>
          <w:p w14:paraId="21625DA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0.187</w:t>
            </w:r>
          </w:p>
        </w:tc>
        <w:tc>
          <w:tcPr>
            <w:tcW w:w="881" w:type="dxa"/>
            <w:tcBorders>
              <w:top w:val="nil"/>
              <w:left w:val="nil"/>
              <w:bottom w:val="nil"/>
              <w:right w:val="nil"/>
            </w:tcBorders>
            <w:shd w:val="clear" w:color="auto" w:fill="auto"/>
            <w:noWrap/>
            <w:vAlign w:val="center"/>
            <w:hideMark/>
          </w:tcPr>
          <w:p w14:paraId="55B07AC8"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0.127</w:t>
            </w:r>
          </w:p>
        </w:tc>
        <w:tc>
          <w:tcPr>
            <w:tcW w:w="1054" w:type="dxa"/>
            <w:tcBorders>
              <w:top w:val="nil"/>
              <w:left w:val="nil"/>
              <w:bottom w:val="nil"/>
              <w:right w:val="nil"/>
            </w:tcBorders>
            <w:shd w:val="clear" w:color="auto" w:fill="auto"/>
            <w:noWrap/>
            <w:vAlign w:val="center"/>
            <w:hideMark/>
          </w:tcPr>
          <w:p w14:paraId="6E6328B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13306350" w14:textId="77777777" w:rsidTr="00F87AA2">
        <w:trPr>
          <w:trHeight w:val="244"/>
        </w:trPr>
        <w:tc>
          <w:tcPr>
            <w:tcW w:w="901" w:type="dxa"/>
            <w:tcBorders>
              <w:top w:val="nil"/>
              <w:left w:val="nil"/>
              <w:bottom w:val="nil"/>
              <w:right w:val="nil"/>
            </w:tcBorders>
            <w:shd w:val="clear" w:color="auto" w:fill="auto"/>
            <w:noWrap/>
            <w:vAlign w:val="center"/>
            <w:hideMark/>
          </w:tcPr>
          <w:p w14:paraId="08C6219F"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lastRenderedPageBreak/>
              <w:t>FS</w:t>
            </w:r>
          </w:p>
        </w:tc>
        <w:tc>
          <w:tcPr>
            <w:tcW w:w="932" w:type="dxa"/>
            <w:tcBorders>
              <w:top w:val="nil"/>
              <w:left w:val="nil"/>
              <w:bottom w:val="nil"/>
              <w:right w:val="nil"/>
            </w:tcBorders>
            <w:shd w:val="clear" w:color="auto" w:fill="auto"/>
            <w:noWrap/>
            <w:vAlign w:val="center"/>
            <w:hideMark/>
          </w:tcPr>
          <w:p w14:paraId="3404754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1.01</w:t>
            </w:r>
          </w:p>
        </w:tc>
        <w:tc>
          <w:tcPr>
            <w:tcW w:w="962" w:type="dxa"/>
            <w:tcBorders>
              <w:top w:val="nil"/>
              <w:left w:val="nil"/>
              <w:bottom w:val="nil"/>
              <w:right w:val="nil"/>
            </w:tcBorders>
            <w:shd w:val="clear" w:color="auto" w:fill="auto"/>
            <w:noWrap/>
            <w:vAlign w:val="center"/>
            <w:hideMark/>
          </w:tcPr>
          <w:p w14:paraId="2A1303B3"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15.008</w:t>
            </w:r>
          </w:p>
        </w:tc>
        <w:tc>
          <w:tcPr>
            <w:tcW w:w="702" w:type="dxa"/>
            <w:tcBorders>
              <w:top w:val="nil"/>
              <w:left w:val="nil"/>
              <w:bottom w:val="nil"/>
              <w:right w:val="nil"/>
            </w:tcBorders>
            <w:shd w:val="clear" w:color="auto" w:fill="auto"/>
            <w:noWrap/>
            <w:vAlign w:val="center"/>
            <w:hideMark/>
          </w:tcPr>
          <w:p w14:paraId="3681AFA3"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8.864</w:t>
            </w:r>
          </w:p>
        </w:tc>
        <w:tc>
          <w:tcPr>
            <w:tcW w:w="758" w:type="dxa"/>
            <w:tcBorders>
              <w:top w:val="nil"/>
              <w:left w:val="nil"/>
              <w:bottom w:val="nil"/>
              <w:right w:val="nil"/>
            </w:tcBorders>
            <w:shd w:val="clear" w:color="auto" w:fill="auto"/>
            <w:noWrap/>
            <w:vAlign w:val="center"/>
            <w:hideMark/>
          </w:tcPr>
          <w:p w14:paraId="283BD03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8.86</w:t>
            </w:r>
          </w:p>
        </w:tc>
        <w:tc>
          <w:tcPr>
            <w:tcW w:w="881" w:type="dxa"/>
            <w:tcBorders>
              <w:top w:val="nil"/>
              <w:left w:val="nil"/>
              <w:bottom w:val="nil"/>
              <w:right w:val="nil"/>
            </w:tcBorders>
            <w:shd w:val="clear" w:color="auto" w:fill="auto"/>
            <w:noWrap/>
            <w:vAlign w:val="center"/>
            <w:hideMark/>
          </w:tcPr>
          <w:p w14:paraId="19B08DB4"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1.971</w:t>
            </w:r>
          </w:p>
        </w:tc>
        <w:tc>
          <w:tcPr>
            <w:tcW w:w="1054" w:type="dxa"/>
            <w:tcBorders>
              <w:top w:val="nil"/>
              <w:left w:val="nil"/>
              <w:bottom w:val="nil"/>
              <w:right w:val="nil"/>
            </w:tcBorders>
            <w:shd w:val="clear" w:color="auto" w:fill="auto"/>
            <w:noWrap/>
            <w:vAlign w:val="center"/>
            <w:hideMark/>
          </w:tcPr>
          <w:p w14:paraId="2538E83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300A24D0" w14:textId="77777777" w:rsidTr="00F87AA2">
        <w:trPr>
          <w:trHeight w:val="244"/>
        </w:trPr>
        <w:tc>
          <w:tcPr>
            <w:tcW w:w="901" w:type="dxa"/>
            <w:tcBorders>
              <w:top w:val="nil"/>
              <w:left w:val="nil"/>
              <w:bottom w:val="nil"/>
              <w:right w:val="nil"/>
            </w:tcBorders>
            <w:shd w:val="clear" w:color="auto" w:fill="auto"/>
            <w:noWrap/>
            <w:vAlign w:val="center"/>
            <w:hideMark/>
          </w:tcPr>
          <w:p w14:paraId="425EC0CA"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FA</w:t>
            </w:r>
          </w:p>
        </w:tc>
        <w:tc>
          <w:tcPr>
            <w:tcW w:w="932" w:type="dxa"/>
            <w:tcBorders>
              <w:top w:val="nil"/>
              <w:left w:val="nil"/>
              <w:bottom w:val="nil"/>
              <w:right w:val="nil"/>
            </w:tcBorders>
            <w:shd w:val="clear" w:color="auto" w:fill="auto"/>
            <w:noWrap/>
            <w:vAlign w:val="center"/>
            <w:hideMark/>
          </w:tcPr>
          <w:p w14:paraId="4816DF39"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3.349</w:t>
            </w:r>
          </w:p>
        </w:tc>
        <w:tc>
          <w:tcPr>
            <w:tcW w:w="962" w:type="dxa"/>
            <w:tcBorders>
              <w:top w:val="nil"/>
              <w:left w:val="nil"/>
              <w:bottom w:val="nil"/>
              <w:right w:val="nil"/>
            </w:tcBorders>
            <w:shd w:val="clear" w:color="auto" w:fill="auto"/>
            <w:noWrap/>
            <w:vAlign w:val="center"/>
            <w:hideMark/>
          </w:tcPr>
          <w:p w14:paraId="307E5F6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4.98</w:t>
            </w:r>
          </w:p>
        </w:tc>
        <w:tc>
          <w:tcPr>
            <w:tcW w:w="702" w:type="dxa"/>
            <w:tcBorders>
              <w:top w:val="nil"/>
              <w:left w:val="nil"/>
              <w:bottom w:val="nil"/>
              <w:right w:val="nil"/>
            </w:tcBorders>
            <w:shd w:val="clear" w:color="auto" w:fill="auto"/>
            <w:noWrap/>
            <w:vAlign w:val="center"/>
            <w:hideMark/>
          </w:tcPr>
          <w:p w14:paraId="7B1DE5A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758" w:type="dxa"/>
            <w:tcBorders>
              <w:top w:val="nil"/>
              <w:left w:val="nil"/>
              <w:bottom w:val="nil"/>
              <w:right w:val="nil"/>
            </w:tcBorders>
            <w:shd w:val="clear" w:color="auto" w:fill="auto"/>
            <w:noWrap/>
            <w:vAlign w:val="center"/>
            <w:hideMark/>
          </w:tcPr>
          <w:p w14:paraId="44FF1FB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3.301</w:t>
            </w:r>
          </w:p>
        </w:tc>
        <w:tc>
          <w:tcPr>
            <w:tcW w:w="881" w:type="dxa"/>
            <w:tcBorders>
              <w:top w:val="nil"/>
              <w:left w:val="nil"/>
              <w:bottom w:val="nil"/>
              <w:right w:val="nil"/>
            </w:tcBorders>
            <w:shd w:val="clear" w:color="auto" w:fill="auto"/>
            <w:noWrap/>
            <w:vAlign w:val="center"/>
            <w:hideMark/>
          </w:tcPr>
          <w:p w14:paraId="0A707B3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0.791</w:t>
            </w:r>
          </w:p>
        </w:tc>
        <w:tc>
          <w:tcPr>
            <w:tcW w:w="1054" w:type="dxa"/>
            <w:tcBorders>
              <w:top w:val="nil"/>
              <w:left w:val="nil"/>
              <w:bottom w:val="nil"/>
              <w:right w:val="nil"/>
            </w:tcBorders>
            <w:shd w:val="clear" w:color="auto" w:fill="auto"/>
            <w:noWrap/>
            <w:vAlign w:val="center"/>
            <w:hideMark/>
          </w:tcPr>
          <w:p w14:paraId="183478C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541F1650" w14:textId="77777777" w:rsidTr="00F87AA2">
        <w:trPr>
          <w:trHeight w:val="244"/>
        </w:trPr>
        <w:tc>
          <w:tcPr>
            <w:tcW w:w="901" w:type="dxa"/>
            <w:tcBorders>
              <w:top w:val="nil"/>
              <w:left w:val="nil"/>
              <w:bottom w:val="nil"/>
              <w:right w:val="nil"/>
            </w:tcBorders>
            <w:shd w:val="clear" w:color="auto" w:fill="auto"/>
            <w:noWrap/>
            <w:vAlign w:val="center"/>
            <w:hideMark/>
          </w:tcPr>
          <w:p w14:paraId="10331416"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FP</w:t>
            </w:r>
          </w:p>
        </w:tc>
        <w:tc>
          <w:tcPr>
            <w:tcW w:w="932" w:type="dxa"/>
            <w:tcBorders>
              <w:top w:val="nil"/>
              <w:left w:val="nil"/>
              <w:bottom w:val="nil"/>
              <w:right w:val="nil"/>
            </w:tcBorders>
            <w:shd w:val="clear" w:color="auto" w:fill="auto"/>
            <w:noWrap/>
            <w:vAlign w:val="center"/>
            <w:hideMark/>
          </w:tcPr>
          <w:p w14:paraId="12963F4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-201.09</w:t>
            </w:r>
          </w:p>
        </w:tc>
        <w:tc>
          <w:tcPr>
            <w:tcW w:w="962" w:type="dxa"/>
            <w:tcBorders>
              <w:top w:val="nil"/>
              <w:left w:val="nil"/>
              <w:bottom w:val="nil"/>
              <w:right w:val="nil"/>
            </w:tcBorders>
            <w:shd w:val="clear" w:color="auto" w:fill="auto"/>
            <w:noWrap/>
            <w:vAlign w:val="center"/>
            <w:hideMark/>
          </w:tcPr>
          <w:p w14:paraId="29062B82"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189.24</w:t>
            </w:r>
          </w:p>
        </w:tc>
        <w:tc>
          <w:tcPr>
            <w:tcW w:w="702" w:type="dxa"/>
            <w:tcBorders>
              <w:top w:val="nil"/>
              <w:left w:val="nil"/>
              <w:bottom w:val="nil"/>
              <w:right w:val="nil"/>
            </w:tcBorders>
            <w:shd w:val="clear" w:color="auto" w:fill="auto"/>
            <w:noWrap/>
            <w:vAlign w:val="center"/>
            <w:hideMark/>
          </w:tcPr>
          <w:p w14:paraId="6CBFF43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16.571</w:t>
            </w:r>
          </w:p>
        </w:tc>
        <w:tc>
          <w:tcPr>
            <w:tcW w:w="758" w:type="dxa"/>
            <w:tcBorders>
              <w:top w:val="nil"/>
              <w:left w:val="nil"/>
              <w:bottom w:val="nil"/>
              <w:right w:val="nil"/>
            </w:tcBorders>
            <w:shd w:val="clear" w:color="auto" w:fill="auto"/>
            <w:noWrap/>
            <w:vAlign w:val="center"/>
            <w:hideMark/>
          </w:tcPr>
          <w:p w14:paraId="1B08C19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16.96</w:t>
            </w:r>
          </w:p>
        </w:tc>
        <w:tc>
          <w:tcPr>
            <w:tcW w:w="881" w:type="dxa"/>
            <w:tcBorders>
              <w:top w:val="nil"/>
              <w:left w:val="nil"/>
              <w:bottom w:val="nil"/>
              <w:right w:val="nil"/>
            </w:tcBorders>
            <w:shd w:val="clear" w:color="auto" w:fill="auto"/>
            <w:noWrap/>
            <w:vAlign w:val="center"/>
            <w:hideMark/>
          </w:tcPr>
          <w:p w14:paraId="39F78F0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24.126</w:t>
            </w:r>
          </w:p>
        </w:tc>
        <w:tc>
          <w:tcPr>
            <w:tcW w:w="1054" w:type="dxa"/>
            <w:tcBorders>
              <w:top w:val="nil"/>
              <w:left w:val="nil"/>
              <w:bottom w:val="nil"/>
              <w:right w:val="nil"/>
            </w:tcBorders>
            <w:shd w:val="clear" w:color="auto" w:fill="auto"/>
            <w:noWrap/>
            <w:vAlign w:val="center"/>
            <w:hideMark/>
          </w:tcPr>
          <w:p w14:paraId="6935E85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349A2422" w14:textId="77777777" w:rsidTr="00F87AA2">
        <w:trPr>
          <w:trHeight w:val="244"/>
        </w:trPr>
        <w:tc>
          <w:tcPr>
            <w:tcW w:w="901" w:type="dxa"/>
            <w:tcBorders>
              <w:top w:val="nil"/>
              <w:left w:val="nil"/>
              <w:bottom w:val="nil"/>
              <w:right w:val="nil"/>
            </w:tcBorders>
            <w:shd w:val="clear" w:color="auto" w:fill="auto"/>
            <w:noWrap/>
            <w:vAlign w:val="center"/>
            <w:hideMark/>
          </w:tcPr>
          <w:p w14:paraId="47A7EA8E"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FR</w:t>
            </w:r>
          </w:p>
        </w:tc>
        <w:tc>
          <w:tcPr>
            <w:tcW w:w="932" w:type="dxa"/>
            <w:tcBorders>
              <w:top w:val="nil"/>
              <w:left w:val="nil"/>
              <w:bottom w:val="nil"/>
              <w:right w:val="nil"/>
            </w:tcBorders>
            <w:shd w:val="clear" w:color="auto" w:fill="auto"/>
            <w:noWrap/>
            <w:vAlign w:val="center"/>
            <w:hideMark/>
          </w:tcPr>
          <w:p w14:paraId="0FDE2E38"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-0.77</w:t>
            </w:r>
          </w:p>
        </w:tc>
        <w:tc>
          <w:tcPr>
            <w:tcW w:w="962" w:type="dxa"/>
            <w:tcBorders>
              <w:top w:val="nil"/>
              <w:left w:val="nil"/>
              <w:bottom w:val="nil"/>
              <w:right w:val="nil"/>
            </w:tcBorders>
            <w:shd w:val="clear" w:color="auto" w:fill="auto"/>
            <w:noWrap/>
            <w:vAlign w:val="center"/>
            <w:hideMark/>
          </w:tcPr>
          <w:p w14:paraId="599FCBA5"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2.28</w:t>
            </w:r>
          </w:p>
        </w:tc>
        <w:tc>
          <w:tcPr>
            <w:tcW w:w="702" w:type="dxa"/>
            <w:tcBorders>
              <w:top w:val="nil"/>
              <w:left w:val="nil"/>
              <w:bottom w:val="nil"/>
              <w:right w:val="nil"/>
            </w:tcBorders>
            <w:shd w:val="clear" w:color="auto" w:fill="auto"/>
            <w:noWrap/>
            <w:vAlign w:val="center"/>
            <w:hideMark/>
          </w:tcPr>
          <w:p w14:paraId="625466B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0.842</w:t>
            </w:r>
          </w:p>
        </w:tc>
        <w:tc>
          <w:tcPr>
            <w:tcW w:w="758" w:type="dxa"/>
            <w:tcBorders>
              <w:top w:val="nil"/>
              <w:left w:val="nil"/>
              <w:bottom w:val="nil"/>
              <w:right w:val="nil"/>
            </w:tcBorders>
            <w:shd w:val="clear" w:color="auto" w:fill="auto"/>
            <w:noWrap/>
            <w:vAlign w:val="center"/>
            <w:hideMark/>
          </w:tcPr>
          <w:p w14:paraId="5AF531E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0.83</w:t>
            </w:r>
          </w:p>
        </w:tc>
        <w:tc>
          <w:tcPr>
            <w:tcW w:w="881" w:type="dxa"/>
            <w:tcBorders>
              <w:top w:val="nil"/>
              <w:left w:val="nil"/>
              <w:bottom w:val="nil"/>
              <w:right w:val="nil"/>
            </w:tcBorders>
            <w:shd w:val="clear" w:color="auto" w:fill="auto"/>
            <w:noWrap/>
            <w:vAlign w:val="center"/>
            <w:hideMark/>
          </w:tcPr>
          <w:p w14:paraId="0B893AD3"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0.328</w:t>
            </w:r>
          </w:p>
        </w:tc>
        <w:tc>
          <w:tcPr>
            <w:tcW w:w="1054" w:type="dxa"/>
            <w:tcBorders>
              <w:top w:val="nil"/>
              <w:left w:val="nil"/>
              <w:bottom w:val="nil"/>
              <w:right w:val="nil"/>
            </w:tcBorders>
            <w:shd w:val="clear" w:color="auto" w:fill="auto"/>
            <w:noWrap/>
            <w:vAlign w:val="center"/>
            <w:hideMark/>
          </w:tcPr>
          <w:p w14:paraId="2AA26F72"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50AD6C93" w14:textId="77777777" w:rsidTr="00F87AA2">
        <w:trPr>
          <w:trHeight w:val="244"/>
        </w:trPr>
        <w:tc>
          <w:tcPr>
            <w:tcW w:w="901" w:type="dxa"/>
            <w:tcBorders>
              <w:top w:val="nil"/>
              <w:left w:val="nil"/>
              <w:bottom w:val="nil"/>
              <w:right w:val="nil"/>
            </w:tcBorders>
            <w:shd w:val="clear" w:color="auto" w:fill="auto"/>
            <w:noWrap/>
            <w:vAlign w:val="center"/>
            <w:hideMark/>
          </w:tcPr>
          <w:p w14:paraId="1868FD47"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LEV</w:t>
            </w:r>
          </w:p>
        </w:tc>
        <w:tc>
          <w:tcPr>
            <w:tcW w:w="932" w:type="dxa"/>
            <w:tcBorders>
              <w:top w:val="nil"/>
              <w:left w:val="nil"/>
              <w:bottom w:val="nil"/>
              <w:right w:val="nil"/>
            </w:tcBorders>
            <w:shd w:val="clear" w:color="auto" w:fill="auto"/>
            <w:noWrap/>
            <w:vAlign w:val="center"/>
            <w:hideMark/>
          </w:tcPr>
          <w:p w14:paraId="0EC946D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nil"/>
              <w:right w:val="nil"/>
            </w:tcBorders>
            <w:shd w:val="clear" w:color="auto" w:fill="auto"/>
            <w:noWrap/>
            <w:vAlign w:val="center"/>
            <w:hideMark/>
          </w:tcPr>
          <w:p w14:paraId="5AB05D5B"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1.687</w:t>
            </w:r>
          </w:p>
        </w:tc>
        <w:tc>
          <w:tcPr>
            <w:tcW w:w="702" w:type="dxa"/>
            <w:tcBorders>
              <w:top w:val="nil"/>
              <w:left w:val="nil"/>
              <w:bottom w:val="nil"/>
              <w:right w:val="nil"/>
            </w:tcBorders>
            <w:shd w:val="clear" w:color="auto" w:fill="auto"/>
            <w:noWrap/>
            <w:vAlign w:val="center"/>
            <w:hideMark/>
          </w:tcPr>
          <w:p w14:paraId="3AFA5A6E"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0.446</w:t>
            </w:r>
          </w:p>
        </w:tc>
        <w:tc>
          <w:tcPr>
            <w:tcW w:w="758" w:type="dxa"/>
            <w:tcBorders>
              <w:top w:val="nil"/>
              <w:left w:val="nil"/>
              <w:bottom w:val="nil"/>
              <w:right w:val="nil"/>
            </w:tcBorders>
            <w:shd w:val="clear" w:color="auto" w:fill="auto"/>
            <w:noWrap/>
            <w:vAlign w:val="center"/>
            <w:hideMark/>
          </w:tcPr>
          <w:p w14:paraId="316BF6CB"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0.458</w:t>
            </w:r>
          </w:p>
        </w:tc>
        <w:tc>
          <w:tcPr>
            <w:tcW w:w="881" w:type="dxa"/>
            <w:tcBorders>
              <w:top w:val="nil"/>
              <w:left w:val="nil"/>
              <w:bottom w:val="nil"/>
              <w:right w:val="nil"/>
            </w:tcBorders>
            <w:shd w:val="clear" w:color="auto" w:fill="auto"/>
            <w:noWrap/>
            <w:vAlign w:val="center"/>
            <w:hideMark/>
          </w:tcPr>
          <w:p w14:paraId="15E7928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0.238</w:t>
            </w:r>
          </w:p>
        </w:tc>
        <w:tc>
          <w:tcPr>
            <w:tcW w:w="1054" w:type="dxa"/>
            <w:tcBorders>
              <w:top w:val="nil"/>
              <w:left w:val="nil"/>
              <w:bottom w:val="nil"/>
              <w:right w:val="nil"/>
            </w:tcBorders>
            <w:shd w:val="clear" w:color="auto" w:fill="auto"/>
            <w:noWrap/>
            <w:vAlign w:val="center"/>
            <w:hideMark/>
          </w:tcPr>
          <w:p w14:paraId="6FEC20A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6A30372D" w14:textId="77777777" w:rsidTr="00F87AA2">
        <w:trPr>
          <w:trHeight w:val="244"/>
        </w:trPr>
        <w:tc>
          <w:tcPr>
            <w:tcW w:w="901" w:type="dxa"/>
            <w:tcBorders>
              <w:top w:val="nil"/>
              <w:left w:val="nil"/>
              <w:bottom w:val="nil"/>
              <w:right w:val="nil"/>
            </w:tcBorders>
            <w:shd w:val="clear" w:color="auto" w:fill="auto"/>
            <w:noWrap/>
            <w:vAlign w:val="center"/>
            <w:hideMark/>
          </w:tcPr>
          <w:p w14:paraId="282B2F60"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LIQ</w:t>
            </w:r>
          </w:p>
        </w:tc>
        <w:tc>
          <w:tcPr>
            <w:tcW w:w="932" w:type="dxa"/>
            <w:tcBorders>
              <w:top w:val="nil"/>
              <w:left w:val="nil"/>
              <w:bottom w:val="nil"/>
              <w:right w:val="nil"/>
            </w:tcBorders>
            <w:shd w:val="clear" w:color="auto" w:fill="auto"/>
            <w:noWrap/>
            <w:vAlign w:val="center"/>
            <w:hideMark/>
          </w:tcPr>
          <w:p w14:paraId="1BC545E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nil"/>
              <w:right w:val="nil"/>
            </w:tcBorders>
            <w:shd w:val="clear" w:color="auto" w:fill="auto"/>
            <w:noWrap/>
            <w:vAlign w:val="center"/>
            <w:hideMark/>
          </w:tcPr>
          <w:p w14:paraId="7A176217"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139.42</w:t>
            </w:r>
          </w:p>
        </w:tc>
        <w:tc>
          <w:tcPr>
            <w:tcW w:w="702" w:type="dxa"/>
            <w:tcBorders>
              <w:top w:val="nil"/>
              <w:left w:val="nil"/>
              <w:bottom w:val="nil"/>
              <w:right w:val="nil"/>
            </w:tcBorders>
            <w:shd w:val="clear" w:color="auto" w:fill="auto"/>
            <w:noWrap/>
            <w:vAlign w:val="center"/>
            <w:hideMark/>
          </w:tcPr>
          <w:p w14:paraId="6E1B0EE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1.687</w:t>
            </w:r>
          </w:p>
        </w:tc>
        <w:tc>
          <w:tcPr>
            <w:tcW w:w="758" w:type="dxa"/>
            <w:tcBorders>
              <w:top w:val="nil"/>
              <w:left w:val="nil"/>
              <w:bottom w:val="nil"/>
              <w:right w:val="nil"/>
            </w:tcBorders>
            <w:shd w:val="clear" w:color="auto" w:fill="auto"/>
            <w:noWrap/>
            <w:vAlign w:val="center"/>
            <w:hideMark/>
          </w:tcPr>
          <w:p w14:paraId="1F16B7C4"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1.2</w:t>
            </w:r>
          </w:p>
        </w:tc>
        <w:tc>
          <w:tcPr>
            <w:tcW w:w="881" w:type="dxa"/>
            <w:tcBorders>
              <w:top w:val="nil"/>
              <w:left w:val="nil"/>
              <w:bottom w:val="nil"/>
              <w:right w:val="nil"/>
            </w:tcBorders>
            <w:shd w:val="clear" w:color="auto" w:fill="auto"/>
            <w:noWrap/>
            <w:vAlign w:val="center"/>
            <w:hideMark/>
          </w:tcPr>
          <w:p w14:paraId="45948E94"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3.228</w:t>
            </w:r>
          </w:p>
        </w:tc>
        <w:tc>
          <w:tcPr>
            <w:tcW w:w="1054" w:type="dxa"/>
            <w:tcBorders>
              <w:top w:val="nil"/>
              <w:left w:val="nil"/>
              <w:bottom w:val="nil"/>
              <w:right w:val="nil"/>
            </w:tcBorders>
            <w:shd w:val="clear" w:color="auto" w:fill="auto"/>
            <w:noWrap/>
            <w:vAlign w:val="center"/>
            <w:hideMark/>
          </w:tcPr>
          <w:p w14:paraId="6F2E9C54"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6B10E3" w:rsidRPr="006B10E3" w14:paraId="0BD56A34" w14:textId="77777777" w:rsidTr="00F87AA2">
        <w:trPr>
          <w:trHeight w:val="244"/>
        </w:trPr>
        <w:tc>
          <w:tcPr>
            <w:tcW w:w="901" w:type="dxa"/>
            <w:tcBorders>
              <w:top w:val="nil"/>
              <w:left w:val="nil"/>
              <w:bottom w:val="single" w:sz="4" w:space="0" w:color="auto"/>
              <w:right w:val="nil"/>
            </w:tcBorders>
            <w:shd w:val="clear" w:color="auto" w:fill="auto"/>
            <w:noWrap/>
            <w:vAlign w:val="center"/>
            <w:hideMark/>
          </w:tcPr>
          <w:p w14:paraId="56C1B281" w14:textId="77777777" w:rsidR="00160777" w:rsidRPr="006B10E3" w:rsidRDefault="00160777" w:rsidP="00F87AA2">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DP</w:t>
            </w:r>
          </w:p>
        </w:tc>
        <w:tc>
          <w:tcPr>
            <w:tcW w:w="932" w:type="dxa"/>
            <w:tcBorders>
              <w:top w:val="nil"/>
              <w:left w:val="nil"/>
              <w:bottom w:val="single" w:sz="4" w:space="0" w:color="auto"/>
              <w:right w:val="nil"/>
            </w:tcBorders>
            <w:shd w:val="clear" w:color="auto" w:fill="auto"/>
            <w:noWrap/>
            <w:vAlign w:val="center"/>
            <w:hideMark/>
          </w:tcPr>
          <w:p w14:paraId="5FE9F40D"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single" w:sz="4" w:space="0" w:color="auto"/>
              <w:right w:val="nil"/>
            </w:tcBorders>
            <w:shd w:val="clear" w:color="auto" w:fill="auto"/>
            <w:noWrap/>
            <w:vAlign w:val="center"/>
            <w:hideMark/>
          </w:tcPr>
          <w:p w14:paraId="2D4473DC"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97.09</w:t>
            </w:r>
          </w:p>
        </w:tc>
        <w:tc>
          <w:tcPr>
            <w:tcW w:w="702" w:type="dxa"/>
            <w:tcBorders>
              <w:top w:val="nil"/>
              <w:left w:val="nil"/>
              <w:bottom w:val="single" w:sz="4" w:space="0" w:color="auto"/>
              <w:right w:val="nil"/>
            </w:tcBorders>
            <w:shd w:val="clear" w:color="auto" w:fill="auto"/>
            <w:noWrap/>
            <w:vAlign w:val="center"/>
            <w:hideMark/>
          </w:tcPr>
          <w:p w14:paraId="361D904C"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26.533</w:t>
            </w:r>
          </w:p>
        </w:tc>
        <w:tc>
          <w:tcPr>
            <w:tcW w:w="758" w:type="dxa"/>
            <w:tcBorders>
              <w:top w:val="nil"/>
              <w:left w:val="nil"/>
              <w:bottom w:val="single" w:sz="4" w:space="0" w:color="auto"/>
              <w:right w:val="nil"/>
            </w:tcBorders>
            <w:shd w:val="clear" w:color="auto" w:fill="auto"/>
            <w:noWrap/>
            <w:vAlign w:val="center"/>
            <w:hideMark/>
          </w:tcPr>
          <w:p w14:paraId="27357121"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24.075</w:t>
            </w:r>
          </w:p>
        </w:tc>
        <w:tc>
          <w:tcPr>
            <w:tcW w:w="881" w:type="dxa"/>
            <w:tcBorders>
              <w:top w:val="nil"/>
              <w:left w:val="nil"/>
              <w:bottom w:val="single" w:sz="4" w:space="0" w:color="auto"/>
              <w:right w:val="nil"/>
            </w:tcBorders>
            <w:shd w:val="clear" w:color="auto" w:fill="auto"/>
            <w:noWrap/>
            <w:vAlign w:val="center"/>
            <w:hideMark/>
          </w:tcPr>
          <w:p w14:paraId="4841B756"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17.529</w:t>
            </w:r>
          </w:p>
        </w:tc>
        <w:tc>
          <w:tcPr>
            <w:tcW w:w="1054" w:type="dxa"/>
            <w:tcBorders>
              <w:top w:val="nil"/>
              <w:left w:val="nil"/>
              <w:bottom w:val="single" w:sz="4" w:space="0" w:color="auto"/>
              <w:right w:val="nil"/>
            </w:tcBorders>
            <w:shd w:val="clear" w:color="auto" w:fill="auto"/>
            <w:noWrap/>
            <w:vAlign w:val="center"/>
            <w:hideMark/>
          </w:tcPr>
          <w:p w14:paraId="1C232880" w14:textId="77777777" w:rsidR="00160777" w:rsidRPr="006B10E3" w:rsidRDefault="00160777" w:rsidP="00F87AA2">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bl>
    <w:p w14:paraId="2F571DB4" w14:textId="77777777" w:rsidR="00160777" w:rsidRDefault="00160777" w:rsidP="0008434D">
      <w:pPr>
        <w:spacing w:after="0" w:line="240" w:lineRule="auto"/>
        <w:jc w:val="center"/>
        <w:rPr>
          <w:rFonts w:ascii="Times New Roman" w:eastAsia="Times New Roman" w:hAnsi="Times New Roman" w:cs="Times New Roman"/>
          <w:iCs/>
          <w:color w:val="000000" w:themeColor="text1"/>
          <w:sz w:val="20"/>
          <w:szCs w:val="24"/>
          <w:lang w:val="en-GB"/>
        </w:rPr>
      </w:pPr>
    </w:p>
    <w:p w14:paraId="0CF02B0C" w14:textId="77777777" w:rsidR="009C614A" w:rsidRDefault="00F67BB3" w:rsidP="009C614A">
      <w:pPr>
        <w:spacing w:line="240" w:lineRule="auto"/>
        <w:rPr>
          <w:rFonts w:ascii="Times New Roman" w:eastAsia="Times New Roman" w:hAnsi="Times New Roman" w:cs="Times New Roman"/>
          <w:i/>
          <w:iCs/>
          <w:color w:val="000000" w:themeColor="text1"/>
          <w:sz w:val="20"/>
          <w:szCs w:val="24"/>
          <w:lang w:val="en-GB"/>
        </w:rPr>
        <w:sectPr w:rsidR="009C614A" w:rsidSect="009C614A">
          <w:type w:val="continuous"/>
          <w:pgSz w:w="8640" w:h="12960"/>
          <w:pgMar w:top="850" w:right="1138" w:bottom="850" w:left="1138" w:header="720" w:footer="720" w:gutter="0"/>
          <w:cols w:space="720"/>
          <w:docGrid w:linePitch="360"/>
        </w:sect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4C4A2181" w14:textId="386EC7B5" w:rsidR="0046062B" w:rsidRDefault="0046062B" w:rsidP="0008434D">
      <w:pPr>
        <w:spacing w:line="240" w:lineRule="auto"/>
        <w:jc w:val="both"/>
        <w:rPr>
          <w:rFonts w:ascii="Times New Roman" w:eastAsia="Times New Roman" w:hAnsi="Times New Roman" w:cs="Times New Roman"/>
          <w:i/>
          <w:iCs/>
          <w:color w:val="000000" w:themeColor="text1"/>
          <w:sz w:val="20"/>
          <w:szCs w:val="24"/>
          <w:lang w:val="en-GB"/>
        </w:rPr>
      </w:pPr>
    </w:p>
    <w:p w14:paraId="39DFF8F4" w14:textId="52F425EF"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-4.203 and 50.044 with a mean value of 0.389. The average values of OC1 and OC5 are 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0.213. In India, the concentration level is very high, which means most of 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collinearity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which is similar to the early findings of (Clark and Wojcik,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lastRenderedPageBreak/>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collinearity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lastRenderedPageBreak/>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685637F6" w14:textId="395CB233" w:rsidR="00086E0F" w:rsidRDefault="004457C0" w:rsidP="00086E0F">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p>
    <w:p w14:paraId="00115AA1" w14:textId="77777777" w:rsidR="003F70AE" w:rsidRDefault="003F70AE" w:rsidP="00086E0F">
      <w:pPr>
        <w:autoSpaceDE w:val="0"/>
        <w:autoSpaceDN w:val="0"/>
        <w:adjustRightInd w:val="0"/>
        <w:spacing w:after="0" w:line="240" w:lineRule="auto"/>
        <w:jc w:val="both"/>
        <w:rPr>
          <w:rFonts w:ascii="Times New Roman" w:hAnsi="Times New Roman" w:cs="Times New Roman"/>
          <w:color w:val="000000"/>
          <w:sz w:val="20"/>
          <w:szCs w:val="19"/>
          <w:lang w:val="en-GB"/>
        </w:rPr>
        <w:sectPr w:rsidR="003F70AE" w:rsidSect="00AC1CF3">
          <w:type w:val="continuous"/>
          <w:pgSz w:w="8640" w:h="12960"/>
          <w:pgMar w:top="850" w:right="1138" w:bottom="850" w:left="1138" w:header="720" w:footer="720" w:gutter="0"/>
          <w:cols w:num="2" w:space="720"/>
          <w:docGrid w:linePitch="360"/>
        </w:sectPr>
      </w:pPr>
    </w:p>
    <w:p w14:paraId="3C06F425" w14:textId="0C825C08" w:rsidR="00156755" w:rsidRDefault="00DE3873" w:rsidP="00086E0F">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lastRenderedPageBreak/>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
    <w:p w14:paraId="2F05B1C2" w14:textId="77777777" w:rsidR="003F70AE" w:rsidRDefault="003F70AE" w:rsidP="006D1F23">
      <w:pPr>
        <w:spacing w:after="0" w:line="240" w:lineRule="auto"/>
        <w:rPr>
          <w:rFonts w:ascii="Times New Roman" w:eastAsia="Times New Roman" w:hAnsi="Times New Roman" w:cs="Times New Roman"/>
          <w:color w:val="000000"/>
          <w:sz w:val="20"/>
          <w:szCs w:val="20"/>
          <w:lang w:val="en-GB"/>
        </w:rPr>
        <w:sectPr w:rsidR="003F70AE" w:rsidSect="00AC1CF3">
          <w:type w:val="continuous"/>
          <w:pgSz w:w="8640" w:h="12960"/>
          <w:pgMar w:top="850" w:right="1138" w:bottom="850" w:left="1138" w:header="720" w:footer="720" w:gutter="0"/>
          <w:cols w:num="2" w:space="720"/>
          <w:docGrid w:linePitch="360"/>
        </w:sectPr>
      </w:pPr>
    </w:p>
    <w:p w14:paraId="074F80EC" w14:textId="77777777" w:rsidR="007B4926" w:rsidRDefault="007B4926" w:rsidP="00AB19A6">
      <w:pPr>
        <w:autoSpaceDE w:val="0"/>
        <w:autoSpaceDN w:val="0"/>
        <w:adjustRightInd w:val="0"/>
        <w:spacing w:after="0" w:line="240" w:lineRule="auto"/>
        <w:jc w:val="center"/>
        <w:rPr>
          <w:rFonts w:ascii="Times New Roman" w:hAnsi="Times New Roman" w:cs="Times New Roman"/>
          <w:color w:val="000000"/>
          <w:sz w:val="20"/>
          <w:szCs w:val="19"/>
          <w:lang w:val="en-GB"/>
        </w:rPr>
      </w:pPr>
    </w:p>
    <w:p w14:paraId="04915A79" w14:textId="3717ACF8" w:rsidR="00F87AA2" w:rsidRDefault="00ED6A3F" w:rsidP="00AB19A6">
      <w:pPr>
        <w:autoSpaceDE w:val="0"/>
        <w:autoSpaceDN w:val="0"/>
        <w:adjustRightInd w:val="0"/>
        <w:spacing w:after="0" w:line="240" w:lineRule="auto"/>
        <w:jc w:val="center"/>
        <w:rPr>
          <w:rFonts w:ascii="Times New Roman" w:hAnsi="Times New Roman" w:cs="Times New Roman"/>
          <w:i/>
          <w:iCs/>
          <w:color w:val="000000"/>
          <w:szCs w:val="19"/>
          <w:lang w:val="en-GB"/>
        </w:rPr>
      </w:pPr>
      <w:bookmarkStart w:id="0" w:name="_GoBack"/>
      <w:bookmarkEnd w:id="0"/>
      <w:r w:rsidRPr="00F2448C">
        <w:rPr>
          <w:rFonts w:ascii="Times New Roman" w:hAnsi="Times New Roman" w:cs="Times New Roman"/>
          <w:color w:val="000000"/>
          <w:sz w:val="20"/>
          <w:szCs w:val="19"/>
          <w:lang w:val="en-GB"/>
        </w:rPr>
        <w:t xml:space="preserve">Table </w:t>
      </w:r>
      <w:r>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Post-crisis GMM estimations.</w:t>
      </w:r>
    </w:p>
    <w:p w14:paraId="342D0EF7" w14:textId="77777777" w:rsidR="00F87AA2" w:rsidRDefault="00F87AA2" w:rsidP="00AB19A6">
      <w:pPr>
        <w:autoSpaceDE w:val="0"/>
        <w:autoSpaceDN w:val="0"/>
        <w:adjustRightInd w:val="0"/>
        <w:spacing w:after="0" w:line="240" w:lineRule="auto"/>
        <w:jc w:val="center"/>
        <w:rPr>
          <w:rFonts w:ascii="Times New Roman" w:hAnsi="Times New Roman" w:cs="Times New Roman"/>
          <w:i/>
          <w:iCs/>
          <w:color w:val="000000"/>
          <w:szCs w:val="19"/>
          <w:lang w:val="en-GB"/>
        </w:rPr>
      </w:pPr>
    </w:p>
    <w:tbl>
      <w:tblPr>
        <w:tblW w:w="6190" w:type="dxa"/>
        <w:tblLook w:val="04A0" w:firstRow="1" w:lastRow="0" w:firstColumn="1" w:lastColumn="0" w:noHBand="0" w:noVBand="1"/>
      </w:tblPr>
      <w:tblGrid>
        <w:gridCol w:w="906"/>
        <w:gridCol w:w="937"/>
        <w:gridCol w:w="966"/>
        <w:gridCol w:w="711"/>
        <w:gridCol w:w="766"/>
        <w:gridCol w:w="886"/>
        <w:gridCol w:w="1056"/>
      </w:tblGrid>
      <w:tr w:rsidR="005836EE" w:rsidRPr="006B10E3" w14:paraId="5F34119D" w14:textId="77777777" w:rsidTr="00C03707">
        <w:trPr>
          <w:trHeight w:val="244"/>
        </w:trPr>
        <w:tc>
          <w:tcPr>
            <w:tcW w:w="901" w:type="dxa"/>
            <w:tcBorders>
              <w:top w:val="single" w:sz="4" w:space="0" w:color="auto"/>
              <w:left w:val="nil"/>
              <w:bottom w:val="single" w:sz="4" w:space="0" w:color="auto"/>
              <w:right w:val="nil"/>
            </w:tcBorders>
            <w:shd w:val="clear" w:color="auto" w:fill="auto"/>
            <w:noWrap/>
            <w:vAlign w:val="center"/>
            <w:hideMark/>
          </w:tcPr>
          <w:p w14:paraId="7D9BC5DD"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Variables</w:t>
            </w:r>
          </w:p>
        </w:tc>
        <w:tc>
          <w:tcPr>
            <w:tcW w:w="932" w:type="dxa"/>
            <w:tcBorders>
              <w:top w:val="single" w:sz="4" w:space="0" w:color="auto"/>
              <w:left w:val="nil"/>
              <w:bottom w:val="single" w:sz="4" w:space="0" w:color="auto"/>
              <w:right w:val="nil"/>
            </w:tcBorders>
            <w:shd w:val="clear" w:color="auto" w:fill="auto"/>
            <w:noWrap/>
            <w:vAlign w:val="center"/>
            <w:hideMark/>
          </w:tcPr>
          <w:p w14:paraId="5C02BA3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Minimum</w:t>
            </w:r>
          </w:p>
        </w:tc>
        <w:tc>
          <w:tcPr>
            <w:tcW w:w="962" w:type="dxa"/>
            <w:tcBorders>
              <w:top w:val="single" w:sz="4" w:space="0" w:color="auto"/>
              <w:left w:val="nil"/>
              <w:bottom w:val="single" w:sz="4" w:space="0" w:color="auto"/>
              <w:right w:val="nil"/>
            </w:tcBorders>
            <w:shd w:val="clear" w:color="auto" w:fill="auto"/>
            <w:noWrap/>
            <w:vAlign w:val="center"/>
            <w:hideMark/>
          </w:tcPr>
          <w:p w14:paraId="6FAE2D96"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Maximum</w:t>
            </w:r>
          </w:p>
        </w:tc>
        <w:tc>
          <w:tcPr>
            <w:tcW w:w="702" w:type="dxa"/>
            <w:tcBorders>
              <w:top w:val="single" w:sz="4" w:space="0" w:color="auto"/>
              <w:left w:val="nil"/>
              <w:bottom w:val="single" w:sz="4" w:space="0" w:color="auto"/>
              <w:right w:val="nil"/>
            </w:tcBorders>
            <w:shd w:val="clear" w:color="auto" w:fill="auto"/>
            <w:noWrap/>
            <w:vAlign w:val="center"/>
            <w:hideMark/>
          </w:tcPr>
          <w:p w14:paraId="0817C56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Mean</w:t>
            </w:r>
          </w:p>
        </w:tc>
        <w:tc>
          <w:tcPr>
            <w:tcW w:w="758" w:type="dxa"/>
            <w:tcBorders>
              <w:top w:val="single" w:sz="4" w:space="0" w:color="auto"/>
              <w:left w:val="nil"/>
              <w:bottom w:val="single" w:sz="4" w:space="0" w:color="auto"/>
              <w:right w:val="nil"/>
            </w:tcBorders>
            <w:shd w:val="clear" w:color="auto" w:fill="auto"/>
            <w:noWrap/>
            <w:vAlign w:val="center"/>
            <w:hideMark/>
          </w:tcPr>
          <w:p w14:paraId="12FC1E0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Median</w:t>
            </w:r>
          </w:p>
        </w:tc>
        <w:tc>
          <w:tcPr>
            <w:tcW w:w="881" w:type="dxa"/>
            <w:tcBorders>
              <w:top w:val="single" w:sz="4" w:space="0" w:color="auto"/>
              <w:left w:val="nil"/>
              <w:bottom w:val="single" w:sz="4" w:space="0" w:color="auto"/>
              <w:right w:val="nil"/>
            </w:tcBorders>
            <w:shd w:val="clear" w:color="auto" w:fill="auto"/>
            <w:noWrap/>
            <w:vAlign w:val="center"/>
            <w:hideMark/>
          </w:tcPr>
          <w:p w14:paraId="6D192C8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Standard deviation</w:t>
            </w:r>
          </w:p>
        </w:tc>
        <w:tc>
          <w:tcPr>
            <w:tcW w:w="1054" w:type="dxa"/>
            <w:tcBorders>
              <w:top w:val="single" w:sz="4" w:space="0" w:color="auto"/>
              <w:left w:val="nil"/>
              <w:bottom w:val="single" w:sz="4" w:space="0" w:color="auto"/>
              <w:right w:val="nil"/>
            </w:tcBorders>
            <w:shd w:val="clear" w:color="auto" w:fill="auto"/>
            <w:noWrap/>
            <w:vAlign w:val="center"/>
            <w:hideMark/>
          </w:tcPr>
          <w:p w14:paraId="79CD975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Total observation</w:t>
            </w:r>
          </w:p>
        </w:tc>
      </w:tr>
      <w:tr w:rsidR="005836EE" w:rsidRPr="006B10E3" w14:paraId="67C3CAA1" w14:textId="77777777" w:rsidTr="00C03707">
        <w:trPr>
          <w:trHeight w:val="244"/>
        </w:trPr>
        <w:tc>
          <w:tcPr>
            <w:tcW w:w="901" w:type="dxa"/>
            <w:tcBorders>
              <w:top w:val="nil"/>
              <w:left w:val="nil"/>
              <w:bottom w:val="nil"/>
              <w:right w:val="nil"/>
            </w:tcBorders>
            <w:shd w:val="clear" w:color="auto" w:fill="auto"/>
            <w:noWrap/>
            <w:vAlign w:val="center"/>
            <w:hideMark/>
          </w:tcPr>
          <w:p w14:paraId="6B949D9B"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SR</w:t>
            </w:r>
          </w:p>
        </w:tc>
        <w:tc>
          <w:tcPr>
            <w:tcW w:w="932" w:type="dxa"/>
            <w:tcBorders>
              <w:top w:val="nil"/>
              <w:left w:val="nil"/>
              <w:bottom w:val="nil"/>
              <w:right w:val="nil"/>
            </w:tcBorders>
            <w:shd w:val="clear" w:color="auto" w:fill="auto"/>
            <w:noWrap/>
            <w:vAlign w:val="center"/>
            <w:hideMark/>
          </w:tcPr>
          <w:p w14:paraId="3F6F40E4"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-4.203</w:t>
            </w:r>
          </w:p>
        </w:tc>
        <w:tc>
          <w:tcPr>
            <w:tcW w:w="962" w:type="dxa"/>
            <w:tcBorders>
              <w:top w:val="nil"/>
              <w:left w:val="nil"/>
              <w:bottom w:val="nil"/>
              <w:right w:val="nil"/>
            </w:tcBorders>
            <w:shd w:val="clear" w:color="auto" w:fill="auto"/>
            <w:noWrap/>
            <w:vAlign w:val="center"/>
            <w:hideMark/>
          </w:tcPr>
          <w:p w14:paraId="2A192EC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50.044</w:t>
            </w:r>
          </w:p>
        </w:tc>
        <w:tc>
          <w:tcPr>
            <w:tcW w:w="702" w:type="dxa"/>
            <w:tcBorders>
              <w:top w:val="nil"/>
              <w:left w:val="nil"/>
              <w:bottom w:val="nil"/>
              <w:right w:val="nil"/>
            </w:tcBorders>
            <w:shd w:val="clear" w:color="auto" w:fill="auto"/>
            <w:noWrap/>
            <w:vAlign w:val="center"/>
            <w:hideMark/>
          </w:tcPr>
          <w:p w14:paraId="2324CB8F"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0.389</w:t>
            </w:r>
          </w:p>
        </w:tc>
        <w:tc>
          <w:tcPr>
            <w:tcW w:w="758" w:type="dxa"/>
            <w:tcBorders>
              <w:top w:val="nil"/>
              <w:left w:val="nil"/>
              <w:bottom w:val="nil"/>
              <w:right w:val="nil"/>
            </w:tcBorders>
            <w:shd w:val="clear" w:color="auto" w:fill="auto"/>
            <w:noWrap/>
            <w:vAlign w:val="center"/>
            <w:hideMark/>
          </w:tcPr>
          <w:p w14:paraId="55A1EE10"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0.27</w:t>
            </w:r>
          </w:p>
        </w:tc>
        <w:tc>
          <w:tcPr>
            <w:tcW w:w="881" w:type="dxa"/>
            <w:tcBorders>
              <w:top w:val="nil"/>
              <w:left w:val="nil"/>
              <w:bottom w:val="nil"/>
              <w:right w:val="nil"/>
            </w:tcBorders>
            <w:shd w:val="clear" w:color="auto" w:fill="auto"/>
            <w:noWrap/>
            <w:vAlign w:val="center"/>
            <w:hideMark/>
          </w:tcPr>
          <w:p w14:paraId="4036AFB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1.811</w:t>
            </w:r>
          </w:p>
        </w:tc>
        <w:tc>
          <w:tcPr>
            <w:tcW w:w="1054" w:type="dxa"/>
            <w:tcBorders>
              <w:top w:val="nil"/>
              <w:left w:val="nil"/>
              <w:bottom w:val="nil"/>
              <w:right w:val="nil"/>
            </w:tcBorders>
            <w:shd w:val="clear" w:color="auto" w:fill="auto"/>
            <w:noWrap/>
            <w:vAlign w:val="center"/>
            <w:hideMark/>
          </w:tcPr>
          <w:p w14:paraId="0D00838F"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44D0D9D9" w14:textId="77777777" w:rsidTr="00C03707">
        <w:trPr>
          <w:trHeight w:val="244"/>
        </w:trPr>
        <w:tc>
          <w:tcPr>
            <w:tcW w:w="901" w:type="dxa"/>
            <w:tcBorders>
              <w:top w:val="nil"/>
              <w:left w:val="nil"/>
              <w:bottom w:val="nil"/>
              <w:right w:val="nil"/>
            </w:tcBorders>
            <w:shd w:val="clear" w:color="auto" w:fill="auto"/>
            <w:noWrap/>
            <w:vAlign w:val="center"/>
            <w:hideMark/>
          </w:tcPr>
          <w:p w14:paraId="5D417FD8"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OC1</w:t>
            </w:r>
          </w:p>
        </w:tc>
        <w:tc>
          <w:tcPr>
            <w:tcW w:w="932" w:type="dxa"/>
            <w:tcBorders>
              <w:top w:val="nil"/>
              <w:left w:val="nil"/>
              <w:bottom w:val="nil"/>
              <w:right w:val="nil"/>
            </w:tcBorders>
            <w:shd w:val="clear" w:color="auto" w:fill="auto"/>
            <w:noWrap/>
            <w:vAlign w:val="center"/>
            <w:hideMark/>
          </w:tcPr>
          <w:p w14:paraId="34D256E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0.05</w:t>
            </w:r>
          </w:p>
        </w:tc>
        <w:tc>
          <w:tcPr>
            <w:tcW w:w="962" w:type="dxa"/>
            <w:tcBorders>
              <w:top w:val="nil"/>
              <w:left w:val="nil"/>
              <w:bottom w:val="nil"/>
              <w:right w:val="nil"/>
            </w:tcBorders>
            <w:shd w:val="clear" w:color="auto" w:fill="auto"/>
            <w:noWrap/>
            <w:vAlign w:val="center"/>
            <w:hideMark/>
          </w:tcPr>
          <w:p w14:paraId="045C1F01"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0.761</w:t>
            </w:r>
          </w:p>
        </w:tc>
        <w:tc>
          <w:tcPr>
            <w:tcW w:w="702" w:type="dxa"/>
            <w:tcBorders>
              <w:top w:val="nil"/>
              <w:left w:val="nil"/>
              <w:bottom w:val="nil"/>
              <w:right w:val="nil"/>
            </w:tcBorders>
            <w:shd w:val="clear" w:color="auto" w:fill="auto"/>
            <w:noWrap/>
            <w:vAlign w:val="center"/>
            <w:hideMark/>
          </w:tcPr>
          <w:p w14:paraId="5D1E295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0.334</w:t>
            </w:r>
          </w:p>
        </w:tc>
        <w:tc>
          <w:tcPr>
            <w:tcW w:w="758" w:type="dxa"/>
            <w:tcBorders>
              <w:top w:val="nil"/>
              <w:left w:val="nil"/>
              <w:bottom w:val="nil"/>
              <w:right w:val="nil"/>
            </w:tcBorders>
            <w:shd w:val="clear" w:color="auto" w:fill="auto"/>
            <w:noWrap/>
            <w:vAlign w:val="center"/>
            <w:hideMark/>
          </w:tcPr>
          <w:p w14:paraId="6925402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0.27</w:t>
            </w:r>
          </w:p>
        </w:tc>
        <w:tc>
          <w:tcPr>
            <w:tcW w:w="881" w:type="dxa"/>
            <w:tcBorders>
              <w:top w:val="nil"/>
              <w:left w:val="nil"/>
              <w:bottom w:val="nil"/>
              <w:right w:val="nil"/>
            </w:tcBorders>
            <w:shd w:val="clear" w:color="auto" w:fill="auto"/>
            <w:noWrap/>
            <w:vAlign w:val="center"/>
            <w:hideMark/>
          </w:tcPr>
          <w:p w14:paraId="551C006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0.209</w:t>
            </w:r>
          </w:p>
        </w:tc>
        <w:tc>
          <w:tcPr>
            <w:tcW w:w="1054" w:type="dxa"/>
            <w:tcBorders>
              <w:top w:val="nil"/>
              <w:left w:val="nil"/>
              <w:bottom w:val="nil"/>
              <w:right w:val="nil"/>
            </w:tcBorders>
            <w:shd w:val="clear" w:color="auto" w:fill="auto"/>
            <w:noWrap/>
            <w:vAlign w:val="center"/>
            <w:hideMark/>
          </w:tcPr>
          <w:p w14:paraId="2E4915A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1A7A3AD3" w14:textId="77777777" w:rsidTr="00C03707">
        <w:trPr>
          <w:trHeight w:val="244"/>
        </w:trPr>
        <w:tc>
          <w:tcPr>
            <w:tcW w:w="901" w:type="dxa"/>
            <w:tcBorders>
              <w:top w:val="nil"/>
              <w:left w:val="nil"/>
              <w:bottom w:val="nil"/>
              <w:right w:val="nil"/>
            </w:tcBorders>
            <w:shd w:val="clear" w:color="auto" w:fill="auto"/>
            <w:noWrap/>
            <w:vAlign w:val="center"/>
            <w:hideMark/>
          </w:tcPr>
          <w:p w14:paraId="1B42316D"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OC5</w:t>
            </w:r>
          </w:p>
        </w:tc>
        <w:tc>
          <w:tcPr>
            <w:tcW w:w="932" w:type="dxa"/>
            <w:tcBorders>
              <w:top w:val="nil"/>
              <w:left w:val="nil"/>
              <w:bottom w:val="nil"/>
              <w:right w:val="nil"/>
            </w:tcBorders>
            <w:shd w:val="clear" w:color="auto" w:fill="auto"/>
            <w:noWrap/>
            <w:vAlign w:val="center"/>
            <w:hideMark/>
          </w:tcPr>
          <w:p w14:paraId="556EE30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0.25</w:t>
            </w:r>
          </w:p>
        </w:tc>
        <w:tc>
          <w:tcPr>
            <w:tcW w:w="962" w:type="dxa"/>
            <w:tcBorders>
              <w:top w:val="nil"/>
              <w:left w:val="nil"/>
              <w:bottom w:val="nil"/>
              <w:right w:val="nil"/>
            </w:tcBorders>
            <w:shd w:val="clear" w:color="auto" w:fill="auto"/>
            <w:noWrap/>
            <w:vAlign w:val="center"/>
            <w:hideMark/>
          </w:tcPr>
          <w:p w14:paraId="1A08B234"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0.99</w:t>
            </w:r>
          </w:p>
        </w:tc>
        <w:tc>
          <w:tcPr>
            <w:tcW w:w="702" w:type="dxa"/>
            <w:tcBorders>
              <w:top w:val="nil"/>
              <w:left w:val="nil"/>
              <w:bottom w:val="nil"/>
              <w:right w:val="nil"/>
            </w:tcBorders>
            <w:shd w:val="clear" w:color="auto" w:fill="auto"/>
            <w:noWrap/>
            <w:vAlign w:val="center"/>
            <w:hideMark/>
          </w:tcPr>
          <w:p w14:paraId="5AA937E0"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0.577</w:t>
            </w:r>
          </w:p>
        </w:tc>
        <w:tc>
          <w:tcPr>
            <w:tcW w:w="758" w:type="dxa"/>
            <w:tcBorders>
              <w:top w:val="nil"/>
              <w:left w:val="nil"/>
              <w:bottom w:val="nil"/>
              <w:right w:val="nil"/>
            </w:tcBorders>
            <w:shd w:val="clear" w:color="auto" w:fill="auto"/>
            <w:noWrap/>
            <w:vAlign w:val="center"/>
            <w:hideMark/>
          </w:tcPr>
          <w:p w14:paraId="28D1750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0.58</w:t>
            </w:r>
          </w:p>
        </w:tc>
        <w:tc>
          <w:tcPr>
            <w:tcW w:w="881" w:type="dxa"/>
            <w:tcBorders>
              <w:top w:val="nil"/>
              <w:left w:val="nil"/>
              <w:bottom w:val="nil"/>
              <w:right w:val="nil"/>
            </w:tcBorders>
            <w:shd w:val="clear" w:color="auto" w:fill="auto"/>
            <w:noWrap/>
            <w:vAlign w:val="center"/>
            <w:hideMark/>
          </w:tcPr>
          <w:p w14:paraId="0684440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0.174</w:t>
            </w:r>
          </w:p>
        </w:tc>
        <w:tc>
          <w:tcPr>
            <w:tcW w:w="1054" w:type="dxa"/>
            <w:tcBorders>
              <w:top w:val="nil"/>
              <w:left w:val="nil"/>
              <w:bottom w:val="nil"/>
              <w:right w:val="nil"/>
            </w:tcBorders>
            <w:shd w:val="clear" w:color="auto" w:fill="auto"/>
            <w:noWrap/>
            <w:vAlign w:val="center"/>
            <w:hideMark/>
          </w:tcPr>
          <w:p w14:paraId="1B334F6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298DA332" w14:textId="77777777" w:rsidTr="00C03707">
        <w:trPr>
          <w:trHeight w:val="244"/>
        </w:trPr>
        <w:tc>
          <w:tcPr>
            <w:tcW w:w="901" w:type="dxa"/>
            <w:tcBorders>
              <w:top w:val="nil"/>
              <w:left w:val="nil"/>
              <w:bottom w:val="nil"/>
              <w:right w:val="nil"/>
            </w:tcBorders>
            <w:shd w:val="clear" w:color="auto" w:fill="auto"/>
            <w:noWrap/>
            <w:vAlign w:val="center"/>
            <w:hideMark/>
          </w:tcPr>
          <w:p w14:paraId="5E2F75A9"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IH</w:t>
            </w:r>
          </w:p>
        </w:tc>
        <w:tc>
          <w:tcPr>
            <w:tcW w:w="932" w:type="dxa"/>
            <w:tcBorders>
              <w:top w:val="nil"/>
              <w:left w:val="nil"/>
              <w:bottom w:val="nil"/>
              <w:right w:val="nil"/>
            </w:tcBorders>
            <w:shd w:val="clear" w:color="auto" w:fill="auto"/>
            <w:noWrap/>
            <w:vAlign w:val="center"/>
            <w:hideMark/>
          </w:tcPr>
          <w:p w14:paraId="5DC1B965"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0.02</w:t>
            </w:r>
          </w:p>
        </w:tc>
        <w:tc>
          <w:tcPr>
            <w:tcW w:w="962" w:type="dxa"/>
            <w:tcBorders>
              <w:top w:val="nil"/>
              <w:left w:val="nil"/>
              <w:bottom w:val="nil"/>
              <w:right w:val="nil"/>
            </w:tcBorders>
            <w:shd w:val="clear" w:color="auto" w:fill="auto"/>
            <w:noWrap/>
            <w:vAlign w:val="center"/>
            <w:hideMark/>
          </w:tcPr>
          <w:p w14:paraId="6BF25232"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0.909</w:t>
            </w:r>
          </w:p>
        </w:tc>
        <w:tc>
          <w:tcPr>
            <w:tcW w:w="702" w:type="dxa"/>
            <w:tcBorders>
              <w:top w:val="nil"/>
              <w:left w:val="nil"/>
              <w:bottom w:val="nil"/>
              <w:right w:val="nil"/>
            </w:tcBorders>
            <w:shd w:val="clear" w:color="auto" w:fill="auto"/>
            <w:noWrap/>
            <w:vAlign w:val="center"/>
            <w:hideMark/>
          </w:tcPr>
          <w:p w14:paraId="4A4847B1"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0.213</w:t>
            </w:r>
          </w:p>
        </w:tc>
        <w:tc>
          <w:tcPr>
            <w:tcW w:w="758" w:type="dxa"/>
            <w:tcBorders>
              <w:top w:val="nil"/>
              <w:left w:val="nil"/>
              <w:bottom w:val="nil"/>
              <w:right w:val="nil"/>
            </w:tcBorders>
            <w:shd w:val="clear" w:color="auto" w:fill="auto"/>
            <w:noWrap/>
            <w:vAlign w:val="center"/>
            <w:hideMark/>
          </w:tcPr>
          <w:p w14:paraId="51F330F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0.187</w:t>
            </w:r>
          </w:p>
        </w:tc>
        <w:tc>
          <w:tcPr>
            <w:tcW w:w="881" w:type="dxa"/>
            <w:tcBorders>
              <w:top w:val="nil"/>
              <w:left w:val="nil"/>
              <w:bottom w:val="nil"/>
              <w:right w:val="nil"/>
            </w:tcBorders>
            <w:shd w:val="clear" w:color="auto" w:fill="auto"/>
            <w:noWrap/>
            <w:vAlign w:val="center"/>
            <w:hideMark/>
          </w:tcPr>
          <w:p w14:paraId="79AB0BA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0.127</w:t>
            </w:r>
          </w:p>
        </w:tc>
        <w:tc>
          <w:tcPr>
            <w:tcW w:w="1054" w:type="dxa"/>
            <w:tcBorders>
              <w:top w:val="nil"/>
              <w:left w:val="nil"/>
              <w:bottom w:val="nil"/>
              <w:right w:val="nil"/>
            </w:tcBorders>
            <w:shd w:val="clear" w:color="auto" w:fill="auto"/>
            <w:noWrap/>
            <w:vAlign w:val="center"/>
            <w:hideMark/>
          </w:tcPr>
          <w:p w14:paraId="31EB439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6C08A819" w14:textId="77777777" w:rsidTr="00C03707">
        <w:trPr>
          <w:trHeight w:val="244"/>
        </w:trPr>
        <w:tc>
          <w:tcPr>
            <w:tcW w:w="901" w:type="dxa"/>
            <w:tcBorders>
              <w:top w:val="nil"/>
              <w:left w:val="nil"/>
              <w:bottom w:val="nil"/>
              <w:right w:val="nil"/>
            </w:tcBorders>
            <w:shd w:val="clear" w:color="auto" w:fill="auto"/>
            <w:noWrap/>
            <w:vAlign w:val="center"/>
            <w:hideMark/>
          </w:tcPr>
          <w:p w14:paraId="39BA81BE"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FS</w:t>
            </w:r>
          </w:p>
        </w:tc>
        <w:tc>
          <w:tcPr>
            <w:tcW w:w="932" w:type="dxa"/>
            <w:tcBorders>
              <w:top w:val="nil"/>
              <w:left w:val="nil"/>
              <w:bottom w:val="nil"/>
              <w:right w:val="nil"/>
            </w:tcBorders>
            <w:shd w:val="clear" w:color="auto" w:fill="auto"/>
            <w:noWrap/>
            <w:vAlign w:val="center"/>
            <w:hideMark/>
          </w:tcPr>
          <w:p w14:paraId="431021E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1.01</w:t>
            </w:r>
          </w:p>
        </w:tc>
        <w:tc>
          <w:tcPr>
            <w:tcW w:w="962" w:type="dxa"/>
            <w:tcBorders>
              <w:top w:val="nil"/>
              <w:left w:val="nil"/>
              <w:bottom w:val="nil"/>
              <w:right w:val="nil"/>
            </w:tcBorders>
            <w:shd w:val="clear" w:color="auto" w:fill="auto"/>
            <w:noWrap/>
            <w:vAlign w:val="center"/>
            <w:hideMark/>
          </w:tcPr>
          <w:p w14:paraId="5CF25B0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15.008</w:t>
            </w:r>
          </w:p>
        </w:tc>
        <w:tc>
          <w:tcPr>
            <w:tcW w:w="702" w:type="dxa"/>
            <w:tcBorders>
              <w:top w:val="nil"/>
              <w:left w:val="nil"/>
              <w:bottom w:val="nil"/>
              <w:right w:val="nil"/>
            </w:tcBorders>
            <w:shd w:val="clear" w:color="auto" w:fill="auto"/>
            <w:noWrap/>
            <w:vAlign w:val="center"/>
            <w:hideMark/>
          </w:tcPr>
          <w:p w14:paraId="589A5ABB"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8.864</w:t>
            </w:r>
          </w:p>
        </w:tc>
        <w:tc>
          <w:tcPr>
            <w:tcW w:w="758" w:type="dxa"/>
            <w:tcBorders>
              <w:top w:val="nil"/>
              <w:left w:val="nil"/>
              <w:bottom w:val="nil"/>
              <w:right w:val="nil"/>
            </w:tcBorders>
            <w:shd w:val="clear" w:color="auto" w:fill="auto"/>
            <w:noWrap/>
            <w:vAlign w:val="center"/>
            <w:hideMark/>
          </w:tcPr>
          <w:p w14:paraId="34978D34"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8.86</w:t>
            </w:r>
          </w:p>
        </w:tc>
        <w:tc>
          <w:tcPr>
            <w:tcW w:w="881" w:type="dxa"/>
            <w:tcBorders>
              <w:top w:val="nil"/>
              <w:left w:val="nil"/>
              <w:bottom w:val="nil"/>
              <w:right w:val="nil"/>
            </w:tcBorders>
            <w:shd w:val="clear" w:color="auto" w:fill="auto"/>
            <w:noWrap/>
            <w:vAlign w:val="center"/>
            <w:hideMark/>
          </w:tcPr>
          <w:p w14:paraId="3510D27E"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1.971</w:t>
            </w:r>
          </w:p>
        </w:tc>
        <w:tc>
          <w:tcPr>
            <w:tcW w:w="1054" w:type="dxa"/>
            <w:tcBorders>
              <w:top w:val="nil"/>
              <w:left w:val="nil"/>
              <w:bottom w:val="nil"/>
              <w:right w:val="nil"/>
            </w:tcBorders>
            <w:shd w:val="clear" w:color="auto" w:fill="auto"/>
            <w:noWrap/>
            <w:vAlign w:val="center"/>
            <w:hideMark/>
          </w:tcPr>
          <w:p w14:paraId="6167F401"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7EF8969C" w14:textId="77777777" w:rsidTr="00C03707">
        <w:trPr>
          <w:trHeight w:val="244"/>
        </w:trPr>
        <w:tc>
          <w:tcPr>
            <w:tcW w:w="901" w:type="dxa"/>
            <w:tcBorders>
              <w:top w:val="nil"/>
              <w:left w:val="nil"/>
              <w:bottom w:val="nil"/>
              <w:right w:val="nil"/>
            </w:tcBorders>
            <w:shd w:val="clear" w:color="auto" w:fill="auto"/>
            <w:noWrap/>
            <w:vAlign w:val="center"/>
            <w:hideMark/>
          </w:tcPr>
          <w:p w14:paraId="2325A9D7"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FA</w:t>
            </w:r>
          </w:p>
        </w:tc>
        <w:tc>
          <w:tcPr>
            <w:tcW w:w="932" w:type="dxa"/>
            <w:tcBorders>
              <w:top w:val="nil"/>
              <w:left w:val="nil"/>
              <w:bottom w:val="nil"/>
              <w:right w:val="nil"/>
            </w:tcBorders>
            <w:shd w:val="clear" w:color="auto" w:fill="auto"/>
            <w:noWrap/>
            <w:vAlign w:val="center"/>
            <w:hideMark/>
          </w:tcPr>
          <w:p w14:paraId="76F1600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3.349</w:t>
            </w:r>
          </w:p>
        </w:tc>
        <w:tc>
          <w:tcPr>
            <w:tcW w:w="962" w:type="dxa"/>
            <w:tcBorders>
              <w:top w:val="nil"/>
              <w:left w:val="nil"/>
              <w:bottom w:val="nil"/>
              <w:right w:val="nil"/>
            </w:tcBorders>
            <w:shd w:val="clear" w:color="auto" w:fill="auto"/>
            <w:noWrap/>
            <w:vAlign w:val="center"/>
            <w:hideMark/>
          </w:tcPr>
          <w:p w14:paraId="24FD5B2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4.98</w:t>
            </w:r>
          </w:p>
        </w:tc>
        <w:tc>
          <w:tcPr>
            <w:tcW w:w="702" w:type="dxa"/>
            <w:tcBorders>
              <w:top w:val="nil"/>
              <w:left w:val="nil"/>
              <w:bottom w:val="nil"/>
              <w:right w:val="nil"/>
            </w:tcBorders>
            <w:shd w:val="clear" w:color="auto" w:fill="auto"/>
            <w:noWrap/>
            <w:vAlign w:val="center"/>
            <w:hideMark/>
          </w:tcPr>
          <w:p w14:paraId="269F0857"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758" w:type="dxa"/>
            <w:tcBorders>
              <w:top w:val="nil"/>
              <w:left w:val="nil"/>
              <w:bottom w:val="nil"/>
              <w:right w:val="nil"/>
            </w:tcBorders>
            <w:shd w:val="clear" w:color="auto" w:fill="auto"/>
            <w:noWrap/>
            <w:vAlign w:val="center"/>
            <w:hideMark/>
          </w:tcPr>
          <w:p w14:paraId="3E0FC04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3.301</w:t>
            </w:r>
          </w:p>
        </w:tc>
        <w:tc>
          <w:tcPr>
            <w:tcW w:w="881" w:type="dxa"/>
            <w:tcBorders>
              <w:top w:val="nil"/>
              <w:left w:val="nil"/>
              <w:bottom w:val="nil"/>
              <w:right w:val="nil"/>
            </w:tcBorders>
            <w:shd w:val="clear" w:color="auto" w:fill="auto"/>
            <w:noWrap/>
            <w:vAlign w:val="center"/>
            <w:hideMark/>
          </w:tcPr>
          <w:p w14:paraId="7D50595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0.791</w:t>
            </w:r>
          </w:p>
        </w:tc>
        <w:tc>
          <w:tcPr>
            <w:tcW w:w="1054" w:type="dxa"/>
            <w:tcBorders>
              <w:top w:val="nil"/>
              <w:left w:val="nil"/>
              <w:bottom w:val="nil"/>
              <w:right w:val="nil"/>
            </w:tcBorders>
            <w:shd w:val="clear" w:color="auto" w:fill="auto"/>
            <w:noWrap/>
            <w:vAlign w:val="center"/>
            <w:hideMark/>
          </w:tcPr>
          <w:p w14:paraId="0E80D1A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740FEB93" w14:textId="77777777" w:rsidTr="00C03707">
        <w:trPr>
          <w:trHeight w:val="244"/>
        </w:trPr>
        <w:tc>
          <w:tcPr>
            <w:tcW w:w="901" w:type="dxa"/>
            <w:tcBorders>
              <w:top w:val="nil"/>
              <w:left w:val="nil"/>
              <w:bottom w:val="nil"/>
              <w:right w:val="nil"/>
            </w:tcBorders>
            <w:shd w:val="clear" w:color="auto" w:fill="auto"/>
            <w:noWrap/>
            <w:vAlign w:val="center"/>
            <w:hideMark/>
          </w:tcPr>
          <w:p w14:paraId="21B6EACA"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FP</w:t>
            </w:r>
          </w:p>
        </w:tc>
        <w:tc>
          <w:tcPr>
            <w:tcW w:w="932" w:type="dxa"/>
            <w:tcBorders>
              <w:top w:val="nil"/>
              <w:left w:val="nil"/>
              <w:bottom w:val="nil"/>
              <w:right w:val="nil"/>
            </w:tcBorders>
            <w:shd w:val="clear" w:color="auto" w:fill="auto"/>
            <w:noWrap/>
            <w:vAlign w:val="center"/>
            <w:hideMark/>
          </w:tcPr>
          <w:p w14:paraId="015A147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-201.09</w:t>
            </w:r>
          </w:p>
        </w:tc>
        <w:tc>
          <w:tcPr>
            <w:tcW w:w="962" w:type="dxa"/>
            <w:tcBorders>
              <w:top w:val="nil"/>
              <w:left w:val="nil"/>
              <w:bottom w:val="nil"/>
              <w:right w:val="nil"/>
            </w:tcBorders>
            <w:shd w:val="clear" w:color="auto" w:fill="auto"/>
            <w:noWrap/>
            <w:vAlign w:val="center"/>
            <w:hideMark/>
          </w:tcPr>
          <w:p w14:paraId="77D0AF5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189.24</w:t>
            </w:r>
          </w:p>
        </w:tc>
        <w:tc>
          <w:tcPr>
            <w:tcW w:w="702" w:type="dxa"/>
            <w:tcBorders>
              <w:top w:val="nil"/>
              <w:left w:val="nil"/>
              <w:bottom w:val="nil"/>
              <w:right w:val="nil"/>
            </w:tcBorders>
            <w:shd w:val="clear" w:color="auto" w:fill="auto"/>
            <w:noWrap/>
            <w:vAlign w:val="center"/>
            <w:hideMark/>
          </w:tcPr>
          <w:p w14:paraId="1BE4663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16.571</w:t>
            </w:r>
          </w:p>
        </w:tc>
        <w:tc>
          <w:tcPr>
            <w:tcW w:w="758" w:type="dxa"/>
            <w:tcBorders>
              <w:top w:val="nil"/>
              <w:left w:val="nil"/>
              <w:bottom w:val="nil"/>
              <w:right w:val="nil"/>
            </w:tcBorders>
            <w:shd w:val="clear" w:color="auto" w:fill="auto"/>
            <w:noWrap/>
            <w:vAlign w:val="center"/>
            <w:hideMark/>
          </w:tcPr>
          <w:p w14:paraId="243232B6"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16.96</w:t>
            </w:r>
          </w:p>
        </w:tc>
        <w:tc>
          <w:tcPr>
            <w:tcW w:w="881" w:type="dxa"/>
            <w:tcBorders>
              <w:top w:val="nil"/>
              <w:left w:val="nil"/>
              <w:bottom w:val="nil"/>
              <w:right w:val="nil"/>
            </w:tcBorders>
            <w:shd w:val="clear" w:color="auto" w:fill="auto"/>
            <w:noWrap/>
            <w:vAlign w:val="center"/>
            <w:hideMark/>
          </w:tcPr>
          <w:p w14:paraId="34D024B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24.126</w:t>
            </w:r>
          </w:p>
        </w:tc>
        <w:tc>
          <w:tcPr>
            <w:tcW w:w="1054" w:type="dxa"/>
            <w:tcBorders>
              <w:top w:val="nil"/>
              <w:left w:val="nil"/>
              <w:bottom w:val="nil"/>
              <w:right w:val="nil"/>
            </w:tcBorders>
            <w:shd w:val="clear" w:color="auto" w:fill="auto"/>
            <w:noWrap/>
            <w:vAlign w:val="center"/>
            <w:hideMark/>
          </w:tcPr>
          <w:p w14:paraId="301D6DF4"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29250360" w14:textId="77777777" w:rsidTr="00C03707">
        <w:trPr>
          <w:trHeight w:val="244"/>
        </w:trPr>
        <w:tc>
          <w:tcPr>
            <w:tcW w:w="901" w:type="dxa"/>
            <w:tcBorders>
              <w:top w:val="nil"/>
              <w:left w:val="nil"/>
              <w:bottom w:val="nil"/>
              <w:right w:val="nil"/>
            </w:tcBorders>
            <w:shd w:val="clear" w:color="auto" w:fill="auto"/>
            <w:noWrap/>
            <w:vAlign w:val="center"/>
            <w:hideMark/>
          </w:tcPr>
          <w:p w14:paraId="21CD609D"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FR</w:t>
            </w:r>
          </w:p>
        </w:tc>
        <w:tc>
          <w:tcPr>
            <w:tcW w:w="932" w:type="dxa"/>
            <w:tcBorders>
              <w:top w:val="nil"/>
              <w:left w:val="nil"/>
              <w:bottom w:val="nil"/>
              <w:right w:val="nil"/>
            </w:tcBorders>
            <w:shd w:val="clear" w:color="auto" w:fill="auto"/>
            <w:noWrap/>
            <w:vAlign w:val="center"/>
            <w:hideMark/>
          </w:tcPr>
          <w:p w14:paraId="5F002466"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-0.77</w:t>
            </w:r>
          </w:p>
        </w:tc>
        <w:tc>
          <w:tcPr>
            <w:tcW w:w="962" w:type="dxa"/>
            <w:tcBorders>
              <w:top w:val="nil"/>
              <w:left w:val="nil"/>
              <w:bottom w:val="nil"/>
              <w:right w:val="nil"/>
            </w:tcBorders>
            <w:shd w:val="clear" w:color="auto" w:fill="auto"/>
            <w:noWrap/>
            <w:vAlign w:val="center"/>
            <w:hideMark/>
          </w:tcPr>
          <w:p w14:paraId="23815431"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2.28</w:t>
            </w:r>
          </w:p>
        </w:tc>
        <w:tc>
          <w:tcPr>
            <w:tcW w:w="702" w:type="dxa"/>
            <w:tcBorders>
              <w:top w:val="nil"/>
              <w:left w:val="nil"/>
              <w:bottom w:val="nil"/>
              <w:right w:val="nil"/>
            </w:tcBorders>
            <w:shd w:val="clear" w:color="auto" w:fill="auto"/>
            <w:noWrap/>
            <w:vAlign w:val="center"/>
            <w:hideMark/>
          </w:tcPr>
          <w:p w14:paraId="3387AE4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0.842</w:t>
            </w:r>
          </w:p>
        </w:tc>
        <w:tc>
          <w:tcPr>
            <w:tcW w:w="758" w:type="dxa"/>
            <w:tcBorders>
              <w:top w:val="nil"/>
              <w:left w:val="nil"/>
              <w:bottom w:val="nil"/>
              <w:right w:val="nil"/>
            </w:tcBorders>
            <w:shd w:val="clear" w:color="auto" w:fill="auto"/>
            <w:noWrap/>
            <w:vAlign w:val="center"/>
            <w:hideMark/>
          </w:tcPr>
          <w:p w14:paraId="773672E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0.83</w:t>
            </w:r>
          </w:p>
        </w:tc>
        <w:tc>
          <w:tcPr>
            <w:tcW w:w="881" w:type="dxa"/>
            <w:tcBorders>
              <w:top w:val="nil"/>
              <w:left w:val="nil"/>
              <w:bottom w:val="nil"/>
              <w:right w:val="nil"/>
            </w:tcBorders>
            <w:shd w:val="clear" w:color="auto" w:fill="auto"/>
            <w:noWrap/>
            <w:vAlign w:val="center"/>
            <w:hideMark/>
          </w:tcPr>
          <w:p w14:paraId="7EE3B55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0.328</w:t>
            </w:r>
          </w:p>
        </w:tc>
        <w:tc>
          <w:tcPr>
            <w:tcW w:w="1054" w:type="dxa"/>
            <w:tcBorders>
              <w:top w:val="nil"/>
              <w:left w:val="nil"/>
              <w:bottom w:val="nil"/>
              <w:right w:val="nil"/>
            </w:tcBorders>
            <w:shd w:val="clear" w:color="auto" w:fill="auto"/>
            <w:noWrap/>
            <w:vAlign w:val="center"/>
            <w:hideMark/>
          </w:tcPr>
          <w:p w14:paraId="00B1340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7815386A" w14:textId="77777777" w:rsidTr="00C03707">
        <w:trPr>
          <w:trHeight w:val="244"/>
        </w:trPr>
        <w:tc>
          <w:tcPr>
            <w:tcW w:w="901" w:type="dxa"/>
            <w:tcBorders>
              <w:top w:val="nil"/>
              <w:left w:val="nil"/>
              <w:bottom w:val="nil"/>
              <w:right w:val="nil"/>
            </w:tcBorders>
            <w:shd w:val="clear" w:color="auto" w:fill="auto"/>
            <w:noWrap/>
            <w:vAlign w:val="center"/>
            <w:hideMark/>
          </w:tcPr>
          <w:p w14:paraId="0BFF3AC4"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LEV</w:t>
            </w:r>
          </w:p>
        </w:tc>
        <w:tc>
          <w:tcPr>
            <w:tcW w:w="932" w:type="dxa"/>
            <w:tcBorders>
              <w:top w:val="nil"/>
              <w:left w:val="nil"/>
              <w:bottom w:val="nil"/>
              <w:right w:val="nil"/>
            </w:tcBorders>
            <w:shd w:val="clear" w:color="auto" w:fill="auto"/>
            <w:noWrap/>
            <w:vAlign w:val="center"/>
            <w:hideMark/>
          </w:tcPr>
          <w:p w14:paraId="597E3BB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nil"/>
              <w:right w:val="nil"/>
            </w:tcBorders>
            <w:shd w:val="clear" w:color="auto" w:fill="auto"/>
            <w:noWrap/>
            <w:vAlign w:val="center"/>
            <w:hideMark/>
          </w:tcPr>
          <w:p w14:paraId="5AC5E11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1.687</w:t>
            </w:r>
          </w:p>
        </w:tc>
        <w:tc>
          <w:tcPr>
            <w:tcW w:w="702" w:type="dxa"/>
            <w:tcBorders>
              <w:top w:val="nil"/>
              <w:left w:val="nil"/>
              <w:bottom w:val="nil"/>
              <w:right w:val="nil"/>
            </w:tcBorders>
            <w:shd w:val="clear" w:color="auto" w:fill="auto"/>
            <w:noWrap/>
            <w:vAlign w:val="center"/>
            <w:hideMark/>
          </w:tcPr>
          <w:p w14:paraId="745A00E8"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0.446</w:t>
            </w:r>
          </w:p>
        </w:tc>
        <w:tc>
          <w:tcPr>
            <w:tcW w:w="758" w:type="dxa"/>
            <w:tcBorders>
              <w:top w:val="nil"/>
              <w:left w:val="nil"/>
              <w:bottom w:val="nil"/>
              <w:right w:val="nil"/>
            </w:tcBorders>
            <w:shd w:val="clear" w:color="auto" w:fill="auto"/>
            <w:noWrap/>
            <w:vAlign w:val="center"/>
            <w:hideMark/>
          </w:tcPr>
          <w:p w14:paraId="3BE1A94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0.458</w:t>
            </w:r>
          </w:p>
        </w:tc>
        <w:tc>
          <w:tcPr>
            <w:tcW w:w="881" w:type="dxa"/>
            <w:tcBorders>
              <w:top w:val="nil"/>
              <w:left w:val="nil"/>
              <w:bottom w:val="nil"/>
              <w:right w:val="nil"/>
            </w:tcBorders>
            <w:shd w:val="clear" w:color="auto" w:fill="auto"/>
            <w:noWrap/>
            <w:vAlign w:val="center"/>
            <w:hideMark/>
          </w:tcPr>
          <w:p w14:paraId="5B2829A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0.238</w:t>
            </w:r>
          </w:p>
        </w:tc>
        <w:tc>
          <w:tcPr>
            <w:tcW w:w="1054" w:type="dxa"/>
            <w:tcBorders>
              <w:top w:val="nil"/>
              <w:left w:val="nil"/>
              <w:bottom w:val="nil"/>
              <w:right w:val="nil"/>
            </w:tcBorders>
            <w:shd w:val="clear" w:color="auto" w:fill="auto"/>
            <w:noWrap/>
            <w:vAlign w:val="center"/>
            <w:hideMark/>
          </w:tcPr>
          <w:p w14:paraId="2ED337E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24749F1B" w14:textId="77777777" w:rsidTr="00C03707">
        <w:trPr>
          <w:trHeight w:val="244"/>
        </w:trPr>
        <w:tc>
          <w:tcPr>
            <w:tcW w:w="901" w:type="dxa"/>
            <w:tcBorders>
              <w:top w:val="nil"/>
              <w:left w:val="nil"/>
              <w:bottom w:val="nil"/>
              <w:right w:val="nil"/>
            </w:tcBorders>
            <w:shd w:val="clear" w:color="auto" w:fill="auto"/>
            <w:noWrap/>
            <w:vAlign w:val="center"/>
            <w:hideMark/>
          </w:tcPr>
          <w:p w14:paraId="612238FC"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LIQ</w:t>
            </w:r>
          </w:p>
        </w:tc>
        <w:tc>
          <w:tcPr>
            <w:tcW w:w="932" w:type="dxa"/>
            <w:tcBorders>
              <w:top w:val="nil"/>
              <w:left w:val="nil"/>
              <w:bottom w:val="nil"/>
              <w:right w:val="nil"/>
            </w:tcBorders>
            <w:shd w:val="clear" w:color="auto" w:fill="auto"/>
            <w:noWrap/>
            <w:vAlign w:val="center"/>
            <w:hideMark/>
          </w:tcPr>
          <w:p w14:paraId="78F10CC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nil"/>
              <w:right w:val="nil"/>
            </w:tcBorders>
            <w:shd w:val="clear" w:color="auto" w:fill="auto"/>
            <w:noWrap/>
            <w:vAlign w:val="center"/>
            <w:hideMark/>
          </w:tcPr>
          <w:p w14:paraId="52838049"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139.42</w:t>
            </w:r>
          </w:p>
        </w:tc>
        <w:tc>
          <w:tcPr>
            <w:tcW w:w="702" w:type="dxa"/>
            <w:tcBorders>
              <w:top w:val="nil"/>
              <w:left w:val="nil"/>
              <w:bottom w:val="nil"/>
              <w:right w:val="nil"/>
            </w:tcBorders>
            <w:shd w:val="clear" w:color="auto" w:fill="auto"/>
            <w:noWrap/>
            <w:vAlign w:val="center"/>
            <w:hideMark/>
          </w:tcPr>
          <w:p w14:paraId="19DD5C7E"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1.687</w:t>
            </w:r>
          </w:p>
        </w:tc>
        <w:tc>
          <w:tcPr>
            <w:tcW w:w="758" w:type="dxa"/>
            <w:tcBorders>
              <w:top w:val="nil"/>
              <w:left w:val="nil"/>
              <w:bottom w:val="nil"/>
              <w:right w:val="nil"/>
            </w:tcBorders>
            <w:shd w:val="clear" w:color="auto" w:fill="auto"/>
            <w:noWrap/>
            <w:vAlign w:val="center"/>
            <w:hideMark/>
          </w:tcPr>
          <w:p w14:paraId="5C321DCC"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1.2</w:t>
            </w:r>
          </w:p>
        </w:tc>
        <w:tc>
          <w:tcPr>
            <w:tcW w:w="881" w:type="dxa"/>
            <w:tcBorders>
              <w:top w:val="nil"/>
              <w:left w:val="nil"/>
              <w:bottom w:val="nil"/>
              <w:right w:val="nil"/>
            </w:tcBorders>
            <w:shd w:val="clear" w:color="auto" w:fill="auto"/>
            <w:noWrap/>
            <w:vAlign w:val="center"/>
            <w:hideMark/>
          </w:tcPr>
          <w:p w14:paraId="09ADF4A7"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3.228</w:t>
            </w:r>
          </w:p>
        </w:tc>
        <w:tc>
          <w:tcPr>
            <w:tcW w:w="1054" w:type="dxa"/>
            <w:tcBorders>
              <w:top w:val="nil"/>
              <w:left w:val="nil"/>
              <w:bottom w:val="nil"/>
              <w:right w:val="nil"/>
            </w:tcBorders>
            <w:shd w:val="clear" w:color="auto" w:fill="auto"/>
            <w:noWrap/>
            <w:vAlign w:val="center"/>
            <w:hideMark/>
          </w:tcPr>
          <w:p w14:paraId="718F6077"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r w:rsidR="005836EE" w:rsidRPr="006B10E3" w14:paraId="36501E4B" w14:textId="77777777" w:rsidTr="00C03707">
        <w:trPr>
          <w:trHeight w:val="244"/>
        </w:trPr>
        <w:tc>
          <w:tcPr>
            <w:tcW w:w="901" w:type="dxa"/>
            <w:tcBorders>
              <w:top w:val="nil"/>
              <w:left w:val="nil"/>
              <w:bottom w:val="single" w:sz="4" w:space="0" w:color="auto"/>
              <w:right w:val="nil"/>
            </w:tcBorders>
            <w:shd w:val="clear" w:color="auto" w:fill="auto"/>
            <w:noWrap/>
            <w:vAlign w:val="center"/>
            <w:hideMark/>
          </w:tcPr>
          <w:p w14:paraId="29089B9D" w14:textId="77777777" w:rsidR="005836EE" w:rsidRPr="006B10E3" w:rsidRDefault="005836EE" w:rsidP="00C03707">
            <w:pPr>
              <w:spacing w:after="0" w:line="240" w:lineRule="auto"/>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DP</w:t>
            </w:r>
          </w:p>
        </w:tc>
        <w:tc>
          <w:tcPr>
            <w:tcW w:w="932" w:type="dxa"/>
            <w:tcBorders>
              <w:top w:val="nil"/>
              <w:left w:val="nil"/>
              <w:bottom w:val="single" w:sz="4" w:space="0" w:color="auto"/>
              <w:right w:val="nil"/>
            </w:tcBorders>
            <w:shd w:val="clear" w:color="auto" w:fill="auto"/>
            <w:noWrap/>
            <w:vAlign w:val="center"/>
            <w:hideMark/>
          </w:tcPr>
          <w:p w14:paraId="4A46907B"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0.01</w:t>
            </w:r>
          </w:p>
        </w:tc>
        <w:tc>
          <w:tcPr>
            <w:tcW w:w="962" w:type="dxa"/>
            <w:tcBorders>
              <w:top w:val="nil"/>
              <w:left w:val="nil"/>
              <w:bottom w:val="single" w:sz="4" w:space="0" w:color="auto"/>
              <w:right w:val="nil"/>
            </w:tcBorders>
            <w:shd w:val="clear" w:color="auto" w:fill="auto"/>
            <w:noWrap/>
            <w:vAlign w:val="center"/>
            <w:hideMark/>
          </w:tcPr>
          <w:p w14:paraId="10218C3D"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97.09</w:t>
            </w:r>
          </w:p>
        </w:tc>
        <w:tc>
          <w:tcPr>
            <w:tcW w:w="702" w:type="dxa"/>
            <w:tcBorders>
              <w:top w:val="nil"/>
              <w:left w:val="nil"/>
              <w:bottom w:val="single" w:sz="4" w:space="0" w:color="auto"/>
              <w:right w:val="nil"/>
            </w:tcBorders>
            <w:shd w:val="clear" w:color="auto" w:fill="auto"/>
            <w:noWrap/>
            <w:vAlign w:val="center"/>
            <w:hideMark/>
          </w:tcPr>
          <w:p w14:paraId="720DB38F"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26.533</w:t>
            </w:r>
          </w:p>
        </w:tc>
        <w:tc>
          <w:tcPr>
            <w:tcW w:w="758" w:type="dxa"/>
            <w:tcBorders>
              <w:top w:val="nil"/>
              <w:left w:val="nil"/>
              <w:bottom w:val="single" w:sz="4" w:space="0" w:color="auto"/>
              <w:right w:val="nil"/>
            </w:tcBorders>
            <w:shd w:val="clear" w:color="auto" w:fill="auto"/>
            <w:noWrap/>
            <w:vAlign w:val="center"/>
            <w:hideMark/>
          </w:tcPr>
          <w:p w14:paraId="12AE6605"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24.075</w:t>
            </w:r>
          </w:p>
        </w:tc>
        <w:tc>
          <w:tcPr>
            <w:tcW w:w="881" w:type="dxa"/>
            <w:tcBorders>
              <w:top w:val="nil"/>
              <w:left w:val="nil"/>
              <w:bottom w:val="single" w:sz="4" w:space="0" w:color="auto"/>
              <w:right w:val="nil"/>
            </w:tcBorders>
            <w:shd w:val="clear" w:color="auto" w:fill="auto"/>
            <w:noWrap/>
            <w:vAlign w:val="center"/>
            <w:hideMark/>
          </w:tcPr>
          <w:p w14:paraId="478C850A"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17.529</w:t>
            </w:r>
          </w:p>
        </w:tc>
        <w:tc>
          <w:tcPr>
            <w:tcW w:w="1054" w:type="dxa"/>
            <w:tcBorders>
              <w:top w:val="nil"/>
              <w:left w:val="nil"/>
              <w:bottom w:val="single" w:sz="4" w:space="0" w:color="auto"/>
              <w:right w:val="nil"/>
            </w:tcBorders>
            <w:shd w:val="clear" w:color="auto" w:fill="auto"/>
            <w:noWrap/>
            <w:vAlign w:val="center"/>
            <w:hideMark/>
          </w:tcPr>
          <w:p w14:paraId="74D8A573" w14:textId="77777777" w:rsidR="005836EE" w:rsidRPr="006B10E3" w:rsidRDefault="005836EE" w:rsidP="00C03707">
            <w:pPr>
              <w:spacing w:after="0" w:line="240" w:lineRule="auto"/>
              <w:jc w:val="center"/>
              <w:rPr>
                <w:rFonts w:ascii="Times New Roman" w:eastAsia="Times New Roman" w:hAnsi="Times New Roman" w:cs="Times New Roman"/>
                <w:color w:val="000000"/>
                <w:sz w:val="18"/>
                <w:szCs w:val="18"/>
                <w:lang w:val="en-GB"/>
              </w:rPr>
            </w:pPr>
            <w:r w:rsidRPr="006B10E3">
              <w:rPr>
                <w:rFonts w:ascii="Times New Roman" w:eastAsia="Times New Roman" w:hAnsi="Times New Roman" w:cs="Times New Roman"/>
                <w:color w:val="000000"/>
                <w:sz w:val="18"/>
                <w:szCs w:val="18"/>
                <w:lang w:val="en-GB"/>
              </w:rPr>
              <w:t>2528</w:t>
            </w:r>
          </w:p>
        </w:tc>
      </w:tr>
    </w:tbl>
    <w:p w14:paraId="57488C14" w14:textId="77777777" w:rsidR="00F87AA2" w:rsidRDefault="00F87AA2" w:rsidP="00AB19A6">
      <w:pPr>
        <w:autoSpaceDE w:val="0"/>
        <w:autoSpaceDN w:val="0"/>
        <w:adjustRightInd w:val="0"/>
        <w:spacing w:after="0" w:line="240" w:lineRule="auto"/>
        <w:jc w:val="center"/>
        <w:rPr>
          <w:rFonts w:ascii="Times New Roman" w:hAnsi="Times New Roman" w:cs="Times New Roman"/>
          <w:i/>
          <w:iCs/>
          <w:color w:val="000000"/>
          <w:szCs w:val="19"/>
          <w:lang w:val="en-GB"/>
        </w:rPr>
      </w:pPr>
    </w:p>
    <w:p w14:paraId="1532B6FB" w14:textId="77777777" w:rsidR="00F87AA2" w:rsidRDefault="00DE3873" w:rsidP="00AB19A6">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w:t>
      </w:r>
      <w:r w:rsidR="00AB19A6" w:rsidRPr="00AB19A6">
        <w:rPr>
          <w:rFonts w:ascii="Times New Roman" w:eastAsia="Times New Roman" w:hAnsi="Times New Roman" w:cs="Times New Roman"/>
          <w:i/>
          <w:iCs/>
          <w:color w:val="000000" w:themeColor="text1"/>
          <w:sz w:val="20"/>
          <w:szCs w:val="24"/>
          <w:lang w:val="en-GB"/>
        </w:rPr>
        <w:t xml:space="preserve"> </w:t>
      </w:r>
      <w:r w:rsidR="00AB19A6" w:rsidRPr="00F2448C">
        <w:rPr>
          <w:rFonts w:ascii="Times New Roman" w:eastAsia="Times New Roman" w:hAnsi="Times New Roman" w:cs="Times New Roman"/>
          <w:i/>
          <w:iCs/>
          <w:color w:val="000000" w:themeColor="text1"/>
          <w:sz w:val="20"/>
          <w:szCs w:val="24"/>
          <w:lang w:val="en-GB"/>
        </w:rPr>
        <w:t>represent the dependent and independent variables respectively</w:t>
      </w:r>
    </w:p>
    <w:p w14:paraId="555F0557" w14:textId="77777777" w:rsidR="00F87AA2" w:rsidRDefault="00F87AA2" w:rsidP="00AB19A6">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p>
    <w:p w14:paraId="70A015CA" w14:textId="55A27B3F" w:rsidR="003F70AE" w:rsidRDefault="00AB19A6" w:rsidP="00AB19A6">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sectPr w:rsidR="003F70AE" w:rsidSect="00AC1CF3">
          <w:type w:val="continuous"/>
          <w:pgSz w:w="8640" w:h="12960"/>
          <w:pgMar w:top="850" w:right="1138" w:bottom="850" w:left="1138" w:header="720" w:footer="720" w:gutter="0"/>
          <w:cols w:space="720"/>
          <w:docGrid w:linePitch="360"/>
        </w:sectPr>
      </w:pPr>
      <w:r w:rsidRPr="00F2448C">
        <w:rPr>
          <w:rFonts w:ascii="Times New Roman" w:eastAsia="Times New Roman" w:hAnsi="Times New Roman" w:cs="Times New Roman"/>
          <w:i/>
          <w:iCs/>
          <w:color w:val="000000" w:themeColor="text1"/>
          <w:sz w:val="20"/>
          <w:szCs w:val="24"/>
          <w:lang w:val="en-GB"/>
        </w:rPr>
        <w:t>.</w:t>
      </w:r>
    </w:p>
    <w:p w14:paraId="4D2C0106" w14:textId="34CE7D0C" w:rsidR="00AB19A6" w:rsidRPr="00F2448C" w:rsidRDefault="00AB19A6" w:rsidP="00AB19A6">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w:t>
      </w:r>
      <w:r w:rsidR="003F36C9" w:rsidRPr="00F2448C">
        <w:rPr>
          <w:rFonts w:ascii="Times New Roman" w:eastAsia="Times New Roman" w:hAnsi="Times New Roman" w:cs="Times New Roman"/>
          <w:iCs/>
          <w:color w:val="000000" w:themeColor="text1"/>
          <w:sz w:val="20"/>
          <w:szCs w:val="24"/>
          <w:lang w:val="en-GB"/>
        </w:rPr>
        <w:lastRenderedPageBreak/>
        <w:t xml:space="preserve">similar to the earlier findings of </w:t>
      </w:r>
      <w:r w:rsidR="003F36C9" w:rsidRPr="00F2448C">
        <w:rPr>
          <w:rFonts w:ascii="Times New Roman" w:eastAsia="Times New Roman" w:hAnsi="Times New Roman" w:cs="Times New Roman"/>
          <w:sz w:val="20"/>
          <w:lang w:val="en-GB" w:eastAsia="en-IN"/>
        </w:rPr>
        <w:t xml:space="preserve">Cella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w:t>
      </w:r>
      <w:r w:rsidRPr="00F2448C">
        <w:rPr>
          <w:rFonts w:ascii="Times New Roman" w:eastAsia="Times New Roman" w:hAnsi="Times New Roman" w:cs="Times New Roman"/>
          <w:iCs/>
          <w:color w:val="000000" w:themeColor="text1"/>
          <w:sz w:val="20"/>
          <w:szCs w:val="24"/>
          <w:lang w:val="en-GB"/>
        </w:rPr>
        <w:lastRenderedPageBreak/>
        <w:t xml:space="preserve">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Brockman, P., French, D. and Tamm, C. (2014).</w:t>
      </w:r>
      <w:r w:rsidR="004C6B3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REIT organizational structure, institutional ownership, and stock performance.</w:t>
      </w:r>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J. Real Estate Portf. Manag.</w:t>
      </w:r>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Cella</w:t>
      </w:r>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r w:rsidR="009509A3" w:rsidRPr="00F2448C">
        <w:rPr>
          <w:rFonts w:ascii="Times New Roman" w:hAnsi="Times New Roman" w:cs="Times New Roman"/>
          <w:sz w:val="20"/>
          <w:lang w:val="en-GB"/>
        </w:rPr>
        <w:t xml:space="preserve"> </w:t>
      </w:r>
      <w:r w:rsidRPr="00F2448C">
        <w:rPr>
          <w:rFonts w:ascii="Times New Roman" w:hAnsi="Times New Roman" w:cs="Times New Roman"/>
          <w:bCs/>
          <w:sz w:val="20"/>
          <w:lang w:val="en-GB"/>
        </w:rPr>
        <w:t>Institutional investors and corporate investment.</w:t>
      </w:r>
      <w:r w:rsidR="00C478A4" w:rsidRPr="00F2448C">
        <w:rPr>
          <w:rFonts w:ascii="Times New Roman" w:hAnsi="Times New Roman" w:cs="Times New Roman"/>
          <w:bCs/>
          <w:sz w:val="20"/>
          <w:lang w:val="en-GB"/>
        </w:rPr>
        <w:t xml:space="preserve"> </w:t>
      </w:r>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Chuang, H. (2020). The impacts of institutional ownership on stock returns.</w:t>
      </w:r>
      <w:r w:rsidR="009509A3" w:rsidRPr="00F2448C">
        <w:rPr>
          <w:rFonts w:ascii="Times New Roman" w:hAnsi="Times New Roman" w:cs="Times New Roman"/>
          <w:lang w:val="en-GB"/>
        </w:rPr>
        <w:t xml:space="preserve"> </w:t>
      </w:r>
      <w:r w:rsidR="009509A3" w:rsidRPr="00F2448C">
        <w:rPr>
          <w:rFonts w:ascii="Times New Roman" w:hAnsi="Times New Roman" w:cs="Times New Roman"/>
          <w:sz w:val="20"/>
          <w:lang w:val="en-GB"/>
        </w:rPr>
        <w:t>Empir. Econ</w:t>
      </w:r>
      <w:r w:rsidR="009509A3" w:rsidRPr="00F2448C">
        <w:rPr>
          <w:rFonts w:ascii="Times New Roman" w:hAnsi="Times New Roman" w:cs="Times New Roman"/>
          <w:i/>
          <w:sz w:val="20"/>
          <w:lang w:val="en-GB"/>
        </w:rPr>
        <w:t>.</w:t>
      </w:r>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lastRenderedPageBreak/>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 and Wójcik, D. (2005).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r w:rsidR="00813B14" w:rsidRPr="00F2448C">
        <w:rPr>
          <w:rFonts w:ascii="Times New Roman" w:hAnsi="Times New Roman" w:cs="Times New Roman"/>
          <w:iCs/>
          <w:sz w:val="20"/>
          <w:lang w:val="en-GB"/>
        </w:rPr>
        <w:t xml:space="preserve">Econ. Geogr.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Dasgupta, A., Prat, A. and Verardo, M. (2011).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Demsetz, H. and Lehn, K. (1985)</w:t>
      </w:r>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Dyakov, T. and Wipplinger, E. (2020).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and Metrick, A. (2001).</w:t>
      </w:r>
      <w:r w:rsidR="00684F3B"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Institutional investors and equity prices.</w:t>
      </w:r>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Han, K.C. and Suk, D.Y. (1998).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Rev. Financ. Econ</w:t>
      </w:r>
      <w:r w:rsidR="009E5E6C" w:rsidRPr="00F2448C">
        <w:rPr>
          <w:rFonts w:ascii="Times New Roman" w:hAnsi="Times New Roman" w:cs="Times New Roman"/>
          <w:sz w:val="20"/>
          <w:lang w:val="en-GB"/>
        </w:rPr>
        <w:t>.</w:t>
      </w:r>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La Porta, R., Lopez‐de‐Silanes, F., and Shleifer, A. (1999). Corporate ownership around the world.</w:t>
      </w:r>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Manawaduge,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Zoysa, A., and Rudkin,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lastRenderedPageBreak/>
        <w:t>McNulty, T. and Nordberg, D. (2016).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Othman, R., Arshad,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and Hamzah,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IEEE.</w:t>
      </w:r>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Ovtcharova, G. (2003). Institutional Ownership and Long-Term Stock Returns.</w:t>
      </w:r>
      <w:r w:rsidR="0045376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Working Papers Series.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Shleifer, A.</w:t>
      </w:r>
      <w:r w:rsidR="005B3D5C" w:rsidRPr="00F2448C">
        <w:rPr>
          <w:rFonts w:ascii="Times New Roman" w:hAnsi="Times New Roman" w:cs="Times New Roman"/>
          <w:sz w:val="20"/>
          <w:lang w:val="en-GB"/>
        </w:rPr>
        <w:t xml:space="preserve"> and </w:t>
      </w:r>
      <w:r w:rsidRPr="00F2448C">
        <w:rPr>
          <w:rFonts w:ascii="Times New Roman" w:hAnsi="Times New Roman" w:cs="Times New Roman"/>
          <w:sz w:val="20"/>
          <w:lang w:val="en-GB"/>
        </w:rPr>
        <w:t>Vishny, R.W. (1986).</w:t>
      </w:r>
      <w:r w:rsidR="005B3D5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Large shareholders and corporate control.</w:t>
      </w:r>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797CE2E7" w:rsidR="00B95047" w:rsidRPr="00F2448C" w:rsidRDefault="00B95047" w:rsidP="00F8777D">
      <w:pPr>
        <w:spacing w:after="0" w:line="240" w:lineRule="auto"/>
        <w:jc w:val="both"/>
        <w:rPr>
          <w:rFonts w:ascii="Times New Roman" w:hAnsi="Times New Roman" w:cs="Times New Roman"/>
          <w:iCs/>
          <w:sz w:val="20"/>
          <w:lang w:val="en-GB"/>
        </w:rPr>
      </w:pPr>
      <w:r w:rsidRPr="00F2448C">
        <w:rPr>
          <w:rFonts w:ascii="Times New Roman" w:hAnsi="Times New Roman" w:cs="Times New Roman"/>
          <w:sz w:val="20"/>
          <w:lang w:val="en-GB"/>
        </w:rPr>
        <w:t>Sikorski, D. (2011).</w:t>
      </w:r>
      <w:r w:rsidR="00FA4B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iCs/>
          <w:sz w:val="20"/>
          <w:lang w:val="en-GB"/>
        </w:rPr>
        <w:t>The Impact of the Global Financial Crisis on Emerging Financial Markets.</w:t>
      </w:r>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lastRenderedPageBreak/>
        <w:t>ed. A. Jonathan Batten, and G PeterSzilagyi,</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r w:rsidR="00B37E91" w:rsidRPr="00CA29BD">
        <w:rPr>
          <w:rFonts w:ascii="Times New Roman" w:hAnsi="Times New Roman" w:cs="Times New Roman"/>
          <w:iCs/>
          <w:sz w:val="21"/>
          <w:szCs w:val="21"/>
          <w:shd w:val="clear" w:color="auto" w:fill="FFFFFF"/>
        </w:rPr>
        <w:t>Bingley:</w:t>
      </w:r>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Singh, A. and Singh, M. (2016).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Ying, Q., Kong, D. and Luo, D. (2015). Investor attention, institutional ownership, and stock return: Empirical evidence from China.</w:t>
      </w:r>
      <w:r w:rsidR="004E36A7" w:rsidRPr="00F2448C">
        <w:rPr>
          <w:rFonts w:ascii="Times New Roman" w:hAnsi="Times New Roman" w:cs="Times New Roman"/>
          <w:sz w:val="20"/>
          <w:lang w:val="en-GB"/>
        </w:rPr>
        <w:t xml:space="preserve"> Emerg.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50570495" w14:textId="59173792" w:rsidR="005624E3" w:rsidRDefault="00B95047" w:rsidP="005624E3">
      <w:pPr>
        <w:autoSpaceDE w:val="0"/>
        <w:autoSpaceDN w:val="0"/>
        <w:adjustRightInd w:val="0"/>
        <w:spacing w:after="0" w:line="240" w:lineRule="auto"/>
        <w:jc w:val="both"/>
        <w:rPr>
          <w:rFonts w:ascii="Times New Roman" w:eastAsia="Times New Roman" w:hAnsi="Times New Roman" w:cs="Times New Roman"/>
          <w:iCs/>
          <w:sz w:val="20"/>
          <w:szCs w:val="24"/>
          <w:lang w:val="en-GB"/>
        </w:rPr>
        <w:sectPr w:rsidR="005624E3" w:rsidSect="00AC1CF3">
          <w:type w:val="continuous"/>
          <w:pgSz w:w="8640" w:h="12960"/>
          <w:pgMar w:top="850" w:right="1138" w:bottom="850" w:left="1138" w:header="720" w:footer="720" w:gutter="0"/>
          <w:cols w:num="2" w:space="720"/>
          <w:docGrid w:linePitch="360"/>
        </w:sectPr>
      </w:pPr>
      <w:r w:rsidRPr="00F2448C">
        <w:rPr>
          <w:rFonts w:ascii="Times New Roman" w:hAnsi="Times New Roman" w:cs="Times New Roman"/>
          <w:sz w:val="20"/>
          <w:lang w:val="en-GB"/>
        </w:rPr>
        <w:t>Zou,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006B10E3">
        <w:rPr>
          <w:rFonts w:ascii="Times New Roman" w:hAnsi="Times New Roman" w:cs="Times New Roman"/>
          <w:sz w:val="20"/>
          <w:lang w:val="en-GB"/>
        </w:rPr>
        <w:t>1168</w:t>
      </w:r>
    </w:p>
    <w:p w14:paraId="1D1D98F0" w14:textId="32F3DC4B" w:rsidR="007F631B" w:rsidRPr="00F2448C" w:rsidRDefault="007F631B" w:rsidP="005624E3">
      <w:pPr>
        <w:spacing w:line="240" w:lineRule="auto"/>
        <w:jc w:val="both"/>
        <w:rPr>
          <w:rFonts w:ascii="Times New Roman" w:eastAsia="Times New Roman" w:hAnsi="Times New Roman" w:cs="Times New Roman"/>
          <w:iCs/>
          <w:sz w:val="20"/>
          <w:szCs w:val="24"/>
          <w:lang w:val="en-GB"/>
        </w:rPr>
      </w:pPr>
    </w:p>
    <w:sectPr w:rsidR="007F631B" w:rsidRPr="00F2448C" w:rsidSect="00AC1CF3">
      <w:type w:val="continuous"/>
      <w:pgSz w:w="8640" w:h="12960"/>
      <w:pgMar w:top="850" w:right="1138" w:bottom="850" w:left="113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FF2D" w16cex:dateUtc="2022-04-11T13:55:00Z"/>
  <w16cex:commentExtensible w16cex:durableId="25FDDA90" w16cex:dateUtc="2022-04-06T06:29:00Z"/>
  <w16cex:commentExtensible w16cex:durableId="25FDDA91" w16cex:dateUtc="2022-04-06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500B85" w16cid:durableId="25FEFF2D"/>
  <w16cid:commentId w16cid:paraId="66316330" w16cid:durableId="25FDDA90"/>
  <w16cid:commentId w16cid:paraId="0FB70F51" w16cid:durableId="25FDDA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CA"/>
    <w:rsid w:val="00004B28"/>
    <w:rsid w:val="00021013"/>
    <w:rsid w:val="0003130A"/>
    <w:rsid w:val="0003678D"/>
    <w:rsid w:val="00045730"/>
    <w:rsid w:val="00050BAD"/>
    <w:rsid w:val="00080467"/>
    <w:rsid w:val="0008434D"/>
    <w:rsid w:val="00086E0F"/>
    <w:rsid w:val="000C4795"/>
    <w:rsid w:val="000C66E4"/>
    <w:rsid w:val="000D1738"/>
    <w:rsid w:val="000D658D"/>
    <w:rsid w:val="000E5A9B"/>
    <w:rsid w:val="00117CED"/>
    <w:rsid w:val="00133B5B"/>
    <w:rsid w:val="001469AF"/>
    <w:rsid w:val="00156755"/>
    <w:rsid w:val="00160777"/>
    <w:rsid w:val="00164873"/>
    <w:rsid w:val="0016749B"/>
    <w:rsid w:val="0018687F"/>
    <w:rsid w:val="0019651C"/>
    <w:rsid w:val="001C6CAB"/>
    <w:rsid w:val="001E65AF"/>
    <w:rsid w:val="001F70A1"/>
    <w:rsid w:val="00206D8C"/>
    <w:rsid w:val="00214370"/>
    <w:rsid w:val="00220DCB"/>
    <w:rsid w:val="002322C3"/>
    <w:rsid w:val="002649EA"/>
    <w:rsid w:val="00267469"/>
    <w:rsid w:val="00270847"/>
    <w:rsid w:val="0028447D"/>
    <w:rsid w:val="002A732A"/>
    <w:rsid w:val="00324429"/>
    <w:rsid w:val="00326F06"/>
    <w:rsid w:val="003339C9"/>
    <w:rsid w:val="003512F1"/>
    <w:rsid w:val="003518BE"/>
    <w:rsid w:val="00353D41"/>
    <w:rsid w:val="00361F32"/>
    <w:rsid w:val="003669A2"/>
    <w:rsid w:val="00376B81"/>
    <w:rsid w:val="00390C0E"/>
    <w:rsid w:val="003D4C3C"/>
    <w:rsid w:val="003F36C9"/>
    <w:rsid w:val="003F70AE"/>
    <w:rsid w:val="00421973"/>
    <w:rsid w:val="004308F7"/>
    <w:rsid w:val="004368B3"/>
    <w:rsid w:val="004457C0"/>
    <w:rsid w:val="004508F2"/>
    <w:rsid w:val="00453762"/>
    <w:rsid w:val="0046062B"/>
    <w:rsid w:val="00472F3B"/>
    <w:rsid w:val="00473BBB"/>
    <w:rsid w:val="00480485"/>
    <w:rsid w:val="00490A09"/>
    <w:rsid w:val="00493E02"/>
    <w:rsid w:val="004B7420"/>
    <w:rsid w:val="004C6B39"/>
    <w:rsid w:val="004D5526"/>
    <w:rsid w:val="004E14C8"/>
    <w:rsid w:val="004E36A7"/>
    <w:rsid w:val="004E3A0F"/>
    <w:rsid w:val="004F7FE1"/>
    <w:rsid w:val="00510237"/>
    <w:rsid w:val="00517B64"/>
    <w:rsid w:val="005376DB"/>
    <w:rsid w:val="005402AE"/>
    <w:rsid w:val="00543CD6"/>
    <w:rsid w:val="005624E3"/>
    <w:rsid w:val="00566FE8"/>
    <w:rsid w:val="005836EE"/>
    <w:rsid w:val="00586479"/>
    <w:rsid w:val="00590699"/>
    <w:rsid w:val="005B3D5C"/>
    <w:rsid w:val="005E3465"/>
    <w:rsid w:val="00627CC8"/>
    <w:rsid w:val="00635E75"/>
    <w:rsid w:val="00656764"/>
    <w:rsid w:val="00660256"/>
    <w:rsid w:val="00675CDE"/>
    <w:rsid w:val="00684F3B"/>
    <w:rsid w:val="00686EFD"/>
    <w:rsid w:val="006908C3"/>
    <w:rsid w:val="006949E6"/>
    <w:rsid w:val="006B10E3"/>
    <w:rsid w:val="006D1F23"/>
    <w:rsid w:val="006E25FE"/>
    <w:rsid w:val="006E6098"/>
    <w:rsid w:val="00700FE8"/>
    <w:rsid w:val="00785388"/>
    <w:rsid w:val="007A3B0F"/>
    <w:rsid w:val="007B0648"/>
    <w:rsid w:val="007B4598"/>
    <w:rsid w:val="007B4926"/>
    <w:rsid w:val="007B71AF"/>
    <w:rsid w:val="007D140D"/>
    <w:rsid w:val="007D1E58"/>
    <w:rsid w:val="007E73BB"/>
    <w:rsid w:val="007F2D13"/>
    <w:rsid w:val="007F631B"/>
    <w:rsid w:val="007F7360"/>
    <w:rsid w:val="008045CF"/>
    <w:rsid w:val="00810356"/>
    <w:rsid w:val="008119E2"/>
    <w:rsid w:val="00813B14"/>
    <w:rsid w:val="008172D4"/>
    <w:rsid w:val="0081731B"/>
    <w:rsid w:val="00834527"/>
    <w:rsid w:val="00834DBB"/>
    <w:rsid w:val="0085253C"/>
    <w:rsid w:val="00874BB7"/>
    <w:rsid w:val="008919F6"/>
    <w:rsid w:val="00891CC6"/>
    <w:rsid w:val="00897327"/>
    <w:rsid w:val="008B641D"/>
    <w:rsid w:val="008C4E5C"/>
    <w:rsid w:val="008D3195"/>
    <w:rsid w:val="008E233A"/>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614A"/>
    <w:rsid w:val="009C7057"/>
    <w:rsid w:val="009E430B"/>
    <w:rsid w:val="009E5E6C"/>
    <w:rsid w:val="009F060F"/>
    <w:rsid w:val="009F7DC8"/>
    <w:rsid w:val="00A03C33"/>
    <w:rsid w:val="00A142AD"/>
    <w:rsid w:val="00A310CA"/>
    <w:rsid w:val="00A53AAF"/>
    <w:rsid w:val="00A748EB"/>
    <w:rsid w:val="00A825D5"/>
    <w:rsid w:val="00A9406D"/>
    <w:rsid w:val="00A943A0"/>
    <w:rsid w:val="00AB19A6"/>
    <w:rsid w:val="00AC1CF3"/>
    <w:rsid w:val="00AE3C90"/>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A29BD"/>
    <w:rsid w:val="00CB31CA"/>
    <w:rsid w:val="00CC2AA2"/>
    <w:rsid w:val="00CE1C86"/>
    <w:rsid w:val="00CF345D"/>
    <w:rsid w:val="00D03C7C"/>
    <w:rsid w:val="00D06DE7"/>
    <w:rsid w:val="00D147FD"/>
    <w:rsid w:val="00D17AD4"/>
    <w:rsid w:val="00D253F3"/>
    <w:rsid w:val="00D33E3D"/>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7949"/>
    <w:rsid w:val="00ED57D8"/>
    <w:rsid w:val="00ED6A3F"/>
    <w:rsid w:val="00EE10D5"/>
    <w:rsid w:val="00F00D99"/>
    <w:rsid w:val="00F10D60"/>
    <w:rsid w:val="00F1766D"/>
    <w:rsid w:val="00F2448C"/>
    <w:rsid w:val="00F47D57"/>
    <w:rsid w:val="00F55A4E"/>
    <w:rsid w:val="00F61672"/>
    <w:rsid w:val="00F67BB3"/>
    <w:rsid w:val="00F83F8B"/>
    <w:rsid w:val="00F8777D"/>
    <w:rsid w:val="00F87AA2"/>
    <w:rsid w:val="00F941D5"/>
    <w:rsid w:val="00FA4BC9"/>
    <w:rsid w:val="00FA53F1"/>
    <w:rsid w:val="00FB605B"/>
    <w:rsid w:val="00FB67F9"/>
    <w:rsid w:val="00FD069D"/>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7A73E-4C3C-42C5-9110-0241CE7E1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66</cp:revision>
  <cp:lastPrinted>2024-05-01T16:57:00Z</cp:lastPrinted>
  <dcterms:created xsi:type="dcterms:W3CDTF">2022-04-12T08:37:00Z</dcterms:created>
  <dcterms:modified xsi:type="dcterms:W3CDTF">2024-05-04T07:14:00Z</dcterms:modified>
</cp:coreProperties>
</file>