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w:t>
      </w:r>
      <w:r>
        <w:t xml:space="preserve"> </w:t>
      </w:r>
      <w:r>
        <w:t xml:space="preserve">“</w:t>
      </w:r>
      <w:r>
        <w:t xml:space="preserve">Fusing short-pulse voltage waveforms with handcrafted features for rapid state-of-health estimation of lithium iron phosphate batteries: a controlled comparison of encoder pairings</w:t>
      </w:r>
      <w:r>
        <w:t xml:space="preserve">”</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FrontHeading"/>
      </w:pPr>
      <w:r>
        <w:t xml:space="preserve">Contents</w:t>
      </w:r>
    </w:p>
    <w:p>
      <w:pPr>
        <w:pStyle w:val="ContentsEntry"/>
      </w:pPr>
      <w:r>
        <w:t xml:space="preserve">Supplementary Note S1. Handcrafted feature definitions</w:t>
      </w:r>
    </w:p>
    <w:p>
      <w:pPr>
        <w:pStyle w:val="ContentsEntry"/>
      </w:pPr>
      <w:r>
        <w:t xml:space="preserve">Supplementary Note S2. PatchTST encoder equations</w:t>
      </w:r>
    </w:p>
    <w:p>
      <w:pPr>
        <w:pStyle w:val="ContentsEntry"/>
      </w:pPr>
      <w:r>
        <w:t xml:space="preserve">Supplementary Note S3. Statistical test families</w:t>
      </w:r>
    </w:p>
    <w:p>
      <w:pPr>
        <w:pStyle w:val="ContentsEntry"/>
      </w:pPr>
      <w:r>
        <w:t xml:space="preserve">Supplementary Note S4. Procedures of the generalisation, robustness and deployment experiments</w:t>
      </w:r>
    </w:p>
    <w:p>
      <w:pPr>
        <w:pStyle w:val="ContentsEntry"/>
      </w:pPr>
      <w:r>
        <w:t xml:space="preserve">Supplementary Algorithm S1; Supplementary Tables S1–S7; Supplementary Figs. S1–S5</w:t>
      </w:r>
    </w:p>
    <w:bookmarkStart w:id="20" w:name="X2cf1acafb4642dc5494b63a6864f0c11d2d5b87"/>
    <w:p>
      <w:pPr>
        <w:pStyle w:val="Heading1"/>
        <w:pageBreakBefore/>
      </w:pPr>
      <w:r>
        <w:t xml:space="preserve">Supplementary Note S1. Handcrafted feature definitions</w:t>
      </w:r>
    </w:p>
    <w:p>
      <w:pPr>
        <w:pStyle w:val="FirstParagraph"/>
      </w:pPr>
      <w:r>
        <w:t xml:space="preserve">This note defines the 143 waveform-derived features of Table 2; the seven context quantities are given in Eq. (3) of the main text. All features are computed on the absolute terminal voltage; only the supplementary branch receives the first-sample-referenced ΔV. The segments follow the publisher’s pulse timing and are defined, together with the first and second differences, as</w:t>
      </w:r>
    </w:p>
    <w:p>
      <w:pPr>
        <w:pStyle w:val="Equation"/>
        <w:tabs>
          <w:tab w:val="center" w:pos="4155"/>
          <w:tab w:val="right" w:pos="8311"/>
        </w:tabs>
      </w:pPr>
      <w:r>
        <w:rPr>
          <w:rFonts w:ascii="Times New Roman" w:hAnsi="Times New Roman" w:cs="Times New Roman"/>
          <w:sz w:val="24"/>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4"/>
        </w:rPr>
        <w:tab/>
        <w:t>(S1)</w:t>
      </w:r>
    </w:p>
    <w:p>
      <w:pPr>
        <w:pStyle w:val="BodyText"/>
      </w:pPr>
      <w:r>
        <w:rPr>
          <w:b/>
          <w:bCs/>
        </w:rPr>
        <w:t xml:space="preserve">Basic operators.</w:t>
      </w:r>
      <w:r>
        <w:t xml:space="preserve"> </w:t>
      </w:r>
      <w:r>
        <w:t xml:space="preserve">For a window</w:t>
      </w:r>
      <w:r>
        <w:t xml:space="preserve"> </w:t>
      </w:r>
      <m:oMath>
        <m:r>
          <m:t>x</m:t>
        </m:r>
      </m:oMath>
      <w:r>
        <w:t xml:space="preserve"> </w:t>
      </w:r>
      <w:r>
        <w:t xml:space="preserve">of length</w:t>
      </w:r>
      <w:r>
        <w:t xml:space="preserve"> </w:t>
      </w:r>
      <m:oMath>
        <m:r>
          <m:t>n</m:t>
        </m:r>
      </m:oMath>
      <w:r>
        <w:t xml:space="preserve">,</w:t>
      </w:r>
    </w:p>
    <w:p>
      <w:pPr>
        <w:pStyle w:val="Equation"/>
        <w:tabs>
          <w:tab w:val="center" w:pos="4155"/>
          <w:tab w:val="right" w:pos="8311"/>
        </w:tabs>
      </w:pPr>
      <w:r>
        <w:rPr>
          <w:rFonts w:ascii="Times New Roman" w:hAnsi="Times New Roman" w:cs="Times New Roman"/>
          <w:sz w:val="24"/>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4"/>
        </w:rPr>
        <w:tab/>
        <w:t>(S2)</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4"/>
        </w:rPr>
        <w:tab/>
        <w:t>(S3)</w:t>
      </w:r>
    </w:p>
    <w:p>
      <w:pPr>
        <w:pStyle w:val="BodyText"/>
      </w:pPr>
      <w:r>
        <w:t xml:space="preserve">The standard deviation uses the population form (</w:t>
      </w:r>
      <m:oMath>
        <m:r>
          <m:t>1</m:t>
        </m:r>
        <m:r>
          <m:rPr>
            <m:sty m:val="p"/>
          </m:rPr>
          <m:t>/</m:t>
        </m:r>
        <m:r>
          <m:t>n</m:t>
        </m:r>
      </m:oMath>
      <w:r>
        <w:t xml:space="preserve">), except for the global voltage sequence, which follows the publisher’s supplementary definition with the sample form (</w:t>
      </w:r>
      <m:oMath>
        <m:r>
          <m:t>1</m:t>
        </m:r>
        <m:r>
          <m:rPr>
            <m:sty m:val="p"/>
          </m:rPr>
          <m:t>/</m:t>
        </m:r>
        <m:d>
          <m:dPr>
            <m:begChr m:val="("/>
            <m:sepChr m:val=""/>
            <m:endChr m:val=")"/>
            <m:grow/>
          </m:dPr>
          <m:e>
            <m:r>
              <m:t>n</m:t>
            </m:r>
            <m:r>
              <m:rPr>
                <m:sty m:val="p"/>
              </m:rPr>
              <m:t>−</m:t>
            </m:r>
            <m:r>
              <m:t>1</m:t>
            </m:r>
          </m:e>
        </m:d>
      </m:oMath>
      <w:r>
        <w:t xml:space="preserve">); both are labelled in the feature list.</w:t>
      </w:r>
    </w:p>
    <w:p>
      <w:pPr>
        <w:pStyle w:val="BodyText"/>
      </w:pPr>
      <w:r>
        <w:rPr>
          <w:b/>
          <w:bCs/>
        </w:rPr>
        <w:t xml:space="preserve">Shape.</w:t>
      </w:r>
      <w:r>
        <w:t xml:space="preserve"> </w:t>
      </w:r>
      <w:r>
        <w:t xml:space="preserve">Bias-corrected Fisher–Pearson skewness and excess kurtosis are used, with</w:t>
      </w:r>
      <w:r>
        <w:t xml:space="preserve"> </w:t>
      </w:r>
      <m:oMath>
        <m:sSub>
          <m:e>
            <m:r>
              <m:t>m</m:t>
            </m:r>
          </m:e>
          <m:sub>
            <m:r>
              <m:t>k</m:t>
            </m:r>
          </m:sub>
        </m:sSub>
      </m:oMath>
      <w:r>
        <w:t xml:space="preserve"> </w:t>
      </w:r>
      <w:r>
        <w:t xml:space="preserve">the</w:t>
      </w:r>
      <w:r>
        <w:t xml:space="preserve"> </w:t>
      </w:r>
      <m:oMath>
        <m:r>
          <m:t>k</m:t>
        </m:r>
      </m:oMath>
      <w:r>
        <w:t xml:space="preserve">-th central moment:</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4"/>
        </w:rPr>
        <w:tab/>
        <w:t>(S4)</w:t>
      </w:r>
    </w:p>
    <w:p>
      <w:pPr>
        <w:pStyle w:val="BodyText"/>
      </w:pPr>
      <w:r>
        <w:rPr>
          <w:b/>
          <w:bCs/>
        </w:rPr>
        <w:t xml:space="preserve">Histogram entropy.</w:t>
      </w:r>
      <w:r>
        <w:t xml:space="preserve"> </w:t>
      </w:r>
      <w:r>
        <w:t xml:space="preserve">The range of the window is divided into 16 equal bins and</w:t>
      </w:r>
      <w:r>
        <w:t xml:space="preserve"> </w:t>
      </w:r>
      <m:oMath>
        <m:sSub>
          <m:e>
            <m:r>
              <m:t>p</m:t>
            </m:r>
          </m:e>
          <m:sub>
            <m:r>
              <m:t>i</m:t>
            </m:r>
          </m:sub>
        </m:sSub>
      </m:oMath>
      <w:r>
        <w:t xml:space="preserve"> </w:t>
      </w:r>
      <w:r>
        <w:t xml:space="preserve">is the fraction of samples in bin</w:t>
      </w:r>
      <w:r>
        <w:t xml:space="preserve"> </w:t>
      </w:r>
      <m:oMath>
        <m:r>
          <m:t>i</m:t>
        </m:r>
      </m:oMath>
      <w:r>
        <w:t xml:space="preserve">:</w:t>
      </w:r>
    </w:p>
    <w:p>
      <w:pPr>
        <w:pStyle w:val="Equation"/>
        <w:tabs>
          <w:tab w:val="center" w:pos="4155"/>
          <w:tab w:val="right" w:pos="8311"/>
        </w:tabs>
      </w:pPr>
      <w:r>
        <w:rPr>
          <w:rFonts w:ascii="Times New Roman" w:hAnsi="Times New Roman" w:cs="Times New Roman"/>
          <w:sz w:val="24"/>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4"/>
        </w:rPr>
        <w:tab/>
        <w:t>(S5)</w:t>
      </w:r>
    </w:p>
    <w:p>
      <w:pPr>
        <w:pStyle w:val="BodyText"/>
      </w:pPr>
      <w:r>
        <w:rPr>
          <w:b/>
          <w:bCs/>
        </w:rPr>
        <w:t xml:space="preserve">Linear trend.</w:t>
      </w:r>
      <w:r>
        <w:t xml:space="preserve"> </w:t>
      </w:r>
      <w:r>
        <w:t xml:space="preserve">A least-squares line is fitted against the sample index</w:t>
      </w:r>
      <w:r>
        <w:t xml:space="preserve"> </w:t>
      </w:r>
      <m:oMath>
        <m:sSub>
          <m:e>
            <m:r>
              <m:t>t</m:t>
            </m:r>
          </m:e>
          <m:sub>
            <m:r>
              <m:t>i</m:t>
            </m:r>
          </m:sub>
        </m:sSub>
      </m:oMath>
      <w:r>
        <w:t xml:space="preserve">:</w:t>
      </w:r>
    </w:p>
    <w:p>
      <w:pPr>
        <w:pStyle w:val="Equation"/>
        <w:tabs>
          <w:tab w:val="center" w:pos="4155"/>
          <w:tab w:val="right" w:pos="8311"/>
        </w:tabs>
      </w:pPr>
      <w:r>
        <w:rPr>
          <w:rFonts w:ascii="Times New Roman" w:hAnsi="Times New Roman" w:cs="Times New Roman"/>
          <w:sz w:val="24"/>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4"/>
        </w:rPr>
        <w:tab/>
        <w:t>(S6)</w:t>
      </w:r>
    </w:p>
    <w:p>
      <w:pPr>
        <w:pStyle w:val="BodyText"/>
      </w:pPr>
      <w:r>
        <w:rPr>
          <w:b/>
          <w:bCs/>
        </w:rPr>
        <w:t xml:space="preserve">Zero crossings and total variation.</w:t>
      </w:r>
      <w:r>
        <w:t xml:space="preserve"> </w:t>
      </w:r>
      <w:r>
        <w:t xml:space="preserve">Zero crossings of a difference sequence are counted after removing exact zeros, giving</w:t>
      </w:r>
      <w:r>
        <w:t xml:space="preserve"> </w:t>
      </w:r>
      <m:oMath>
        <m:r>
          <m:t>y</m:t>
        </m:r>
      </m:oMath>
      <w:r>
        <w:t xml:space="preserve">:</w:t>
      </w:r>
    </w:p>
    <w:p>
      <w:pPr>
        <w:pStyle w:val="Equation"/>
        <w:tabs>
          <w:tab w:val="center" w:pos="4155"/>
          <w:tab w:val="right" w:pos="8311"/>
        </w:tabs>
      </w:pPr>
      <w:r>
        <w:rPr>
          <w:rFonts w:ascii="Times New Roman" w:hAnsi="Times New Roman" w:cs="Times New Roman"/>
          <w:sz w:val="24"/>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4"/>
        </w:rPr>
        <w:tab/>
        <w:t>(S7)</w:t>
      </w:r>
    </w:p>
    <w:p>
      <w:pPr>
        <w:pStyle w:val="BodyText"/>
      </w:pPr>
      <w:r>
        <w:t xml:space="preserve">The 15 operators of Eqs. (S2)–(S7) applied to</w:t>
      </w:r>
      <w:r>
        <w:t xml:space="preserve"> </w:t>
      </w:r>
      <m:oMath>
        <m:sSup>
          <m:e>
            <m:r>
              <m:t>S</m:t>
            </m:r>
          </m:e>
          <m:sup>
            <m:d>
              <m:dPr>
                <m:begChr m:val="("/>
                <m:sepChr m:val=""/>
                <m:endChr m:val=")"/>
                <m:grow/>
              </m:dPr>
              <m:e>
                <m:r>
                  <m:t>1</m:t>
                </m:r>
              </m:e>
            </m:d>
          </m:sup>
        </m:sSup>
      </m:oMath>
      <w:r>
        <w:t xml:space="preserve">,</w:t>
      </w:r>
      <w:r>
        <w:t xml:space="preserve"> </w:t>
      </w:r>
      <m:oMath>
        <m:sSup>
          <m:e>
            <m:r>
              <m:t>S</m:t>
            </m:r>
          </m:e>
          <m:sup>
            <m:d>
              <m:dPr>
                <m:begChr m:val="("/>
                <m:sepChr m:val=""/>
                <m:endChr m:val=")"/>
                <m:grow/>
              </m:dPr>
              <m:e>
                <m:r>
                  <m:t>2</m:t>
                </m:r>
              </m:e>
            </m:d>
          </m:sup>
        </m:sSup>
      </m:oMath>
      <w:r>
        <w:t xml:space="preserve"> </w:t>
      </w:r>
      <w:r>
        <w:t xml:space="preserve">and</w:t>
      </w:r>
      <w:r>
        <w:t xml:space="preserve"> </w:t>
      </w:r>
      <m:oMath>
        <m:sSup>
          <m:e>
            <m:r>
              <m:t>S</m:t>
            </m:r>
          </m:e>
          <m:sup>
            <m:d>
              <m:dPr>
                <m:begChr m:val="("/>
                <m:sepChr m:val=""/>
                <m:endChr m:val=")"/>
                <m:grow/>
              </m:dPr>
              <m:e>
                <m:r>
                  <m:t>3</m:t>
                </m:r>
              </m:e>
            </m:d>
          </m:sup>
        </m:sSup>
      </m:oMath>
      <w:r>
        <w:t xml:space="preserve"> </w:t>
      </w:r>
      <w:r>
        <w:t xml:space="preserve">give the 45 segment statistics; applied to the full sequence and to</w:t>
      </w:r>
      <w:r>
        <w:t xml:space="preserve"> </w:t>
      </w:r>
      <m:oMath>
        <m:sSup>
          <m:e>
            <m:r>
              <m:t>d</m:t>
            </m:r>
          </m:e>
          <m:sup>
            <m:d>
              <m:dPr>
                <m:begChr m:val="("/>
                <m:sepChr m:val=""/>
                <m:endChr m:val=")"/>
                <m:grow/>
              </m:dPr>
              <m:e>
                <m:r>
                  <m:t>1</m:t>
                </m:r>
              </m:e>
            </m:d>
          </m:sup>
        </m:sSup>
      </m:oMath>
      <w:r>
        <w:t xml:space="preserve"> </w:t>
      </w:r>
      <w:r>
        <w:t xml:space="preserve">and</w:t>
      </w:r>
      <w:r>
        <w:t xml:space="preserve"> </w:t>
      </w:r>
      <m:oMath>
        <m:sSup>
          <m:e>
            <m:r>
              <m:t>d</m:t>
            </m:r>
          </m:e>
          <m:sup>
            <m:d>
              <m:dPr>
                <m:begChr m:val="("/>
                <m:sepChr m:val=""/>
                <m:endChr m:val=")"/>
                <m:grow/>
              </m:dPr>
              <m:e>
                <m:r>
                  <m:t>2</m:t>
                </m:r>
              </m:e>
            </m:d>
          </m:sup>
        </m:sSup>
      </m:oMath>
      <w:r>
        <w:t xml:space="preserve">, together with end points and quantiles, they give the 24 global and 22 difference-dynamics features.</w:t>
      </w:r>
    </w:p>
    <w:p>
      <w:pPr>
        <w:pStyle w:val="BodyText"/>
      </w:pPr>
      <w:r>
        <w:rPr>
          <w:b/>
          <w:bCs/>
        </w:rPr>
        <w:t xml:space="preserve">Spectral features.</w:t>
      </w:r>
      <w:r>
        <w:t xml:space="preserve"> </w:t>
      </w:r>
      <w:r>
        <w:t xml:space="preserve">The demeaned sequence is Hann-windowed and transformed by a real fast Fourier transform (</w:t>
      </w:r>
      <m:oMath>
        <m:r>
          <m:t>N</m:t>
        </m:r>
        <m:r>
          <m:rPr>
            <m:sty m:val="p"/>
          </m:rPr>
          <m:t>=</m:t>
        </m:r>
        <m:r>
          <m:t>101</m:t>
        </m:r>
      </m:oMath>
      <w:r>
        <w:t xml:space="preserve">, frequency in cycles per sample):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4"/>
        </w:rPr>
        <w:tab/>
        <w:t>(S8)</w:t>
      </w:r>
    </w:p>
    <w:p>
      <w:pPr>
        <w:pStyle w:val="BodyText"/>
      </w:pPr>
      <w:r>
        <w:t xml:space="preserve">The amplitudes of the first eight non-DC lines and the energy shares of four bands are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4"/>
        </w:rPr>
        <w:tab/>
        <w:t>(S9)</w:t>
      </w:r>
    </w:p>
    <w:p>
      <w:pPr>
        <w:pStyle w:val="BodyText"/>
      </w:pPr>
      <w:r>
        <w:t xml:space="preserve">Spectral-shape features exclude the DC component: dominant frequency and amplitude, centroid, spread, flatness, entropy and 85% roll-off,</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4"/>
        </w:rPr>
        <w:tab/>
        <w:t>(S10)</w:t>
      </w:r>
    </w:p>
    <w:p>
      <w:pPr>
        <w:pStyle w:val="Equation"/>
        <w:tabs>
          <w:tab w:val="center" w:pos="4155"/>
          <w:tab w:val="right" w:pos="8311"/>
        </w:tabs>
      </w:pPr>
      <w:r>
        <w:rPr>
          <w:rFonts w:ascii="Times New Roman" w:hAnsi="Times New Roman" w:cs="Times New Roman"/>
          <w:sz w:val="24"/>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4"/>
        </w:rPr>
        <w:tab/>
        <w:t>(S11)</w:t>
      </w:r>
    </w:p>
    <w:p>
      <w:pPr>
        <w:pStyle w:val="BodyText"/>
      </w:pPr>
      <w:r>
        <w:rPr>
          <w:b/>
          <w:bCs/>
        </w:rPr>
        <w:t xml:space="preserve">Wavelet features.</w:t>
      </w:r>
      <w:r>
        <w:t xml:space="preserve"> </w:t>
      </w:r>
      <w:r>
        <w:t xml:space="preserve">A four-level db2 decomposition with symmetric extension gives coefficient sets</w:t>
      </w:r>
      <w:r>
        <w:t xml:space="preserve"> </w:t>
      </w:r>
      <m:oMath>
        <m:r>
          <m:t>c</m:t>
        </m:r>
      </m:oMath>
      <w:r>
        <w:t xml:space="preserve">, and their energy fractions are</w:t>
      </w:r>
    </w:p>
    <w:p>
      <w:pPr>
        <w:pStyle w:val="Equation"/>
        <w:tabs>
          <w:tab w:val="center" w:pos="4155"/>
          <w:tab w:val="right" w:pos="8311"/>
        </w:tabs>
      </w:pPr>
      <w:r>
        <w:rPr>
          <w:rFonts w:ascii="Times New Roman" w:hAnsi="Times New Roman" w:cs="Times New Roman"/>
          <w:sz w:val="24"/>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4"/>
        </w:rPr>
        <w:tab/>
        <w:t>(S12)</w:t>
      </w:r>
    </w:p>
    <w:p>
      <w:pPr>
        <w:pStyle w:val="BodyText"/>
      </w:pPr>
      <w:r>
        <w:t xml:space="preserve">Eqs. (S8)–(S12) yield 24 frequency and wavelet features (8 amplitudes, 4 band shares, 7 spectral-shape features and 5 wavelet energy fractions). The dominant frequency takes a single value in the whole dataset and the roll-off frequency takes two values and is constant in the training cells of fold 0; their rank correlations are undefined in the affected folds and they are skipped by the finiteness condition of Section 2.3.3, which is why the feature-count ladder ends at 144 rather than 146.</w:t>
      </w:r>
    </w:p>
    <w:p>
      <w:pPr>
        <w:pStyle w:val="BodyText"/>
      </w:pPr>
      <w:r>
        <w:rPr>
          <w:b/>
          <w:bCs/>
        </w:rPr>
        <w:t xml:space="preserve">Nonlinear features.</w:t>
      </w:r>
      <w:r>
        <w:t xml:space="preserve"> </w:t>
      </w:r>
      <w:r>
        <w:t xml:space="preserve">Lagged autocorrelation (</w:t>
      </w:r>
      <m:oMath>
        <m:r>
          <m:rPr>
            <m:sty m:val="p"/>
          </m:rPr>
          <m:t>ℓ</m:t>
        </m:r>
        <m:r>
          <m:rPr>
            <m:sty m:val="p"/>
          </m:rPr>
          <m:t>∈</m:t>
        </m:r>
        <m:r>
          <m:rPr>
            <m:sty m:val="p"/>
          </m:rPr>
          <m:t>{</m:t>
        </m:r>
        <m:r>
          <m:t>1</m:t>
        </m:r>
        <m:r>
          <m:rPr>
            <m:sty m:val="p"/>
          </m:rPr>
          <m:t>,</m:t>
        </m:r>
        <m:r>
          <m:t>5</m:t>
        </m:r>
        <m:r>
          <m:rPr>
            <m:sty m:val="p"/>
          </m:rPr>
          <m:t>,</m:t>
        </m:r>
        <m:r>
          <m:t>10</m:t>
        </m:r>
        <m:r>
          <m:rPr>
            <m:sty m:val="p"/>
          </m:rPr>
          <m:t>}</m:t>
        </m:r>
      </m:oMath>
      <w:r>
        <w:t xml:space="preserve">) and the three Hjorth parameters are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4"/>
        </w:rPr>
        <w:tab/>
        <w:t>(S13)</w:t>
      </w:r>
    </w:p>
    <w:p>
      <w:pPr>
        <w:pStyle w:val="BodyText"/>
      </w:pPr>
      <w:r>
        <w:t xml:space="preserve">Approximate and sample entropy use embedding dimension</w:t>
      </w:r>
      <w:r>
        <w:t xml:space="preserve"> </w:t>
      </w:r>
      <m:oMath>
        <m:r>
          <m:t>m</m:t>
        </m:r>
        <m:r>
          <m:rPr>
            <m:sty m:val="p"/>
          </m:rPr>
          <m:t>=</m:t>
        </m:r>
        <m:r>
          <m:t>2</m:t>
        </m:r>
      </m:oMath>
      <w:r>
        <w:t xml:space="preserve"> </w:t>
      </w:r>
      <w:r>
        <w:t xml:space="preserve">(and</w:t>
      </w:r>
      <w:r>
        <w:t xml:space="preserve"> </w:t>
      </w:r>
      <m:oMath>
        <m:r>
          <m:t>m</m:t>
        </m:r>
        <m:r>
          <m:rPr>
            <m:sty m:val="p"/>
          </m:rPr>
          <m:t>+</m:t>
        </m:r>
        <m:r>
          <m:t>1</m:t>
        </m:r>
        <m:r>
          <m:rPr>
            <m:sty m:val="p"/>
          </m:rPr>
          <m:t>=</m:t>
        </m:r>
        <m:r>
          <m:t>3</m:t>
        </m:r>
      </m:oMath>
      <w:r>
        <w:t xml:space="preserve">), tolerance</w:t>
      </w:r>
      <w:r>
        <w:t xml:space="preserve"> </w:t>
      </w:r>
      <m:oMath>
        <m:r>
          <m:t>r</m:t>
        </m:r>
        <m:r>
          <m:rPr>
            <m:sty m:val="p"/>
          </m:rPr>
          <m:t>=</m:t>
        </m:r>
        <m:r>
          <m:t>0.2</m:t>
        </m:r>
        <m:r>
          <m:t>σ</m:t>
        </m:r>
        <m:d>
          <m:dPr>
            <m:begChr m:val="("/>
            <m:sepChr m:val=""/>
            <m:endChr m:val=")"/>
            <m:grow/>
          </m:dPr>
          <m:e>
            <m:r>
              <m:t>V</m:t>
            </m:r>
          </m:e>
        </m:d>
      </m:oMath>
      <w:r>
        <w:t xml:space="preserve"> </w:t>
      </w:r>
      <w:r>
        <w:t xml:space="preserve">and the Chebyshev distance; approximate entropy counts self-matches, whereas sample entropy counts only pairs</w:t>
      </w:r>
      <w:r>
        <w:t xml:space="preserve"> </w:t>
      </w:r>
      <m:oMath>
        <m:r>
          <m:t>i</m:t>
        </m:r>
        <m:r>
          <m:rPr>
            <m:sty m:val="p"/>
          </m:rPr>
          <m:t>&lt;</m:t>
        </m:r>
        <m:r>
          <m:t>j</m:t>
        </m:r>
      </m:oMath>
      <w:r>
        <w:t xml:space="preserv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4"/>
        </w:rPr>
        <w:tab/>
        <w:t>(S14)</w:t>
      </w:r>
    </w:p>
    <w:p>
      <w:pPr>
        <w:pStyle w:val="BodyText"/>
      </w:pPr>
      <w:r>
        <w:t xml:space="preserve">Permutation entropy uses order 3 and delay 1, and the Hurst exponent is the slope of a variogram regression over lags</w:t>
      </w:r>
      <w:r>
        <w:t xml:space="preserve"> </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4"/>
        </w:rPr>
        <w:tab/>
        <w:t>(S15)</w:t>
      </w:r>
    </w:p>
    <w:p>
      <w:pPr>
        <w:pStyle w:val="BodyText"/>
      </w:pPr>
      <w:r>
        <w:rPr>
          <w:b/>
          <w:bCs/>
        </w:rPr>
        <w:t xml:space="preserve">Transient-boundary features.</w:t>
      </w:r>
      <w:r>
        <w:t xml:space="preserve"> </w:t>
      </w:r>
      <w:r>
        <w:t xml:space="preserve">Fifteen voltage differences between specified samples, including the steps at current changes (</w:t>
      </w:r>
      <m:oMath>
        <m:sSub>
          <m:e>
            <m:r>
              <m:t>V</m:t>
            </m:r>
          </m:e>
          <m:sub>
            <m:r>
              <m:t>1</m:t>
            </m:r>
          </m:sub>
        </m:sSub>
        <m:r>
          <m:rPr>
            <m:sty m:val="p"/>
          </m:rPr>
          <m:t>−</m:t>
        </m:r>
        <m:sSub>
          <m:e>
            <m:r>
              <m:t>V</m:t>
            </m:r>
          </m:e>
          <m:sub>
            <m:r>
              <m:t>0</m:t>
            </m:r>
          </m:sub>
        </m:sSub>
      </m:oMath>
      <w:r>
        <w:t xml:space="preserve">,</w:t>
      </w:r>
      <w:r>
        <w:t xml:space="preserve"> </w:t>
      </w:r>
      <m:oMath>
        <m:sSub>
          <m:e>
            <m:r>
              <m:t>V</m:t>
            </m:r>
          </m:e>
          <m:sub>
            <m:r>
              <m:t>31</m:t>
            </m:r>
          </m:sub>
        </m:sSub>
        <m:r>
          <m:rPr>
            <m:sty m:val="p"/>
          </m:rPr>
          <m:t>−</m:t>
        </m:r>
        <m:sSub>
          <m:e>
            <m:r>
              <m:t>V</m:t>
            </m:r>
          </m:e>
          <m:sub>
            <m:r>
              <m:t>30</m:t>
            </m:r>
          </m:sub>
        </m:sSub>
      </m:oMath>
      <w:r>
        <w:t xml:space="preserve">,</w:t>
      </w:r>
      <w:r>
        <w:t xml:space="preserve"> </w:t>
      </w:r>
      <m:oMath>
        <m:sSub>
          <m:e>
            <m:r>
              <m:t>V</m:t>
            </m:r>
          </m:e>
          <m:sub>
            <m:r>
              <m:t>41</m:t>
            </m:r>
          </m:sub>
        </m:sSub>
        <m:r>
          <m:rPr>
            <m:sty m:val="p"/>
          </m:rPr>
          <m:t>−</m:t>
        </m:r>
        <m:sSub>
          <m:e>
            <m:r>
              <m:t>V</m:t>
            </m:r>
          </m:e>
          <m:sub>
            <m:r>
              <m:t>40</m:t>
            </m:r>
          </m:sub>
        </m:sSub>
      </m:oMath>
      <w:r>
        <w:t xml:space="preserve">) and the net changes within segments (</w:t>
      </w:r>
      <m:oMath>
        <m:sSub>
          <m:e>
            <m:r>
              <m:t>V</m:t>
            </m:r>
          </m:e>
          <m:sub>
            <m:r>
              <m:t>30</m:t>
            </m:r>
          </m:sub>
        </m:sSub>
        <m:r>
          <m:rPr>
            <m:sty m:val="p"/>
          </m:rPr>
          <m:t>−</m:t>
        </m:r>
        <m:sSub>
          <m:e>
            <m:r>
              <m:t>V</m:t>
            </m:r>
          </m:e>
          <m:sub>
            <m:r>
              <m:t>1</m:t>
            </m:r>
          </m:sub>
        </m:sSub>
      </m:oMath>
      <w:r>
        <w:t xml:space="preserve">,</w:t>
      </w:r>
      <w:r>
        <w:t xml:space="preserve"> </w:t>
      </w:r>
      <m:oMath>
        <m:sSub>
          <m:e>
            <m:r>
              <m:t>V</m:t>
            </m:r>
          </m:e>
          <m:sub>
            <m:r>
              <m:t>40</m:t>
            </m:r>
          </m:sub>
        </m:sSub>
        <m:r>
          <m:rPr>
            <m:sty m:val="p"/>
          </m:rPr>
          <m:t>−</m:t>
        </m:r>
        <m:sSub>
          <m:e>
            <m:r>
              <m:t>V</m:t>
            </m:r>
          </m:e>
          <m:sub>
            <m:r>
              <m:t>31</m:t>
            </m:r>
          </m:sub>
        </m:sSub>
      </m:oMath>
      <w:r>
        <w:t xml:space="preserve">,</w:t>
      </w:r>
      <w:r>
        <w:t xml:space="preserve"> </w:t>
      </w:r>
      <m:oMath>
        <m:sSub>
          <m:e>
            <m:r>
              <m:t>V</m:t>
            </m:r>
          </m:e>
          <m:sub>
            <m:r>
              <m:t>100</m:t>
            </m:r>
          </m:sub>
        </m:sSub>
        <m:r>
          <m:rPr>
            <m:sty m:val="p"/>
          </m:rPr>
          <m:t>−</m:t>
        </m:r>
        <m:sSub>
          <m:e>
            <m:r>
              <m:t>V</m:t>
            </m:r>
          </m:e>
          <m:sub>
            <m:r>
              <m:t>41</m:t>
            </m:r>
          </m:sub>
        </m:sSub>
      </m:oMath>
      <w:r>
        <w:t xml:space="preserve">), describe the transitions between segments. Three response times are defined on the rest segment</w:t>
      </w:r>
      <w:r>
        <w:t xml:space="preserve"> </w:t>
      </w:r>
      <m:oMath>
        <m:sSup>
          <m:e>
            <m:r>
              <m:t>S</m:t>
            </m:r>
          </m:e>
          <m:sup>
            <m:d>
              <m:dPr>
                <m:begChr m:val="("/>
                <m:sepChr m:val=""/>
                <m:endChr m:val=")"/>
                <m:grow/>
              </m:dPr>
              <m:e>
                <m:r>
                  <m:t>3</m:t>
                </m:r>
              </m:e>
            </m:d>
          </m:sup>
        </m:sSup>
      </m:oMath>
      <w:r>
        <w:t xml:space="preserve">, with linear interpolation between samples and</w:t>
      </w:r>
      <w:r>
        <w:t xml:space="preserve"> </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155"/>
          <w:tab w:val="right" w:pos="8311"/>
        </w:tabs>
      </w:pPr>
      <w:r>
        <w:rPr>
          <w:rFonts w:ascii="Times New Roman" w:hAnsi="Times New Roman" w:cs="Times New Roman"/>
          <w:sz w:val="24"/>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4"/>
        </w:rPr>
        <w:tab/>
        <w:t>(S16)</w:t>
      </w:r>
    </w:p>
    <w:bookmarkEnd w:id="20"/>
    <w:bookmarkStart w:id="21" w:name="X7199e2b8c50169790c0fd3125363eba199072af"/>
    <w:p>
      <w:pPr>
        <w:pStyle w:val="Heading1"/>
      </w:pPr>
      <w:r>
        <w:t xml:space="preserve">Supplementary Note S2. PatchTST encoder equations</w:t>
      </w:r>
    </w:p>
    <w:p>
      <w:pPr>
        <w:pStyle w:val="FirstParagraph"/>
      </w:pPr>
      <w:r>
        <w:t xml:space="preserve">Each patch</w:t>
      </w:r>
      <w:r>
        <w:t xml:space="preserve"> </w:t>
      </w:r>
      <m:oMath>
        <m:sSub>
          <m:e>
            <m:r>
              <m:rPr>
                <m:sty m:val="b"/>
              </m:rPr>
              <m:t>p</m:t>
            </m:r>
          </m:e>
          <m:sub>
            <m:r>
              <m:t>m</m:t>
            </m:r>
          </m:sub>
        </m:sSub>
      </m:oMath>
      <w:r>
        <w:t xml:space="preserve"> </w:t>
      </w:r>
      <w:r>
        <w:t xml:space="preserve">of Eq. (12) is embedded by a shared linear map and a learnable positional embedding</w:t>
      </w:r>
      <w:r>
        <w:t xml:space="preserve"> </w:t>
      </w:r>
      <m:oMath>
        <m:sSub>
          <m:e>
            <m:r>
              <m:rPr>
                <m:sty m:val="b"/>
              </m:rPr>
              <m:t>e</m:t>
            </m:r>
          </m:e>
          <m:sub>
            <m:r>
              <m:t>m</m:t>
            </m:r>
          </m:sub>
        </m:sSub>
      </m:oMath>
      <w:r>
        <w:t xml:space="preserve">, initialised from</w:t>
      </w:r>
      <w:r>
        <w:t xml:space="preserve"> </w:t>
      </w:r>
      <m:oMath>
        <m:r>
          <m:rPr>
            <m:scr m:val="script"/>
            <m:sty m:val="p"/>
          </m:rPr>
          <m:t>N</m:t>
        </m:r>
        <m:d>
          <m:dPr>
            <m:begChr m:val="("/>
            <m:sepChr m:val=""/>
            <m:endChr m:val=")"/>
            <m:grow/>
          </m:dPr>
          <m:e>
            <m:r>
              <m:t>0</m:t>
            </m:r>
            <m:r>
              <m:rPr>
                <m:sty m:val="p"/>
              </m:rPr>
              <m:t>,</m:t>
            </m:r>
            <m:sSup>
              <m:e>
                <m:r>
                  <m:t>0.02</m:t>
                </m:r>
              </m:e>
              <m:sup>
                <m:r>
                  <m:t>2</m:t>
                </m:r>
              </m:sup>
            </m:sSup>
          </m:e>
        </m:d>
      </m:oMath>
      <w:r>
        <w:t xml:space="preserve"> </w:t>
      </w:r>
      <w:r>
        <w:t xml:space="preserve">and trained with the network:</w:t>
      </w:r>
    </w:p>
    <w:p>
      <w:pPr>
        <w:pStyle w:val="Equation"/>
        <w:tabs>
          <w:tab w:val="center" w:pos="4155"/>
          <w:tab w:val="right" w:pos="8311"/>
        </w:tabs>
      </w:pPr>
      <w:r>
        <w:rPr>
          <w:rFonts w:ascii="Times New Roman" w:hAnsi="Times New Roman" w:cs="Times New Roman"/>
          <w:sz w:val="24"/>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4"/>
        </w:rPr>
        <w:tab/>
        <w:t>(S17)</w:t>
      </w:r>
    </w:p>
    <w:p>
      <w:pPr>
        <w:pStyle w:val="BodyText"/>
      </w:pPr>
      <w:r>
        <w:t xml:space="preserve">The</w:t>
      </w:r>
      <w:r>
        <w:t xml:space="preserve"> </w:t>
      </w:r>
      <m:oMath>
        <m:r>
          <m:t>M</m:t>
        </m:r>
      </m:oMath>
      <w:r>
        <w:t xml:space="preserve"> </w:t>
      </w:r>
      <w:r>
        <w:t xml:space="preserve">tokens enter one Transformer encoder layer whose multi-head self-attention (</w:t>
      </w:r>
      <m:oMath>
        <m:r>
          <m:t>h</m:t>
        </m:r>
        <m:r>
          <m:rPr>
            <m:sty m:val="p"/>
          </m:rPr>
          <m:t>=</m:t>
        </m:r>
        <m:r>
          <m:t>4</m:t>
        </m:r>
      </m:oMath>
      <w:r>
        <w:t xml:space="preserve"> </w:t>
      </w:r>
      <w:r>
        <w:t xml:space="preserve">heads,</w:t>
      </w:r>
      <w:r>
        <w:t xml:space="preserve"> </w:t>
      </w:r>
      <m:oMath>
        <m:sSub>
          <m:e>
            <m:r>
              <m:t>d</m:t>
            </m:r>
          </m:e>
          <m:sub>
            <m:r>
              <m:t>k</m:t>
            </m:r>
          </m:sub>
        </m:sSub>
        <m:r>
          <m:rPr>
            <m:sty m:val="p"/>
          </m:rPr>
          <m:t>=</m:t>
        </m:r>
        <m:r>
          <m:t>D</m:t>
        </m:r>
        <m:r>
          <m:rPr>
            <m:sty m:val="p"/>
          </m:rPr>
          <m:t>/</m:t>
        </m:r>
        <m:r>
          <m:t>h</m:t>
        </m:r>
        <m:r>
          <m:rPr>
            <m:sty m:val="p"/>
          </m:rPr>
          <m:t>=</m:t>
        </m:r>
        <m:r>
          <m:t>8</m:t>
        </m:r>
      </m:oMath>
      <w:r>
        <w:t xml:space="preserve">) acts between patches:</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4"/>
        </w:rPr>
        <w:tab/>
        <w:t>(S18)</w:t>
      </w:r>
    </w:p>
    <w:p>
      <w:pPr>
        <w:pStyle w:val="BodyText"/>
      </w:pPr>
      <w:r>
        <w:t xml:space="preserve">The layer uses post-normalisation residual connections and a GELU feed-forward sublayer of width</w:t>
      </w:r>
      <w:r>
        <w:t xml:space="preserve"> </w:t>
      </w:r>
      <m:oMath>
        <m:r>
          <m:t>2</m:t>
        </m:r>
        <m:r>
          <m:t>D</m:t>
        </m:r>
        <m:r>
          <m:rPr>
            <m:sty m:val="p"/>
          </m:rPr>
          <m:t>=</m:t>
        </m:r>
        <m:r>
          <m:t>64</m:t>
        </m:r>
      </m:oMath>
      <w:r>
        <w:t xml:space="preserve"> </w:t>
      </w:r>
      <w:r>
        <w:t xml:space="preserve">with dropout 0.2:</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4"/>
        </w:rPr>
        <w:tab/>
        <w:t>(S19)</w:t>
      </w:r>
    </w:p>
    <w:p>
      <w:pPr>
        <w:pStyle w:val="BodyText"/>
      </w:pPr>
      <w:r>
        <w:t xml:space="preserve">Layer normalisation, mean pooling over tokens and a linear projection give the 32-dimensional waveform embedding:</w:t>
      </w:r>
    </w:p>
    <w:p>
      <w:pPr>
        <w:pStyle w:val="Equation"/>
        <w:tabs>
          <w:tab w:val="center" w:pos="4155"/>
          <w:tab w:val="right" w:pos="8311"/>
        </w:tabs>
      </w:pPr>
      <w:r>
        <w:rPr>
          <w:rFonts w:ascii="Times New Roman" w:hAnsi="Times New Roman" w:cs="Times New Roman"/>
          <w:sz w:val="24"/>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4"/>
        </w:rPr>
        <w:tab/>
        <w:t>(S20)</w:t>
      </w:r>
    </w:p>
    <w:bookmarkEnd w:id="21"/>
    <w:bookmarkStart w:id="22" w:name="X6eca19f0f442dfed5cd6bc971d697a48bc1a39b"/>
    <w:p>
      <w:pPr>
        <w:pStyle w:val="Heading1"/>
      </w:pPr>
      <w:r>
        <w:t xml:space="preserve">Supplementary Note S3. Statistical test families</w:t>
      </w:r>
    </w:p>
    <w:p>
      <w:pPr>
        <w:pStyle w:val="FirstParagraph"/>
      </w:pPr>
      <w:r>
        <w:t xml:space="preserve">Holm correction was applied within the following prespecified families at α = 0.05: (1) the 14 encoder pairings versus MLP + CNN; (2) the five supplementary waveform branches versus A2; (3) the confirmatory ablations R0 − A1, R0 − A2, R0 − A3 and A3 − A4; (4) the three patch configurations versus R0; (5) the three adaptation ablations versus R0; (6) the six feature-count levels versus</w:t>
      </w:r>
      <w:r>
        <w:t xml:space="preserve"> </w:t>
      </w:r>
      <w:r>
        <w:rPr>
          <w:i/>
          <w:iCs/>
        </w:rPr>
        <w:t xml:space="preserve">K</w:t>
      </w:r>
      <w:r>
        <w:t xml:space="preserve"> </w:t>
      </w:r>
      <w:r>
        <w:t xml:space="preserve">= 50, separately for RMSE and MAE; and (7) the reproduced reference model versus A2 and versus R0 (an extended family whose adjusted</w:t>
      </w:r>
      <w:r>
        <w:t xml:space="preserve"> </w:t>
      </w:r>
      <w:r>
        <w:rPr>
          <w:i/>
          <w:iCs/>
        </w:rPr>
        <w:t xml:space="preserve">p</w:t>
      </w:r>
      <w:r>
        <w:t xml:space="preserve"> </w:t>
      </w:r>
      <w:r>
        <w:t xml:space="preserve">values are conservative). A1 − A2 was a single prespecified comparison without correction. Marginal effects, difference-in-differences, stratified increments, residual complementarity and low-SOH bias are descriptive. Confidence intervals are conditional on the fixed split and the trained models and do not cover the variability of new data collection or repartitioning.</w:t>
      </w:r>
    </w:p>
    <w:bookmarkEnd w:id="22"/>
    <w:bookmarkStart w:id="23" w:name="X09f4919479a5a01c47a41970df28dbbc7f913d7"/>
    <w:p>
      <w:pPr>
        <w:pStyle w:val="Heading1"/>
      </w:pPr>
      <w:r>
        <w:t xml:space="preserve">Supplementary Note S4. Procedures of the generalisation, robustness and deployment experiments</w:t>
      </w:r>
    </w:p>
    <w:p>
      <w:pPr>
        <w:pStyle w:val="FirstParagraph"/>
      </w:pPr>
      <w:r>
        <w:t xml:space="preserve">All experiments of Section 4.6 use the original implementation: the training loops, feature extraction, cleaning, Top-</w:t>
      </w:r>
      <w:r>
        <w:rPr>
          <w:i/>
          <w:iCs/>
        </w:rPr>
        <w:t xml:space="preserve">K</w:t>
      </w:r>
      <w:r>
        <w:t xml:space="preserve"> </w:t>
      </w:r>
      <w:r>
        <w:t xml:space="preserve">selection, fold split (seed 42) and initialisation seeds (0, 1, 2) of the main results, with Top-</w:t>
      </w:r>
      <w:r>
        <w:rPr>
          <w:i/>
          <w:iCs/>
        </w:rPr>
        <w:t xml:space="preserve">K</w:t>
      </w:r>
      <w:r>
        <w:t xml:space="preserve"> </w:t>
      </w:r>
      <w:r>
        <w:t xml:space="preserve">selection, imputation and standardisation fitted on the training cells of each split. Table S6 lists all results.</w:t>
      </w:r>
    </w:p>
    <w:p>
      <w:pPr>
        <w:pStyle w:val="BodyText"/>
      </w:pPr>
      <w:r>
        <w:rPr>
          <w:i/>
          <w:iCs/>
        </w:rPr>
        <w:t xml:space="preserve">Leave-one-group-out.</w:t>
      </w:r>
      <w:r>
        <w:t xml:space="preserve"> </w:t>
      </w:r>
      <w:r>
        <w:t xml:space="preserve">Each of the 11 cycling groups is held out in turn as the test set (six cells; four for group 11). One randomly drawn cell from each of the other ten groups (random seed 42 + group index) forms the validation set, and the remaining 48 cells (50 when group 11 is held out) form the training set. The bootstrap is stratified by held-out group.</w:t>
      </w:r>
    </w:p>
    <w:p>
      <w:pPr>
        <w:pStyle w:val="BodyText"/>
      </w:pPr>
      <w:r>
        <w:rPr>
          <w:i/>
          <w:iCs/>
        </w:rPr>
        <w:t xml:space="preserve">Cycle-count errors.</w:t>
      </w:r>
      <w:r>
        <w:t xml:space="preserve"> </w:t>
      </w:r>
      <w:r>
        <w:t xml:space="preserve">The cycle count of the test records is multiplied by 1.1 or 0.9, and the models trained on correct counts are evaluated unchanged.</w:t>
      </w:r>
    </w:p>
    <w:p>
      <w:pPr>
        <w:pStyle w:val="BodyText"/>
      </w:pPr>
      <w:r>
        <w:rPr>
          <w:i/>
          <w:iCs/>
        </w:rPr>
        <w:t xml:space="preserve">Sensor noise.</w:t>
      </w:r>
      <w:r>
        <w:t xml:space="preserve"> </w:t>
      </w:r>
      <w:r>
        <w:t xml:space="preserve">Gaussian noise with σ</w:t>
      </w:r>
      <w:r>
        <w:rPr>
          <w:vertAlign w:val="subscript"/>
        </w:rPr>
        <w:t xml:space="preserve">noise</w:t>
      </w:r>
      <w:r>
        <w:t xml:space="preserve"> </w:t>
      </w:r>
      <w:r>
        <w:t xml:space="preserve">= 1 or 2 mV is added to the raw 101-point voltage of all 17,130 records, with one fixed noise realisation per level shared by R0 and A2. The 150 features are re-extracted from the noisy voltages, the DCIR context column is recomputed from the noisy pulse with the publisher’s formula, and Top-</w:t>
      </w:r>
      <w:r>
        <w:rPr>
          <w:i/>
          <w:iCs/>
        </w:rPr>
        <w:t xml:space="preserve">K</w:t>
      </w:r>
      <w:r>
        <w:t xml:space="preserve"> </w:t>
      </w:r>
      <w:r>
        <w:t xml:space="preserve">selection is refitted on the noisy training data. Cleaning is not repeated, so that the 16,938 records remain paired with the clean experiment (σ</w:t>
      </w:r>
      <w:r>
        <w:rPr>
          <w:vertAlign w:val="subscript"/>
        </w:rPr>
        <w:t xml:space="preserve">noise</w:t>
      </w:r>
      <w:r>
        <w:t xml:space="preserve"> </w:t>
      </w:r>
      <w:r>
        <w:t xml:space="preserve">≤ 2 mV is far below the cleaning thresholds). When noise of σ</w:t>
      </w:r>
      <w:r>
        <w:rPr>
          <w:vertAlign w:val="subscript"/>
        </w:rPr>
        <w:t xml:space="preserve">noise</w:t>
      </w:r>
      <w:r>
        <w:t xml:space="preserve"> </w:t>
      </w:r>
      <w:r>
        <w:t xml:space="preserve">= 0.5 mV is added only to the test voltages of models trained on clean data, both models deteriorate strongly (R0 3.958 pp, A2 4.339 pp), because difference- and spectrum-based features are sensitive to noise absent from training; models should therefore be trained on data from the target sensor, or with matching noise augmentation as above.</w:t>
      </w:r>
    </w:p>
    <w:p>
      <w:pPr>
        <w:pStyle w:val="BodyText"/>
      </w:pPr>
      <w:r>
        <w:rPr>
          <w:i/>
          <w:iCs/>
        </w:rPr>
        <w:t xml:space="preserve">Number of pulses.</w:t>
      </w:r>
      <w:r>
        <w:t xml:space="preserve"> </w:t>
      </w:r>
      <w:r>
        <w:t xml:space="preserve">The models trained on all six pulses are kept unchanged. For each of the 63 non-empty subsets of the six pulse conditions, the predictions and the measured SOH are averaged over the pulses of the subset within each cell–RPT, and the cell-macro RMSE of Eq. (14) is computed; every subset contains at least one pulse in every cell–RPT. The three discharge pulses give R0 1.415 pp and A2 1.531 pp.</w:t>
      </w:r>
    </w:p>
    <w:p>
      <w:pPr>
        <w:pStyle w:val="BodyText"/>
      </w:pPr>
      <w:r>
        <w:rPr>
          <w:i/>
          <w:iCs/>
        </w:rPr>
        <w:t xml:space="preserve">Attribution and cost.</w:t>
      </w:r>
      <w:r>
        <w:t xml:space="preserve"> </w:t>
      </w:r>
      <w:r>
        <w:t xml:space="preserve">Integrated gradients use an all-zero standardised waveform as the baseline and 32 midpoint integration steps over the waveform input of the 15 R0 models, with the handcrafted features and the cycle count held at their measured values; attributions are converted to SOH percentage points. Parameters and FLOPs (matrix multiplications, convolutions and attention, two FLOPs per multiply–add) are counted with PyTorch; latency is the median of 1,000 single-thread, batch-one forward passes on an AMD Ryzen 9 8945HX CPU after 50 warm-up passes, and feature time is that of the original extraction script on one thread.</w:t>
      </w:r>
    </w:p>
    <w:p>
      <w:pPr>
        <w:pStyle w:val="BodyText"/>
      </w:pPr>
      <w:r>
        <w:rPr>
          <w:i/>
          <w:iCs/>
        </w:rPr>
        <w:t xml:space="preserve">NMC/graphite dataset.</w:t>
      </w:r>
      <w:r>
        <w:t xml:space="preserve"> </w:t>
      </w:r>
      <w:r>
        <w:t xml:space="preserve">The UConn-ILCC NMC dataset [31] records the same 100-s pulses at nine nominal SOCs; the three SOCs used for LFP (20%, 50% and 90%) were retained, giving six conditions per RPT, 8,016 records in 1,336 cell–RPT groups of 44 cells and SOH from 41.2% to 100%. Because NMC cells have a higher resistance, the voltage-step and range limits of Eq. (2) were relaxed to 0.3 and 0.8 V; no record was removed. Training follows the LFP protocol (five folds × three seeds,</w:t>
      </w:r>
      <w:r>
        <w:t xml:space="preserve"> </w:t>
      </w:r>
      <w:r>
        <w:rPr>
          <w:i/>
          <w:iCs/>
        </w:rPr>
        <w:t xml:space="preserve">K</w:t>
      </w:r>
      <w:r>
        <w:t xml:space="preserve"> </w:t>
      </w:r>
      <w:r>
        <w:t xml:space="preserve">= 50,</w:t>
      </w:r>
      <w:r>
        <w:t xml:space="preserve"> </w:t>
      </w:r>
      <w:r>
        <w:rPr>
          <w:i/>
          <w:iCs/>
        </w:rPr>
        <w:t xml:space="preserve">λ</w:t>
      </w:r>
      <w:r>
        <w:t xml:space="preserve"> </w:t>
      </w:r>
      <w:r>
        <w:t xml:space="preserve">= 0.1). The DCIR correlates strongly with SOH (</w:t>
      </w:r>
      <w:r>
        <w:rPr>
          <w:i/>
          <w:iCs/>
        </w:rPr>
        <w:t xml:space="preserve">ρ</w:t>
      </w:r>
      <w:r>
        <w:t xml:space="preserve"> </w:t>
      </w:r>
      <w:r>
        <w:t xml:space="preserve">≈ −0.82) but entered none of the 50 selected features because it is redundant with selected waveform features, so it was added to the A1 input separately, as the definition of A1 requires; R0 and A2 were run unchanged. In every fold the Top-50 set contains six absolute-level features (the pre-pulse, final, minimum and mean voltages of the pulse and the minimum and maximum of the second segment), ranked 31st to 41st. The 3 × 5 encoder matrix (Table S7) uses the same data and splits, with the 15 runs of R0 shared with the main NMC result.</w:t>
      </w:r>
    </w:p>
    <w:bookmarkEnd w:id="23"/>
    <w:bookmarkStart w:id="24" w:name="supplementary-algorithm-s1"/>
    <w:p>
      <w:pPr>
        <w:pStyle w:val="Heading1"/>
        <w:pageBreakBefore/>
      </w:pPr>
      <w:r>
        <w:t xml:space="preserve">Supplementary Algorithm S1</w:t>
      </w:r>
    </w:p>
    <w:p>
      <w:pPr>
        <w:pStyle w:val="Algorithm"/>
      </w:pPr>
      <w:r>
        <w:rPr>
          <w:b/>
          <w:bCs/>
        </w:rPr>
        <w:t xml:space="preserve">Algorithm S1.</w:t>
      </w:r>
      <w:r>
        <w:t xml:space="preserve"> </w:t>
      </w:r>
      <w:r>
        <w:t xml:space="preserve">Training and inference of the dual-branch SOH estimation model (handcrafted primary branch + supplementary pulse-waveform branch).</w:t>
      </w:r>
    </w:p>
    <w:p>
      <w:pPr>
        <w:pStyle w:val="Algorithm"/>
      </w:pPr>
      <w:r>
        <w:rPr>
          <w:b/>
          <w:bCs/>
        </w:rPr>
        <w:t xml:space="preserve">Input:</w:t>
      </w:r>
      <w:r>
        <w:t xml:space="preserve"> </w:t>
      </w:r>
      <w:r>
        <w:t xml:space="preserve">cleaned record set</w:t>
      </w:r>
      <w:r>
        <w:t xml:space="preserve"> </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 with 16,938 records of 64 cells;</w:t>
      </w:r>
      <w:r>
        <w:t xml:space="preserve"> </w:t>
      </w:r>
      <w:r>
        <w:rPr>
          <w:i/>
          <w:iCs/>
        </w:rPr>
        <w:t xml:space="preserve">F</w:t>
      </w:r>
      <w:r>
        <w:t xml:space="preserve"> </w:t>
      </w:r>
      <w:r>
        <w:t xml:space="preserve">= 5 folds, split seed 42, initialisation seeds {0, 1, 2};</w:t>
      </w:r>
      <w:r>
        <w:t xml:space="preserve"> </w:t>
      </w:r>
      <w:r>
        <w:rPr>
          <w:i/>
          <w:iCs/>
        </w:rPr>
        <w:t xml:space="preserve">K</w:t>
      </w:r>
      <w:r>
        <w:t xml:space="preserve"> </w:t>
      </w:r>
      <w:r>
        <w:t xml:space="preserve">= 50, redundancy threshold 0.98,</w:t>
      </w:r>
      <w:r>
        <w:t xml:space="preserve"> </w:t>
      </w:r>
      <w:r>
        <w:rPr>
          <w:i/>
          <w:iCs/>
        </w:rPr>
        <w:t xml:space="preserve">λ</w:t>
      </w:r>
      <w:r>
        <w:t xml:space="preserve"> </w:t>
      </w:r>
      <w:r>
        <w:t xml:space="preserve">= 0.1.</w:t>
      </w:r>
    </w:p>
    <w:p>
      <w:pPr>
        <w:pStyle w:val="Algorithm"/>
      </w:pPr>
      <w:r>
        <w:rPr>
          <w:b/>
          <w:bCs/>
        </w:rPr>
        <w:t xml:space="preserve">Output:</w:t>
      </w:r>
      <w:r>
        <w:t xml:space="preserve"> </w:t>
      </w:r>
      <w:r>
        <w:t xml:space="preserve">record-level test predictions and cell-macro errors for every fold and seed.</w:t>
      </w:r>
    </w:p>
    <w:p>
      <w:pPr>
        <w:pStyle w:val="Algorithm"/>
      </w:pPr>
      <w:r>
        <w:rPr>
          <w:b/>
          <w:bCs/>
        </w:rPr>
        <w:t xml:space="preserve">Offline training</w:t>
      </w:r>
    </w:p>
    <w:p>
      <w:pPr>
        <w:pStyle w:val="Algorithm"/>
      </w:pPr>
      <w:r>
        <w:t xml:space="preserve">1: Remove cumulative cycle count, RPT index, coulomb-counted SOC and SOC deviation from the 150 candidates → 146 selectable features (Section 2.3.2)</w:t>
      </w:r>
    </w:p>
    <w:p>
      <w:pPr>
        <w:pStyle w:val="Algorithm"/>
      </w:pPr>
      <w:r>
        <w:t xml:space="preserve">2: Permute the 64 cells with seed 42 and divide them into five disjoint test folds (13/13/13/13/12 cells)</w:t>
      </w:r>
    </w:p>
    <w:p>
      <w:pPr>
        <w:pStyle w:val="Algorithm"/>
      </w:pPr>
      <w:r>
        <w:t xml:space="preserve">3: In each fold, draw validation cells from the non-test cells with the fold index as offset and stride 5 (train/validation/test = 40/11/13, 41/10/13, 41/10/13, 41/10/13, 42/10/12)</w:t>
      </w:r>
    </w:p>
    <w:p>
      <w:pPr>
        <w:pStyle w:val="Algorithm"/>
      </w:pPr>
      <w:r>
        <w:t xml:space="preserve">4:</w:t>
      </w:r>
      <w:r>
        <w:t xml:space="preserve"> </w:t>
      </w:r>
      <w:r>
        <w:rPr>
          <w:b/>
          <w:bCs/>
        </w:rPr>
        <w:t xml:space="preserve">for</w:t>
      </w:r>
      <w:r>
        <w:t xml:space="preserve"> </w:t>
      </w:r>
      <w:r>
        <w:t xml:space="preserve">outer fold</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⠀⠀Split</w:t>
      </w:r>
      <w:r>
        <w:t xml:space="preserve"> </w:t>
      </w:r>
      <w:r>
        <w:rPr>
          <w:i/>
          <w:iCs/>
        </w:rPr>
        <w:t xml:space="preserve">D</w:t>
      </w:r>
      <w:r>
        <w:t xml:space="preserve"> </w:t>
      </w:r>
      <w:r>
        <w:t xml:space="preserve">by cell into</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all RPTs and condition records of a cell stay together</w:t>
      </w:r>
    </w:p>
    <w:p>
      <w:pPr>
        <w:pStyle w:val="Algorithm"/>
      </w:pPr>
      <w:r>
        <w:t xml:space="preserve">6: ⠀⠀Compute Spearman</w:t>
      </w:r>
      <w:r>
        <w:t xml:space="preserve"> </w:t>
      </w:r>
      <w:r>
        <w:rPr>
          <w:i/>
          <w:iCs/>
        </w:rPr>
        <w:t xml:space="preserve">ρ</w:t>
      </w:r>
      <w:r>
        <w:rPr>
          <w:i/>
          <w:iCs/>
          <w:vertAlign w:val="subscript"/>
        </w:rPr>
        <w:t xml:space="preserve">j</w:t>
      </w:r>
      <w:r>
        <w:t xml:space="preserve"> </w:t>
      </w:r>
      <w:r>
        <w:t xml:space="preserve">of the 146 candidates with SOH on</w:t>
      </w:r>
      <w:r>
        <w:t xml:space="preserve"> </w:t>
      </w:r>
      <w:r>
        <w:rPr>
          <w:i/>
          <w:iCs/>
        </w:rPr>
        <w:t xml:space="preserve">D</w:t>
      </w:r>
      <w:r>
        <w:rPr>
          <w:vertAlign w:val="subscript"/>
        </w:rPr>
        <w:t xml:space="preserve">tr</w:t>
      </w:r>
      <w:r>
        <w:t xml:space="preserve"> </w:t>
      </w:r>
      <w:r>
        <w:t xml:space="preserve">only ▷ Eq. (4)</w:t>
      </w:r>
    </w:p>
    <w:p>
      <w:pPr>
        <w:pStyle w:val="Algorithm"/>
      </w:pPr>
      <w:r>
        <w:t xml:space="preserve">7: ⠀⠀Select</w:t>
      </w:r>
      <w:r>
        <w:t xml:space="preserve"> </w:t>
      </w:r>
      <w:r>
        <w:rPr>
          <w:i/>
          <w:iCs/>
        </w:rPr>
        <w:t xml:space="preserve">K</w:t>
      </w:r>
      <w:r>
        <w:t xml:space="preserve"> </w:t>
      </w:r>
      <w:r>
        <w:t xml:space="preserve">features greedily by |</w:t>
      </w:r>
      <w:r>
        <w:rPr>
          <w:i/>
          <w:iCs/>
        </w:rPr>
        <w:t xml:space="preserve">ρ</w:t>
      </w:r>
      <w:r>
        <w:rPr>
          <w:i/>
          <w:iCs/>
          <w:vertAlign w:val="subscript"/>
        </w:rPr>
        <w:t xml:space="preserve">j</w:t>
      </w:r>
      <w:r>
        <w:t xml:space="preserve">|, skipping rank correlation ≥ 0.98 with selected ones; fill to</w:t>
      </w:r>
      <w:r>
        <w:t xml:space="preserve"> </w:t>
      </w:r>
      <w:r>
        <w:rPr>
          <w:i/>
          <w:iCs/>
        </w:rPr>
        <w:t xml:space="preserve">K</w:t>
      </w:r>
      <w:r>
        <w:t xml:space="preserve"> </w:t>
      </w:r>
      <w:r>
        <w:t xml:space="preserve">if needed ▷ Eq. (5)</w:t>
      </w:r>
    </w:p>
    <w:p>
      <w:pPr>
        <w:pStyle w:val="Algorithm"/>
      </w:pPr>
      <w:r>
        <w:t xml:space="preserve">8: ⠀⠀Fit medians, feature means/s.d., per-position waveform means/s.d., cycle-count and label statistics on</w:t>
      </w:r>
      <w:r>
        <w:t xml:space="preserve"> </w:t>
      </w:r>
      <w:r>
        <w:rPr>
          <w:i/>
          <w:iCs/>
        </w:rPr>
        <w:t xml:space="preserve">D</w:t>
      </w:r>
      <w:r>
        <w:rPr>
          <w:vertAlign w:val="subscript"/>
        </w:rPr>
        <w:t xml:space="preserve">tr</w:t>
      </w:r>
      <w:r>
        <w:t xml:space="preserve"> </w:t>
      </w:r>
      <w:r>
        <w:t xml:space="preserve">only</w:t>
      </w:r>
    </w:p>
    <w:p>
      <w:pPr>
        <w:pStyle w:val="Algorithm"/>
      </w:pPr>
      <w:r>
        <w:t xml:space="preserve">9: ⠀⠀Transform</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w:t>
      </w:r>
      <w:r>
        <w:t xml:space="preserve">with these statistics ▷ Eqs. (6)–(10)</w:t>
      </w:r>
    </w:p>
    <w:p>
      <w:pPr>
        <w:pStyle w:val="Algorithm"/>
      </w:pPr>
      <w:r>
        <w:t xml:space="preserve">10: ⠀⠀</w:t>
      </w:r>
      <w:r>
        <w:rPr>
          <w:b/>
          <w:bCs/>
        </w:rPr>
        <w:t xml:space="preserve">for</w:t>
      </w:r>
      <w:r>
        <w:t xml:space="preserve"> </w:t>
      </w:r>
      <w:r>
        <w:t xml:space="preserve">seed</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⠀⠀⠀⠀Initialise</w:t>
      </w:r>
      <w:r>
        <w:t xml:space="preserve"> </w:t>
      </w:r>
      <w:r>
        <w:rPr>
          <w:i/>
          <w:iCs/>
        </w:rPr>
        <w:t xml:space="preserve">E</w:t>
      </w:r>
      <w:r>
        <w:rPr>
          <w:vertAlign w:val="subscript"/>
        </w:rPr>
        <w:t xml:space="preserve">h</w:t>
      </w:r>
      <w:r>
        <w:t xml:space="preserve">,</w:t>
      </w:r>
      <w:r>
        <w:t xml:space="preserve"> </w:t>
      </w:r>
      <w:r>
        <w:rPr>
          <w:i/>
          <w:iCs/>
        </w:rPr>
        <w:t xml:space="preserve">E</w:t>
      </w:r>
      <w:r>
        <w:rPr>
          <w:vertAlign w:val="subscript"/>
        </w:rPr>
        <w:t xml:space="preserve">v</w:t>
      </w:r>
      <w:r>
        <w:t xml:space="preserve"> </w:t>
      </w:r>
      <w:r>
        <w:t xml:space="preserve">and</w:t>
      </w:r>
      <w:r>
        <w:t xml:space="preserve"> </w:t>
      </w:r>
      <w:r>
        <w:rPr>
          <w:i/>
          <w:iCs/>
        </w:rPr>
        <w:t xml:space="preserve">g</w:t>
      </w:r>
      <w:r>
        <w:t xml:space="preserve"> </w:t>
      </w:r>
      <w:r>
        <w:t xml:space="preserve">with seed</w:t>
      </w:r>
      <w:r>
        <w:t xml:space="preserve"> </w:t>
      </w:r>
      <w:r>
        <w:rPr>
          <w:i/>
          <w:iCs/>
        </w:rPr>
        <w:t xml:space="preserve">s</w:t>
      </w:r>
      <w:r>
        <w:t xml:space="preserve">; AdamW (lr 10</w:t>
      </w:r>
      <w:r>
        <w:rPr>
          <w:vertAlign w:val="superscript"/>
        </w:rPr>
        <w:t xml:space="preserve">−3</w:t>
      </w:r>
      <w:r>
        <w:t xml:space="preserve">, weight decay 10</w:t>
      </w:r>
      <w:r>
        <w:rPr>
          <w:vertAlign w:val="superscript"/>
        </w:rPr>
        <w:t xml:space="preserve">−4</w:t>
      </w:r>
      <w:r>
        <w:t xml:space="preserve">), batch 256, ReduceLROnPlateau (patience 5, factor 0.5), gradient clipping 5, at most 100 epochs, early-stopping patience 15</w:t>
      </w:r>
    </w:p>
    <w:p>
      <w:pPr>
        <w:pStyle w:val="Algorithm"/>
      </w:pPr>
      <w:r>
        <w:t xml:space="preserve">12: ⠀⠀⠀⠀</w:t>
      </w:r>
      <w:r>
        <w:rPr>
          <w:b/>
          <w:bCs/>
        </w:rPr>
        <w:t xml:space="preserve">for</w:t>
      </w:r>
      <w:r>
        <w:t xml:space="preserve"> </w:t>
      </w:r>
      <w:r>
        <w:t xml:space="preserve">each epoch and mini-batch</w:t>
      </w:r>
      <w:r>
        <w:t xml:space="preserve"> </w:t>
      </w:r>
      <w:r>
        <w:rPr>
          <w:b/>
          <w:bCs/>
        </w:rPr>
        <w:t xml:space="preserve">do</w:t>
      </w:r>
    </w:p>
    <w:p>
      <w:pPr>
        <w:pStyle w:val="Algorithm"/>
      </w:pPr>
      <w:r>
        <w:t xml:space="preserve">13: ⠀⠀⠀⠀⠀⠀Enable gradients on</w:t>
      </w:r>
      <w:r>
        <w:t xml:space="preserve"> </w:t>
      </w:r>
      <w:r>
        <w:rPr>
          <w:i/>
          <w:iCs/>
        </w:rPr>
        <w:t xml:space="preserve">τ</w:t>
      </w:r>
      <w:r>
        <w:t xml:space="preserve">; forward pass gives</w:t>
      </w:r>
      <w:r>
        <w:t xml:space="preserve"> </w:t>
      </w:r>
      <w:r>
        <w:rPr>
          <w:i/>
          <w:iCs/>
        </w:rPr>
        <w:t xml:space="preserve">ŷ</w:t>
      </w:r>
      <w:r>
        <w:t xml:space="preserve">* ▷ Eq. (11)</w:t>
      </w:r>
    </w:p>
    <w:p>
      <w:pPr>
        <w:pStyle w:val="Algorithm"/>
      </w:pPr>
      <w:r>
        <w:t xml:space="preserve">14: ⠀⠀⠀⠀⠀⠀Compute ∂</w:t>
      </w:r>
      <w:r>
        <w:rPr>
          <w:i/>
          <w:iCs/>
        </w:rPr>
        <w:t xml:space="preserve">ŷ</w:t>
      </w:r>
      <w:r>
        <w:t xml:space="preserve">*/∂</w:t>
      </w:r>
      <w:r>
        <w:rPr>
          <w:i/>
          <w:iCs/>
        </w:rPr>
        <w:t xml:space="preserve">τ</w:t>
      </w:r>
      <w:r>
        <w:t xml:space="preserve"> </w:t>
      </w:r>
      <w:r>
        <w:t xml:space="preserve">by automatic differentiation (create_graph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 back-propagate, clip, update ▷ Eq. (13)</w:t>
      </w:r>
    </w:p>
    <w:p>
      <w:pPr>
        <w:pStyle w:val="Algorithm"/>
      </w:pPr>
      <w:r>
        <w:t xml:space="preserve">16: ⠀⠀⠀⠀⠀⠀After each epoch, compute the cell-macro RMSE on</w:t>
      </w:r>
      <w:r>
        <w:t xml:space="preserve"> </w:t>
      </w:r>
      <w:r>
        <w:rPr>
          <w:i/>
          <w:iCs/>
        </w:rPr>
        <w:t xml:space="preserve">D</w:t>
      </w:r>
      <w:r>
        <w:rPr>
          <w:vertAlign w:val="subscript"/>
        </w:rPr>
        <w:t xml:space="preserve">va</w:t>
      </w:r>
      <w:r>
        <w:t xml:space="preserve">; keep the best weights; stop after 15 epochs without improvement</w:t>
      </w:r>
    </w:p>
    <w:p>
      <w:pPr>
        <w:pStyle w:val="Algorithm"/>
      </w:pPr>
      <w:r>
        <w:t xml:space="preserve">17: ⠀⠀⠀⠀Load the best-epoch weights and predict</w:t>
      </w:r>
      <w:r>
        <w:t xml:space="preserve"> </w:t>
      </w:r>
      <w:r>
        <w:rPr>
          <w:i/>
          <w:iCs/>
        </w:rPr>
        <w:t xml:space="preserve">D</w:t>
      </w:r>
      <w:r>
        <w:rPr>
          <w:vertAlign w:val="subscript"/>
        </w:rPr>
        <w:t xml:space="preserve">te</w:t>
      </w:r>
    </w:p>
    <w:p>
      <w:pPr>
        <w:pStyle w:val="Algorithm"/>
      </w:pPr>
      <w:r>
        <w:rPr>
          <w:b/>
          <w:bCs/>
        </w:rPr>
        <w:t xml:space="preserve">Online inference (one pulse record)</w:t>
      </w:r>
    </w:p>
    <w:p>
      <w:pPr>
        <w:pStyle w:val="Algorithm"/>
      </w:pPr>
      <w:r>
        <w:t xml:space="preserve">18: Reference the 101-point voltage to its first sample and standardise with the fold statistics →</w:t>
      </w:r>
      <w:r>
        <w:t xml:space="preserve"> </w:t>
      </w:r>
      <w:r>
        <w:rPr>
          <w:i/>
          <w:iCs/>
        </w:rPr>
        <w:t xml:space="preserve">ṽ</w:t>
      </w:r>
      <w:r>
        <w:t xml:space="preserve"> </w:t>
      </w:r>
      <w:r>
        <w:t xml:space="preserve">▷ Eqs. (6), (7)</w:t>
      </w:r>
    </w:p>
    <w:p>
      <w:pPr>
        <w:pStyle w:val="Algorithm"/>
      </w:pPr>
      <w:r>
        <w:t xml:space="preserve">19: Compute the</w:t>
      </w:r>
      <w:r>
        <w:t xml:space="preserve"> </w:t>
      </w:r>
      <w:r>
        <w:rPr>
          <w:i/>
          <w:iCs/>
        </w:rPr>
        <w:t xml:space="preserve">K</w:t>
      </w:r>
      <w:r>
        <w:t xml:space="preserve"> </w:t>
      </w:r>
      <w:r>
        <w:t xml:space="preserve">selected features, impute and standardise, append standardised</w:t>
      </w:r>
      <w:r>
        <w:t xml:space="preserve"> </w:t>
      </w:r>
      <w:r>
        <w:rPr>
          <w:i/>
          <w:iCs/>
        </w:rPr>
        <w:t xml:space="preserve">τ</w:t>
      </w:r>
      <w:r>
        <w:t xml:space="preserve"> </w:t>
      </w:r>
      <w:r>
        <w:t xml:space="preserve">→</w:t>
      </w:r>
      <w:r>
        <w:t xml:space="preserve"> </w:t>
      </w:r>
      <w:r>
        <w:rPr>
          <w:b/>
          <w:bCs/>
        </w:rPr>
        <w:t xml:space="preserve">h</w:t>
      </w:r>
      <w:r>
        <w:t xml:space="preserve"> </w:t>
      </w:r>
      <w:r>
        <w:t xml:space="preserve">▷ Eqs. (8), (9)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 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Eqs. (11), (10)</w:t>
      </w:r>
    </w:p>
    <w:p>
      <w:pPr>
        <w:pStyle w:val="Algorithm"/>
      </w:pPr>
      <w:r>
        <w:rPr>
          <w:b/>
          <w:bCs/>
        </w:rPr>
        <w:t xml:space="preserve">Metrics and statistics</w:t>
      </w:r>
    </w:p>
    <w:p>
      <w:pPr>
        <w:pStyle w:val="Algorithm"/>
      </w:pPr>
      <w:r>
        <w:t xml:space="preserve">21: Average the six condition predictions of each cell–RPT, compute per-cell RMSE and the cell-macro mean ▷ Eq. (14)</w:t>
      </w:r>
    </w:p>
    <w:p>
      <w:pPr>
        <w:pStyle w:val="Algorithm"/>
      </w:pPr>
      <w:r>
        <w:t xml:space="preserve">22: Paired differences: 5,000 fold-stratified cell bootstrap intervals; 5,000 two-sided paired sign-flip tests; Holm correction within families</w:t>
      </w:r>
    </w:p>
    <w:bookmarkEnd w:id="24"/>
    <w:bookmarkStart w:id="25" w:name="supplementary-tables"/>
    <w:p>
      <w:pPr>
        <w:pStyle w:val="Heading1"/>
        <w:pageBreakBefore/>
      </w:pPr>
      <w:r>
        <w:t xml:space="preserve">Supplementary Tables</w:t>
      </w:r>
    </w:p>
    <w:p>
      <w:pPr>
        <w:pStyle w:val="TableCaption"/>
      </w:pPr>
      <w:r>
        <w:rPr>
          <w:b/>
        </w:rPr>
        <w:t xml:space="preserve">Supplementary Table S1. </w:t>
      </w:r>
      <w:r>
        <w:rPr/>
        <w:t xml:space="preserve">Ageing protocols of the cycling-condition groups.</w:t>
      </w:r>
    </w:p>
    <w:tbl>
      <w:tblPr>
        <w:tblW w:type="pct" w:w="5000"/>
        <w:jc w:val="center"/>
        <w:tblLayout w:type="fixed"/>
        <w:tblCellMar>
          <w:top w:w="15" w:type="dxa"/>
          <w:left w:w="60" w:type="dxa"/>
          <w:bottom w:w="15" w:type="dxa"/>
          <w:right w:w="60" w:type="dxa"/>
        </w:tblCellMar>
        <w:tblCaption w:val="Supplementary Table S1. Ageing protocols of the cycling-condition groups."/>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Group</w:t>
            </w:r>
          </w:p>
        </w:tc>
        <w:tc>
          <w:tcPr>
            <w:tcBorders>
              <w:top w:val="single" w:sz="12" w:space="0" w:color="000000"/>
              <w:bottom w:val="single" w:sz="6" w:space="0" w:color="000000"/>
            </w:tcBorders>
            <w:vAlign w:val="center"/>
          </w:tcPr>
          <w:p>
            <w:pPr>
              <w:pStyle w:val="TableText"/>
              <w:jc w:val="right"/>
            </w:pPr>
            <w:r>
              <w:rPr>
                <w:b/>
                <w:noProof/>
              </w:rPr>
              <w:t xml:space="preserve">CC–CV charge rate (C)</w:t>
            </w:r>
          </w:p>
        </w:tc>
        <w:tc>
          <w:tcPr>
            <w:tcBorders>
              <w:top w:val="single" w:sz="12" w:space="0" w:color="000000"/>
              <w:bottom w:val="single" w:sz="6" w:space="0" w:color="000000"/>
            </w:tcBorders>
            <w:vAlign w:val="center"/>
          </w:tcPr>
          <w:p>
            <w:pPr>
              <w:pStyle w:val="TableText"/>
              <w:jc w:val="right"/>
            </w:pPr>
            <w:r>
              <w:rPr>
                <w:b/>
                <w:noProof/>
              </w:rPr>
              <w:t xml:space="preserve">CC discharge rate (C)</w:t>
            </w:r>
          </w:p>
        </w:tc>
        <w:tc>
          <w:tcPr>
            <w:tcBorders>
              <w:top w:val="single" w:sz="12" w:space="0" w:color="000000"/>
              <w:bottom w:val="single" w:sz="6" w:space="0" w:color="000000"/>
            </w:tcBorders>
            <w:vAlign w:val="center"/>
          </w:tcPr>
          <w:p>
            <w:pPr>
              <w:pStyle w:val="TableText"/>
              <w:jc w:val="right"/>
            </w:pPr>
            <w:r>
              <w:rPr>
                <w:b/>
                <w:noProof/>
              </w:rPr>
              <w:t xml:space="preserve">DOD (%)</w:t>
            </w:r>
          </w:p>
        </w:tc>
        <w:tc>
          <w:tcPr>
            <w:tcBorders>
              <w:top w:val="single" w:sz="12" w:space="0" w:color="000000"/>
              <w:bottom w:val="single" w:sz="6" w:space="0" w:color="000000"/>
            </w:tcBorders>
            <w:vAlign w:val="center"/>
          </w:tcPr>
          <w:p>
            <w:pPr>
              <w:pStyle w:val="TableText"/>
              <w:jc w:val="left"/>
            </w:pPr>
            <w:r>
              <w:rPr>
                <w:b/>
                <w:noProof/>
              </w:rPr>
              <w:t xml:space="preserve">Cells (IDs)</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 (50–55)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 (62–65)</w:t>
            </w:r>
          </w:p>
        </w:tc>
      </w:tr>
    </w:tbl>
    <w:p>
      <w:pPr>
        <w:pStyle w:val="TableNote"/>
      </w:pPr>
      <w:r>
        <w:t xml:space="preserve">From the cell test log in the publisher’s public repository [28]. Charging is CC–CV and discharging CC; rates refer to the nominal 1.2 Ah, so 2.42C, 2.83C and 3.25C correspond to 2.9 A, 3.4 A and 3.9 A.</w:t>
      </w:r>
    </w:p>
    <w:p>
      <w:pPr>
        <w:pStyle w:val="TableCaption"/>
      </w:pPr>
      <w:r>
        <w:rPr>
          <w:b/>
        </w:rPr>
        <w:t xml:space="preserve">Supplementary Table S2. </w:t>
      </w:r>
      <w:r>
        <w:rPr/>
        <w:t xml:space="preserve">Input information of the two branches.</w:t>
      </w:r>
    </w:p>
    <w:tbl>
      <w:tblPr>
        <w:tblW w:type="pct" w:w="5000"/>
        <w:jc w:val="center"/>
        <w:tblLayout w:type="fixed"/>
        <w:tblCellMar>
          <w:top w:w="15" w:type="dxa"/>
          <w:left w:w="60" w:type="dxa"/>
          <w:bottom w:w="15" w:type="dxa"/>
          <w:right w:w="60" w:type="dxa"/>
        </w:tblCellMar>
        <w:tblCaption w:val="Supplementary Table S2. Input information of the two branches."/>
      </w:tblPr>
      <w:tblGrid>
        <w:gridCol w:w="2760"/>
        <w:gridCol w:w="840"/>
        <w:gridCol w:w="1080"/>
        <w:gridCol w:w="1440"/>
        <w:gridCol w:w="180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Dimension</w:t>
            </w:r>
          </w:p>
        </w:tc>
        <w:tc>
          <w:tcPr>
            <w:tcBorders>
              <w:top w:val="single" w:sz="12" w:space="0" w:color="000000"/>
              <w:bottom w:val="single" w:sz="6" w:space="0" w:color="000000"/>
            </w:tcBorders>
            <w:vAlign w:val="center"/>
          </w:tcPr>
          <w:p>
            <w:pPr>
              <w:pStyle w:val="TableText"/>
              <w:jc w:val="center"/>
            </w:pPr>
            <w:r>
              <w:rPr>
                <w:b/>
                <w:noProof/>
              </w:rPr>
              <w:t xml:space="preserve">Waveform branch</w:t>
            </w:r>
          </w:p>
        </w:tc>
        <w:tc>
          <w:tcPr>
            <w:tcBorders>
              <w:top w:val="single" w:sz="12" w:space="0" w:color="000000"/>
              <w:bottom w:val="single" w:sz="6" w:space="0" w:color="000000"/>
            </w:tcBorders>
            <w:vAlign w:val="center"/>
          </w:tcPr>
          <w:p>
            <w:pPr>
              <w:pStyle w:val="TableText"/>
              <w:jc w:val="center"/>
            </w:pPr>
            <w:r>
              <w:rPr>
                <w:b/>
                <w:noProof/>
              </w:rPr>
              <w:t xml:space="preserve">Primary branch</w:t>
            </w:r>
          </w:p>
        </w:tc>
        <w:tc>
          <w:tcPr>
            <w:tcBorders>
              <w:top w:val="single" w:sz="12" w:space="0" w:color="000000"/>
              <w:bottom w:val="single" w:sz="6" w:space="0" w:color="000000"/>
            </w:tcBorders>
            <w:vAlign w:val="center"/>
          </w:tcPr>
          <w:p>
            <w:pPr>
              <w:pStyle w:val="TableText"/>
              <w:jc w:val="left"/>
            </w:pPr>
            <w:r>
              <w:rPr>
                <w:b/>
                <w:noProof/>
              </w:rPr>
              <w:t xml:space="preserve">Source</w:t>
            </w:r>
          </w:p>
        </w:tc>
      </w:tr>
      <w:tr>
        <w:trPr>
          <w:cantSplit/>
        </w:trPr>
        <w:tc>
          <w:tcPr>
            <w:tcBorders/>
            <w:vAlign w:val="center"/>
          </w:tcPr>
          <w:p>
            <w:pPr>
              <w:pStyle w:val="TableText"/>
              <w:jc w:val="left"/>
            </w:pPr>
            <w:r>
              <w:rPr>
                <w:noProof/>
              </w:rPr>
              <w:t xml:space="preserve">First-sample-referenced voltage sequence</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Waveform-derived features (train-fold selected)</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Matched-condition DCIR (selected)</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Standardised cumulative cycle count</w:t>
            </w:r>
            <w:r>
              <w:rPr>
                <w:noProof/>
              </w:rPr>
              <w:t xml:space="preserve"> </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Cycle record</w:t>
            </w:r>
          </w:p>
        </w:tc>
      </w:tr>
      <w:tr>
        <w:trPr>
          <w:cantSplit/>
        </w:trPr>
        <w:tc>
          <w:tcPr>
            <w:tcBorders/>
            <w:vAlign w:val="center"/>
          </w:tcPr>
          <w:p>
            <w:pPr>
              <w:pStyle w:val="TableText"/>
              <w:jc w:val="left"/>
            </w:pPr>
            <w:r>
              <w:rPr>
                <w:noProof/>
              </w:rPr>
              <w:t xml:space="preserve">Nominal SOC, pulse direction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Candidate, not selected</w:t>
            </w:r>
          </w:p>
        </w:tc>
        <w:tc>
          <w:tcPr>
            <w:tcBorders/>
            <w:vAlign w:val="center"/>
          </w:tcPr>
          <w:p>
            <w:pPr>
              <w:pStyle w:val="TableText"/>
              <w:jc w:val="left"/>
            </w:pPr>
            <w:r>
              <w:rPr>
                <w:noProof/>
              </w:rPr>
              <w:t xml:space="preserve">Test setting</w:t>
            </w:r>
          </w:p>
        </w:tc>
      </w:tr>
      <w:tr>
        <w:trPr>
          <w:cantSplit/>
        </w:trPr>
        <w:tc>
          <w:tcPr>
            <w:tcBorders/>
            <w:vAlign w:val="center"/>
          </w:tcPr>
          <w:p>
            <w:pPr>
              <w:pStyle w:val="TableText"/>
              <w:jc w:val="left"/>
            </w:pPr>
            <w:r>
              <w:rPr>
                <w:noProof/>
              </w:rPr>
              <w:t xml:space="preserve">Coulomb-counted SOC, SOC deviation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Excluded</w:t>
            </w:r>
          </w:p>
        </w:tc>
        <w:tc>
          <w:tcPr>
            <w:tcBorders/>
            <w:vAlign w:val="center"/>
          </w:tcPr>
          <w:p>
            <w:pPr>
              <w:pStyle w:val="TableText"/>
              <w:jc w:val="left"/>
            </w:pPr>
            <w:r>
              <w:rPr>
                <w:noProof/>
              </w:rPr>
              <w:t xml:space="preserve">Requires reference capacity</w:t>
            </w:r>
          </w:p>
        </w:tc>
      </w:tr>
      <w:tr>
        <w:trPr>
          <w:cantSplit/>
        </w:trPr>
        <w:tc>
          <w:tcPr>
            <w:tcBorders>
              <w:bottom w:val="single" w:sz="12" w:space="0" w:color="000000"/>
            </w:tcBorders>
            <w:vAlign w:val="center"/>
          </w:tcPr>
          <w:p>
            <w:pPr>
              <w:pStyle w:val="TableText"/>
              <w:jc w:val="left"/>
            </w:pPr>
            <w:r>
              <w:rPr>
                <w:noProof/>
              </w:rPr>
              <w:t xml:space="preserve">Other condition records, past capacities, cell identity</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 input enters the branch; —, not used or not applicable.</w:t>
      </w:r>
    </w:p>
    <w:p>
      <w:pPr>
        <w:pStyle w:val="TableCaption"/>
      </w:pPr>
      <w:r>
        <w:rPr>
          <w:b/>
        </w:rPr>
        <w:t xml:space="preserve">Supplementary Table S3. </w:t>
      </w:r>
      <w:r>
        <w:rPr/>
        <w:t xml:space="preserve">Ablation configurations and reference models.</w:t>
      </w:r>
    </w:p>
    <w:tbl>
      <w:tblPr>
        <w:tblW w:type="pct" w:w="5000"/>
        <w:jc w:val="center"/>
        <w:tblLayout w:type="fixed"/>
        <w:tblCellMar>
          <w:top w:w="15" w:type="dxa"/>
          <w:left w:w="60" w:type="dxa"/>
          <w:bottom w:w="15" w:type="dxa"/>
          <w:right w:w="60" w:type="dxa"/>
        </w:tblCellMar>
        <w:tblCaption w:val="Supplementary Table S3. Ablation configurations and reference models."/>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Category</w:t>
            </w:r>
          </w:p>
        </w:tc>
        <w:tc>
          <w:tcPr>
            <w:tcBorders>
              <w:top w:val="single" w:sz="12" w:space="0" w:color="000000"/>
              <w:bottom w:val="single" w:sz="6" w:space="0" w:color="000000"/>
            </w:tcBorders>
            <w:vAlign w:val="center"/>
          </w:tcPr>
          <w:p>
            <w:pPr>
              <w:pStyle w:val="TableText"/>
              <w:jc w:val="left"/>
            </w:pPr>
            <w:r>
              <w:rPr>
                <w:b/>
                <w:noProof/>
              </w:rPr>
              <w:t xml:space="preserve">Configuration</w:t>
            </w:r>
          </w:p>
        </w:tc>
        <w:tc>
          <w:tcPr>
            <w:tcBorders>
              <w:top w:val="single" w:sz="12" w:space="0" w:color="000000"/>
              <w:bottom w:val="single" w:sz="6" w:space="0" w:color="000000"/>
            </w:tcBorders>
            <w:vAlign w:val="center"/>
          </w:tcPr>
          <w:p>
            <w:pPr>
              <w:pStyle w:val="TableText"/>
              <w:jc w:val="left"/>
            </w:pPr>
            <w:r>
              <w:rPr>
                <w:b/>
                <w:noProof/>
              </w:rPr>
              <w:t xml:space="preserve">Handcrafted primary branch</w:t>
            </w:r>
          </w:p>
        </w:tc>
        <w:tc>
          <w:tcPr>
            <w:tcBorders>
              <w:top w:val="single" w:sz="12" w:space="0" w:color="000000"/>
              <w:bottom w:val="single" w:sz="6" w:space="0" w:color="000000"/>
            </w:tcBorders>
            <w:vAlign w:val="center"/>
          </w:tcPr>
          <w:p>
            <w:pPr>
              <w:pStyle w:val="TableText"/>
              <w:jc w:val="left"/>
            </w:pPr>
            <w:r>
              <w:rPr>
                <w:b/>
                <w:noProof/>
              </w:rPr>
              <w:t xml:space="preserve">Supplementary waveform branch</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Trainings</w:t>
            </w:r>
          </w:p>
        </w:tc>
      </w:tr>
      <w:tr>
        <w:trPr>
          <w:cantSplit/>
        </w:trPr>
        <w:tc>
          <w:tcPr>
            <w:tcBorders/>
            <w:vAlign w:val="center"/>
          </w:tcPr>
          <w:p>
            <w:pPr>
              <w:pStyle w:val="TableText"/>
              <w:jc w:val="left"/>
            </w:pPr>
            <w:r>
              <w:rPr>
                <w:noProof/>
              </w:rPr>
              <w:t xml:space="preserve">Main</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 50 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15 pairings</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PW-Trans.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 (incl. R0)</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DCIR only (concatenated)</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Patch parameters</w:t>
            </w:r>
          </w:p>
        </w:tc>
        <w:tc>
          <w:tcPr>
            <w:tcBorders/>
            <w:vAlign w:val="center"/>
          </w:tcPr>
          <w:p>
            <w:pPr>
              <w:pStyle w:val="TableText"/>
              <w:jc w:val="left"/>
            </w:pPr>
            <w:r>
              <w:rPr>
                <w:noProof/>
              </w:rPr>
              <w:t xml:space="preserve">P1, P2, 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 (5, 4), (9,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Adaptation</w:t>
            </w:r>
          </w:p>
        </w:tc>
        <w:tc>
          <w:tcPr>
            <w:tcBorders/>
            <w:vAlign w:val="center"/>
          </w:tcPr>
          <w:p>
            <w:pPr>
              <w:pStyle w:val="TableText"/>
              <w:jc w:val="left"/>
            </w:pPr>
            <w:r>
              <w:rPr>
                <w:noProof/>
              </w:rPr>
              <w:t xml:space="preserve">D1, D2, 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Flatten head, + RevIN, raw voltage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Feature count</w:t>
            </w:r>
          </w:p>
        </w:tc>
        <w:tc>
          <w:tcPr>
            <w:tcBorders/>
            <w:vAlign w:val="center"/>
          </w:tcPr>
          <w:p>
            <w:pPr>
              <w:pStyle w:val="TableText"/>
              <w:jc w:val="left"/>
            </w:pPr>
            <w:r>
              <w:rPr>
                <w:i/>
                <w:iCs/>
                <w:noProof/>
              </w:rPr>
              <w:t xml:space="preserve">K</w:t>
            </w:r>
            <w:r>
              <w:rPr>
                <w:noProof/>
              </w:rPr>
              <w:t xml:space="preserve"> </w:t>
            </w:r>
            <w:r>
              <w:rPr>
                <w:noProof/>
              </w:rPr>
              <w:t xml:space="preserve">= 10, 20, 30, 75, 100, 144</w:t>
            </w:r>
          </w:p>
        </w:tc>
        <w:tc>
          <w:tcPr>
            <w:tcBorders/>
            <w:vAlign w:val="center"/>
          </w:tcPr>
          <w:p>
            <w:pPr>
              <w:pStyle w:val="TableText"/>
              <w:jc w:val="left"/>
            </w:pPr>
            <w:r>
              <w:rPr>
                <w:noProof/>
              </w:rPr>
              <w:t xml:space="preserve">MLP,</w:t>
            </w:r>
            <w:r>
              <w:rPr>
                <w:noProof/>
              </w:rPr>
              <w:t xml:space="preserve"> </w:t>
            </w:r>
            <w:r>
              <w:rPr>
                <w:i/>
                <w:iCs/>
                <w:noProof/>
              </w:rPr>
              <w:t xml:space="preserve">K</w:t>
            </w:r>
            <w:r>
              <w:rPr>
                <w:noProof/>
              </w:rPr>
              <w:t xml:space="preserve"> </w:t>
            </w:r>
            <w:r>
              <w:rPr>
                <w:noProof/>
              </w:rPr>
              <w:t xml:space="preserve">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 (</w:t>
            </w:r>
            <w:r>
              <w:rPr>
                <w:i/>
                <w:iCs/>
                <w:noProof/>
              </w:rPr>
              <w:t xml:space="preserve">K</w:t>
            </w:r>
            <w:r>
              <w:rPr>
                <w:noProof/>
              </w:rPr>
              <w:t xml:space="preserve"> </w:t>
            </w:r>
            <w:r>
              <w:rPr>
                <w:noProof/>
              </w:rPr>
              <w:t xml:space="preserve">= 50 reuses R0)</w:t>
            </w:r>
          </w:p>
        </w:tc>
      </w:tr>
      <w:tr>
        <w:trPr>
          <w:cantSplit/>
        </w:trPr>
        <w:tc>
          <w:tcPr>
            <w:tcBorders>
              <w:bottom w:val="single" w:sz="12" w:space="0" w:color="000000"/>
            </w:tcBorders>
            <w:vAlign w:val="center"/>
          </w:tcPr>
          <w:p>
            <w:pPr>
              <w:pStyle w:val="TableText"/>
              <w:jc w:val="left"/>
            </w:pPr>
            <w:r>
              <w:rPr>
                <w:noProof/>
              </w:rPr>
              <w:t xml:space="preserve">Published model</w:t>
            </w:r>
          </w:p>
        </w:tc>
        <w:tc>
          <w:tcPr>
            <w:tcBorders>
              <w:bottom w:val="single" w:sz="12" w:space="0" w:color="000000"/>
            </w:tcBorders>
            <w:vAlign w:val="center"/>
          </w:tcPr>
          <w:p>
            <w:pPr>
              <w:pStyle w:val="TableText"/>
              <w:jc w:val="left"/>
            </w:pPr>
            <w:r>
              <w:rPr>
                <w:noProof/>
              </w:rPr>
              <w:t xml:space="preserve">Nowacki et al. [28], reproduced</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left"/>
            </w:pPr>
            <w:r>
              <w:rPr>
                <w:noProof/>
              </w:rPr>
              <w:t xml:space="preserve">Raw ΔV, 5 × 100 MLP</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30 models</w:t>
            </w:r>
          </w:p>
        </w:tc>
      </w:tr>
    </w:tbl>
    <w:p>
      <w:pPr>
        <w:pStyle w:val="TableNote"/>
      </w:pPr>
      <w:r>
        <w:t xml:space="preserve">Neural configurations use 5 folds × 3 seeds (465 trainings in total, plus 30 reproduced models).</w:t>
      </w:r>
    </w:p>
    <w:p>
      <w:pPr>
        <w:pStyle w:val="TableCaption"/>
      </w:pPr>
      <w:r>
        <w:rPr>
          <w:b/>
        </w:rPr>
        <w:t xml:space="preserve">Supplementary Table S4. </w:t>
      </w:r>
      <w:r>
        <w:rPr/>
        <w:t xml:space="preserve">Stratified waveform increment (R0 − A2, SOH pp).</w:t>
      </w:r>
    </w:p>
    <w:tbl>
      <w:tblPr>
        <w:tblW w:type="pct" w:w="5000"/>
        <w:jc w:val="center"/>
        <w:tblLayout w:type="fixed"/>
        <w:tblCellMar>
          <w:top w:w="15" w:type="dxa"/>
          <w:left w:w="60" w:type="dxa"/>
          <w:bottom w:w="15" w:type="dxa"/>
          <w:right w:w="60" w:type="dxa"/>
        </w:tblCellMar>
        <w:tblCaption w:val="Supplementary Table S4. Stratified waveform increment (R0 − A2, SOH pp)."/>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Stratum</w:t>
            </w:r>
          </w:p>
        </w:tc>
        <w:tc>
          <w:tcPr>
            <w:tcBorders>
              <w:top w:val="single" w:sz="12" w:space="0" w:color="000000"/>
              <w:bottom w:val="single" w:sz="6" w:space="0" w:color="000000"/>
            </w:tcBorders>
            <w:vAlign w:val="center"/>
          </w:tcPr>
          <w:p>
            <w:pPr>
              <w:pStyle w:val="TableText"/>
              <w:jc w:val="left"/>
            </w:pPr>
            <w:r>
              <w:rPr>
                <w:b/>
                <w:noProof/>
              </w:rPr>
              <w:t xml:space="preserve">Level</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 to −0.363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 to −0.082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 to −0.074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 to −0.009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 to −0.134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 to −0.072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 to −0.111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 to −0.080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Charge</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 to −0.088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Discharge</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 to −0.088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charge</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 to −0.076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discharge</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 to −0.061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charge</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 to −0.104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discharge</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 to −0.110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90% charge</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 to −0.078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Condition</w:t>
            </w:r>
          </w:p>
        </w:tc>
        <w:tc>
          <w:tcPr>
            <w:tcBorders>
              <w:bottom w:val="single" w:sz="12" w:space="0" w:color="000000"/>
            </w:tcBorders>
            <w:vAlign w:val="center"/>
          </w:tcPr>
          <w:p>
            <w:pPr>
              <w:pStyle w:val="TableText"/>
              <w:jc w:val="left"/>
            </w:pPr>
            <w:r>
              <w:rPr>
                <w:noProof/>
              </w:rPr>
              <w:t xml:space="preserve">90% discharge</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 to −0.077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True-SOH strata are formed at the cell–RPT level after averaging the six conditions, and each cell’s RMSE is computed within the stratum; SOC, direction and condition strata use single records. Predictions are averaged over the three seeds. Descriptive analysis without multiplicity correction.</w:t>
      </w:r>
    </w:p>
    <w:p>
      <w:pPr>
        <w:pStyle w:val="TableCaption"/>
      </w:pPr>
      <w:r>
        <w:rPr>
          <w:b/>
        </w:rPr>
        <w:t xml:space="preserve">Supplementary Table S5. </w:t>
      </w:r>
      <w:r>
        <w:rPr/>
        <w:t xml:space="preserve">Sensitivity to the number of handcrafted features (SOH pp).</w:t>
      </w:r>
    </w:p>
    <w:tbl>
      <w:tblPr>
        <w:tblW w:type="pct" w:w="5000"/>
        <w:jc w:val="center"/>
        <w:tblLayout w:type="fixed"/>
        <w:tblCellMar>
          <w:top w:w="15" w:type="dxa"/>
          <w:left w:w="60" w:type="dxa"/>
          <w:bottom w:w="15" w:type="dxa"/>
          <w:right w:w="60" w:type="dxa"/>
        </w:tblCellMar>
        <w:tblCaption w:val="Supplementary Table S5. Sensitivity to the number of handcrafted features (SOH pp)."/>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Primary-branch input</w:t>
            </w:r>
          </w:p>
        </w:tc>
        <w:tc>
          <w:tcPr>
            <w:tcBorders>
              <w:top w:val="single" w:sz="12" w:space="0" w:color="000000"/>
              <w:bottom w:val="single" w:sz="6" w:space="0" w:color="000000"/>
            </w:tcBorders>
            <w:vAlign w:val="center"/>
          </w:tcPr>
          <w:p>
            <w:pPr>
              <w:pStyle w:val="TableText"/>
              <w:jc w:val="right"/>
            </w:pPr>
            <w:r>
              <w:rPr>
                <w:b/>
                <w:noProof/>
              </w:rPr>
              <w:t xml:space="preserve">Parameters</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Improved / worse cells</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 (R0)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 to 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 </w:t>
      </w:r>
      <w:r>
        <w:t xml:space="preserve">excludes the separately appended cycle count, so the primary branch input has</w:t>
      </w:r>
      <w:r>
        <w:t xml:space="preserve"> </w:t>
      </w:r>
      <w:r>
        <w:rPr>
          <w:i/>
          <w:iCs/>
        </w:rPr>
        <w:t xml:space="preserve">K</w:t>
      </w:r>
      <w:r>
        <w:t xml:space="preserve"> </w:t>
      </w:r>
      <w:r>
        <w:t xml:space="preserve">+ 1 dimensions. ΔRMSE is the level minus</w:t>
      </w:r>
      <w:r>
        <w:t xml:space="preserve"> </w:t>
      </w:r>
      <w:r>
        <w:rPr>
          <w:i/>
          <w:iCs/>
        </w:rPr>
        <w:t xml:space="preserve">K</w:t>
      </w:r>
      <w:r>
        <w:t xml:space="preserve"> </w:t>
      </w:r>
      <w:r>
        <w:t xml:space="preserve">= 50; Holm correction covers the six RMSE comparisons. Improved (worse) cells have lower (higher) error than</w:t>
      </w:r>
      <w:r>
        <w:t xml:space="preserve"> </w:t>
      </w:r>
      <w:r>
        <w:rPr>
          <w:i/>
          <w:iCs/>
        </w:rPr>
        <w:t xml:space="preserve">K</w:t>
      </w:r>
      <w:r>
        <w:t xml:space="preserve"> </w:t>
      </w:r>
      <w:r>
        <w:t xml:space="preserve">= 50.</w:t>
      </w:r>
    </w:p>
    <w:p>
      <w:pPr>
        <w:pStyle w:val="TableCaption"/>
      </w:pPr>
      <w:r>
        <w:rPr>
          <w:b/>
        </w:rPr>
        <w:t xml:space="preserve">Supplementary Table S6. </w:t>
      </w:r>
      <w:r>
        <w:rPr/>
        <w:t xml:space="preserve">Results of the supplementary experiments (cell-macro RMSE, SOH pp).</w:t>
      </w:r>
    </w:p>
    <w:tbl>
      <w:tblPr>
        <w:tblW w:type="pct" w:w="5000"/>
        <w:jc w:val="center"/>
        <w:tblLayout w:type="fixed"/>
        <w:tblCellMar>
          <w:top w:w="15" w:type="dxa"/>
          <w:left w:w="60" w:type="dxa"/>
          <w:bottom w:w="15" w:type="dxa"/>
          <w:right w:w="60" w:type="dxa"/>
        </w:tblCellMar>
        <w:tblCaption w:val="Supplementary Table S6. Results of the supplementary experiments (cell-macro RMSE, SOH pp)."/>
      </w:tblPr>
      <w:tblGrid>
        <w:gridCol w:w="1827"/>
        <w:gridCol w:w="507"/>
        <w:gridCol w:w="609"/>
        <w:gridCol w:w="609"/>
        <w:gridCol w:w="609"/>
        <w:gridCol w:w="812"/>
        <w:gridCol w:w="1421"/>
        <w:gridCol w:w="609"/>
        <w:gridCol w:w="91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left"/>
            </w:pPr>
            <w:r>
              <w:rPr>
                <w:b/>
                <w:noProof/>
              </w:rPr>
              <w:t xml:space="preserve">Data</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(main text)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1.520</w:t>
            </w:r>
          </w:p>
        </w:tc>
        <w:tc>
          <w:tcPr>
            <w:tcBorders/>
            <w:vAlign w:val="center"/>
          </w:tcPr>
          <w:p>
            <w:pPr>
              <w:pStyle w:val="TableText"/>
              <w:jc w:val="right"/>
            </w:pPr>
            <w:r>
              <w:rPr>
                <w:noProof/>
              </w:rPr>
              <w:t xml:space="preserve">1.611</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−0.090</w:t>
            </w:r>
          </w:p>
        </w:tc>
        <w:tc>
          <w:tcPr>
            <w:tcBorders/>
            <w:vAlign w:val="center"/>
          </w:tcPr>
          <w:p>
            <w:pPr>
              <w:pStyle w:val="TableText"/>
              <w:jc w:val="left"/>
            </w:pPr>
            <w:r>
              <w:rPr>
                <w:noProof/>
              </w:rPr>
              <w:t xml:space="preserve">−0.105 to −0.075</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1.527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−0.136 to −0.096</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1.421</w:t>
            </w:r>
          </w:p>
        </w:tc>
        <w:tc>
          <w:tcPr>
            <w:tcBorders/>
            <w:vAlign w:val="center"/>
          </w:tcPr>
          <w:p>
            <w:pPr>
              <w:pStyle w:val="TableText"/>
              <w:jc w:val="right"/>
            </w:pPr>
            <w:r>
              <w:rPr>
                <w:noProof/>
              </w:rPr>
              <w:t xml:space="preserve">1.538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−0.134 to −0.099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59/64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1.562</w:t>
            </w:r>
          </w:p>
        </w:tc>
        <w:tc>
          <w:tcPr>
            <w:tcBorders/>
            <w:vAlign w:val="center"/>
          </w:tcPr>
          <w:p>
            <w:pPr>
              <w:pStyle w:val="TableText"/>
              <w:jc w:val="right"/>
            </w:pPr>
            <w:r>
              <w:rPr>
                <w:noProof/>
              </w:rPr>
              <w:t xml:space="preserve">1.630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−0.068</w:t>
            </w:r>
          </w:p>
        </w:tc>
        <w:tc>
          <w:tcPr>
            <w:tcBorders/>
            <w:vAlign w:val="center"/>
          </w:tcPr>
          <w:p>
            <w:pPr>
              <w:pStyle w:val="TableText"/>
              <w:jc w:val="left"/>
            </w:pPr>
            <w:r>
              <w:rPr>
                <w:noProof/>
              </w:rPr>
              <w:t xml:space="preserve">−0.087 to −0.049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1.700</w:t>
            </w:r>
          </w:p>
        </w:tc>
        <w:tc>
          <w:tcPr>
            <w:tcBorders/>
            <w:vAlign w:val="center"/>
          </w:tcPr>
          <w:p>
            <w:pPr>
              <w:pStyle w:val="TableText"/>
              <w:jc w:val="right"/>
            </w:pPr>
            <w:r>
              <w:rPr>
                <w:noProof/>
              </w:rPr>
              <w:t xml:space="preserve">1.770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−0.070</w:t>
            </w:r>
          </w:p>
        </w:tc>
        <w:tc>
          <w:tcPr>
            <w:tcBorders/>
            <w:vAlign w:val="center"/>
          </w:tcPr>
          <w:p>
            <w:pPr>
              <w:pStyle w:val="TableText"/>
              <w:jc w:val="left"/>
            </w:pPr>
            <w:r>
              <w:rPr>
                <w:noProof/>
              </w:rPr>
              <w:t xml:space="preserve">−0.085 to −0.053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Test-only noise, 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3.958</w:t>
            </w:r>
          </w:p>
        </w:tc>
        <w:tc>
          <w:tcPr>
            <w:tcBorders/>
            <w:vAlign w:val="center"/>
          </w:tcPr>
          <w:p>
            <w:pPr>
              <w:pStyle w:val="TableText"/>
              <w:jc w:val="right"/>
            </w:pPr>
            <w:r>
              <w:rPr>
                <w:noProof/>
              </w:rPr>
              <w:t xml:space="preserve">4.339</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−0.382</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64/64</w:t>
            </w:r>
          </w:p>
        </w:tc>
      </w:tr>
      <w:tr>
        <w:trPr>
          <w:cantSplit/>
        </w:trPr>
        <w:tc>
          <w:tcPr>
            <w:tcBorders/>
            <w:vAlign w:val="center"/>
          </w:tcPr>
          <w:p>
            <w:pPr>
              <w:pStyle w:val="TableText"/>
              <w:jc w:val="left"/>
            </w:pPr>
            <w:r>
              <w:rPr>
                <w:noProof/>
              </w:rPr>
              <w:t xml:space="preserve">Three charge pulses</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1.379</w:t>
            </w:r>
          </w:p>
        </w:tc>
        <w:tc>
          <w:tcPr>
            <w:tcBorders/>
            <w:vAlign w:val="center"/>
          </w:tcPr>
          <w:p>
            <w:pPr>
              <w:pStyle w:val="TableText"/>
              <w:jc w:val="right"/>
            </w:pPr>
            <w:r>
              <w:rPr>
                <w:noProof/>
              </w:rPr>
              <w:t xml:space="preserve">1.503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−0.125</w:t>
            </w:r>
          </w:p>
        </w:tc>
        <w:tc>
          <w:tcPr>
            <w:tcBorders/>
            <w:vAlign w:val="center"/>
          </w:tcPr>
          <w:p>
            <w:pPr>
              <w:pStyle w:val="TableText"/>
              <w:jc w:val="left"/>
            </w:pPr>
            <w:r>
              <w:rPr>
                <w:noProof/>
              </w:rPr>
              <w:t xml:space="preserve">−0.149 to −0.101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Three discharge pulses</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1.415</w:t>
            </w:r>
          </w:p>
        </w:tc>
        <w:tc>
          <w:tcPr>
            <w:tcBorders/>
            <w:vAlign w:val="center"/>
          </w:tcPr>
          <w:p>
            <w:pPr>
              <w:pStyle w:val="TableText"/>
              <w:jc w:val="right"/>
            </w:pPr>
            <w:r>
              <w:rPr>
                <w:noProof/>
              </w:rPr>
              <w:t xml:space="preserve">1.531</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−0.116</w:t>
            </w:r>
          </w:p>
        </w:tc>
        <w:tc>
          <w:tcPr>
            <w:tcBorders/>
            <w:vAlign w:val="center"/>
          </w:tcPr>
          <w:p>
            <w:pPr>
              <w:pStyle w:val="TableText"/>
              <w:jc w:val="left"/>
            </w:pPr>
            <w:r>
              <w:rPr>
                <w:noProof/>
              </w:rPr>
              <w:t xml:space="preserve">−0.134 to −0.098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60/64</w:t>
            </w:r>
          </w:p>
        </w:tc>
      </w:tr>
      <w:tr>
        <w:trPr>
          <w:cantSplit/>
        </w:trPr>
        <w:tc>
          <w:tcPr>
            <w:tcBorders>
              <w:bottom w:val="single" w:sz="12" w:space="0" w:color="000000"/>
            </w:tcBorders>
            <w:vAlign w:val="center"/>
          </w:tcPr>
          <w:p>
            <w:pPr>
              <w:pStyle w:val="TableText"/>
              <w:jc w:val="left"/>
            </w:pPr>
            <w:r>
              <w:rPr>
                <w:noProof/>
              </w:rPr>
              <w:t xml:space="preserve">Five-fold</w:t>
            </w:r>
            <w:r>
              <w:rPr>
                <w:noProof/>
                <w:vertAlign w:val="superscript"/>
              </w:rPr>
              <w:t xml:space="preserve">b</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1.968</w:t>
            </w:r>
          </w:p>
        </w:tc>
        <w:tc>
          <w:tcPr>
            <w:tcBorders>
              <w:bottom w:val="single" w:sz="12" w:space="0" w:color="000000"/>
            </w:tcBorders>
            <w:vAlign w:val="center"/>
          </w:tcPr>
          <w:p>
            <w:pPr>
              <w:pStyle w:val="TableText"/>
              <w:jc w:val="right"/>
            </w:pPr>
            <w:r>
              <w:rPr>
                <w:noProof/>
              </w:rPr>
              <w:t xml:space="preserve">2.132</w:t>
            </w:r>
          </w:p>
        </w:tc>
        <w:tc>
          <w:tcPr>
            <w:tcBorders>
              <w:bottom w:val="single" w:sz="12" w:space="0" w:color="000000"/>
            </w:tcBorders>
            <w:vAlign w:val="center"/>
          </w:tcPr>
          <w:p>
            <w:pPr>
              <w:pStyle w:val="TableText"/>
              <w:jc w:val="right"/>
            </w:pPr>
            <w:r>
              <w:rPr>
                <w:noProof/>
              </w:rPr>
              <w:t xml:space="preserve">2.468</w:t>
            </w:r>
          </w:p>
        </w:tc>
        <w:tc>
          <w:tcPr>
            <w:tcBorders>
              <w:bottom w:val="single" w:sz="12" w:space="0" w:color="000000"/>
            </w:tcBorders>
            <w:vAlign w:val="center"/>
          </w:tcPr>
          <w:p>
            <w:pPr>
              <w:pStyle w:val="TableText"/>
              <w:jc w:val="right"/>
            </w:pPr>
            <w:r>
              <w:rPr>
                <w:noProof/>
              </w:rPr>
              <w:t xml:space="preserve">−0.163</w:t>
            </w:r>
          </w:p>
        </w:tc>
        <w:tc>
          <w:tcPr>
            <w:tcBorders>
              <w:bottom w:val="single" w:sz="12" w:space="0" w:color="000000"/>
            </w:tcBorders>
            <w:vAlign w:val="center"/>
          </w:tcPr>
          <w:p>
            <w:pPr>
              <w:pStyle w:val="TableText"/>
              <w:jc w:val="left"/>
            </w:pPr>
            <w:r>
              <w:rPr>
                <w:noProof/>
              </w:rPr>
              <w:t xml:space="preserve">−0.204 to −0.125</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39/44</w:t>
            </w:r>
          </w:p>
        </w:tc>
      </w:tr>
    </w:tbl>
    <w:p>
      <w:pPr>
        <w:pStyle w:val="TableNote"/>
      </w:pPr>
      <w:r>
        <w:t xml:space="preserve">Paired comparisons use 5,000 fold- (or group-) stratified cell bootstraps and two-sided sign-flip tests, without multiplicity correction.</w:t>
      </w:r>
      <w:r>
        <w:t xml:space="preserve"> </w:t>
      </w:r>
      <w:r>
        <w:rPr>
          <w:vertAlign w:val="superscript"/>
        </w:rPr>
        <w:t xml:space="preserve">a</w:t>
      </w:r>
      <w:r>
        <w:t xml:space="preserve"> </w:t>
      </w:r>
      <w:r>
        <w:t xml:space="preserve">Models trained on clean data with noise added to the test voltages only. Pulse subsets use the models trained on all six pulses.</w:t>
      </w:r>
      <w:r>
        <w:t xml:space="preserve"> </w:t>
      </w:r>
      <w:r>
        <w:rPr>
          <w:vertAlign w:val="superscript"/>
        </w:rPr>
        <w:t xml:space="preserve">b</w:t>
      </w:r>
      <w:r>
        <w:t xml:space="preserve"> </w:t>
      </w:r>
      <w:r>
        <w:t xml:space="preserve">DCIR added to the A1 input (Supplementary Note S4). Group-level leave-one-group-out errors are shown in Fig. 7a of the main text.</w:t>
      </w:r>
    </w:p>
    <w:p>
      <w:pPr>
        <w:pStyle w:val="TableCaption"/>
      </w:pPr>
      <w:r>
        <w:rPr>
          <w:b/>
        </w:rPr>
        <w:t xml:space="preserve">Supplementary Table S7. </w:t>
      </w:r>
      <w:r>
        <w:rPr/>
        <w:t xml:space="preserve">3 × 5 encoder matrix on the NMC/graphite dataset (cell-macro RMSE, SOH pp; rank within each primary-branch encoder in parentheses).</w:t>
      </w:r>
    </w:p>
    <w:tbl>
      <w:tblPr>
        <w:tblW w:type="pct" w:w="5000"/>
        <w:jc w:val="center"/>
        <w:tblLayout w:type="fixed"/>
        <w:tblCellMar>
          <w:top w:w="15" w:type="dxa"/>
          <w:left w:w="60" w:type="dxa"/>
          <w:bottom w:w="15" w:type="dxa"/>
          <w:right w:w="60" w:type="dxa"/>
        </w:tblCellMar>
        <w:tblCaption w:val="Supplementary Table S7. 3 × 5 encoder matrix on the NMC/graphite dataset (cell-macro RMSE, SOH pp; rank within each primary-branch encoder in parentheses)."/>
      </w:tblPr>
      <w:tblGrid>
        <w:gridCol w:w="2262"/>
        <w:gridCol w:w="1131"/>
        <w:gridCol w:w="1131"/>
        <w:gridCol w:w="1131"/>
        <w:gridCol w:w="1131"/>
        <w:gridCol w:w="113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Primary branch</w:t>
            </w:r>
          </w:p>
        </w:tc>
        <w:tc>
          <w:tcPr>
            <w:tcBorders>
              <w:top w:val="single" w:sz="12" w:space="0" w:color="000000"/>
              <w:bottom w:val="single" w:sz="6" w:space="0" w:color="000000"/>
            </w:tcBorders>
            <w:vAlign w:val="center"/>
          </w:tcPr>
          <w:p>
            <w:pPr>
              <w:pStyle w:val="TableText"/>
              <w:jc w:val="right"/>
            </w:pPr>
            <w:r>
              <w:rPr>
                <w:b/>
                <w:noProof/>
              </w:rPr>
              <w:t xml:space="preserve">CNN</w:t>
            </w:r>
          </w:p>
        </w:tc>
        <w:tc>
          <w:tcPr>
            <w:tcBorders>
              <w:top w:val="single" w:sz="12" w:space="0" w:color="000000"/>
              <w:bottom w:val="single" w:sz="6" w:space="0" w:color="000000"/>
            </w:tcBorders>
            <w:vAlign w:val="center"/>
          </w:tcPr>
          <w:p>
            <w:pPr>
              <w:pStyle w:val="TableText"/>
              <w:jc w:val="right"/>
            </w:pPr>
            <w:r>
              <w:rPr>
                <w:b/>
                <w:noProof/>
              </w:rPr>
              <w:t xml:space="preserve">MLP</w:t>
            </w:r>
          </w:p>
        </w:tc>
        <w:tc>
          <w:tcPr>
            <w:tcBorders>
              <w:top w:val="single" w:sz="12" w:space="0" w:color="000000"/>
              <w:bottom w:val="single" w:sz="6" w:space="0" w:color="000000"/>
            </w:tcBorders>
            <w:vAlign w:val="center"/>
          </w:tcPr>
          <w:p>
            <w:pPr>
              <w:pStyle w:val="TableText"/>
              <w:jc w:val="right"/>
            </w:pPr>
            <w:r>
              <w:rPr>
                <w:b/>
                <w:noProof/>
              </w:rPr>
              <w:t xml:space="preserve">TCN</w:t>
            </w:r>
          </w:p>
        </w:tc>
        <w:tc>
          <w:tcPr>
            <w:tcBorders>
              <w:top w:val="single" w:sz="12" w:space="0" w:color="000000"/>
              <w:bottom w:val="single" w:sz="6" w:space="0" w:color="000000"/>
            </w:tcBorders>
            <w:vAlign w:val="center"/>
          </w:tcPr>
          <w:p>
            <w:pPr>
              <w:pStyle w:val="TableText"/>
              <w:jc w:val="right"/>
            </w:pPr>
            <w:r>
              <w:rPr>
                <w:b/>
                <w:noProof/>
              </w:rPr>
              <w:t xml:space="preserve">PW-Transformer</w:t>
            </w:r>
          </w:p>
        </w:tc>
        <w:tc>
          <w:tcPr>
            <w:tcBorders>
              <w:top w:val="single" w:sz="12" w:space="0" w:color="000000"/>
              <w:bottom w:val="single" w:sz="6" w:space="0" w:color="000000"/>
            </w:tcBorders>
            <w:vAlign w:val="center"/>
          </w:tcPr>
          <w:p>
            <w:pPr>
              <w:pStyle w:val="TableText"/>
              <w:jc w:val="right"/>
            </w:pPr>
            <w:r>
              <w:rPr>
                <w:b/>
                <w:noProof/>
              </w:rPr>
              <w:t xml:space="preserve">PatchTST</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2.035 (5)</w:t>
            </w:r>
          </w:p>
        </w:tc>
        <w:tc>
          <w:tcPr>
            <w:tcBorders/>
            <w:vAlign w:val="center"/>
          </w:tcPr>
          <w:p>
            <w:pPr>
              <w:pStyle w:val="TableText"/>
              <w:jc w:val="right"/>
            </w:pPr>
            <w:r>
              <w:rPr>
                <w:noProof/>
              </w:rPr>
              <w:t xml:space="preserve">1.966 (3)</w:t>
            </w:r>
          </w:p>
        </w:tc>
        <w:tc>
          <w:tcPr>
            <w:tcBorders/>
            <w:vAlign w:val="center"/>
          </w:tcPr>
          <w:p>
            <w:pPr>
              <w:pStyle w:val="TableText"/>
              <w:jc w:val="right"/>
            </w:pPr>
            <w:r>
              <w:rPr>
                <w:noProof/>
              </w:rPr>
              <w:t xml:space="preserve">1.953 (2)</w:t>
            </w:r>
          </w:p>
        </w:tc>
        <w:tc>
          <w:tcPr>
            <w:tcBorders/>
            <w:vAlign w:val="center"/>
          </w:tcPr>
          <w:p>
            <w:pPr>
              <w:pStyle w:val="TableText"/>
              <w:jc w:val="right"/>
            </w:pPr>
            <w:r>
              <w:rPr>
                <w:noProof/>
              </w:rPr>
              <w:t xml:space="preserve">1.903 (1)</w:t>
            </w:r>
          </w:p>
        </w:tc>
        <w:tc>
          <w:tcPr>
            <w:tcBorders/>
            <w:vAlign w:val="center"/>
          </w:tcPr>
          <w:p>
            <w:pPr>
              <w:pStyle w:val="TableText"/>
              <w:jc w:val="right"/>
            </w:pPr>
            <w:r>
              <w:rPr>
                <w:noProof/>
              </w:rPr>
              <w:t xml:space="preserve">1.968 (4)</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right"/>
            </w:pPr>
            <w:r>
              <w:rPr>
                <w:noProof/>
              </w:rPr>
              <w:t xml:space="preserve">2.005 (5)</w:t>
            </w:r>
          </w:p>
        </w:tc>
        <w:tc>
          <w:tcPr>
            <w:tcBorders/>
            <w:vAlign w:val="center"/>
          </w:tcPr>
          <w:p>
            <w:pPr>
              <w:pStyle w:val="TableText"/>
              <w:jc w:val="right"/>
            </w:pPr>
            <w:r>
              <w:rPr>
                <w:noProof/>
              </w:rPr>
              <w:t xml:space="preserve">1.863 (1)</w:t>
            </w:r>
          </w:p>
        </w:tc>
        <w:tc>
          <w:tcPr>
            <w:tcBorders/>
            <w:vAlign w:val="center"/>
          </w:tcPr>
          <w:p>
            <w:pPr>
              <w:pStyle w:val="TableText"/>
              <w:jc w:val="right"/>
            </w:pPr>
            <w:r>
              <w:rPr>
                <w:noProof/>
              </w:rPr>
              <w:t xml:space="preserve">1.900 (2)</w:t>
            </w:r>
          </w:p>
        </w:tc>
        <w:tc>
          <w:tcPr>
            <w:tcBorders/>
            <w:vAlign w:val="center"/>
          </w:tcPr>
          <w:p>
            <w:pPr>
              <w:pStyle w:val="TableText"/>
              <w:jc w:val="right"/>
            </w:pPr>
            <w:r>
              <w:rPr>
                <w:noProof/>
              </w:rPr>
              <w:t xml:space="preserve">1.994 (4)</w:t>
            </w:r>
          </w:p>
        </w:tc>
        <w:tc>
          <w:tcPr>
            <w:tcBorders/>
            <w:vAlign w:val="center"/>
          </w:tcPr>
          <w:p>
            <w:pPr>
              <w:pStyle w:val="TableText"/>
              <w:jc w:val="right"/>
            </w:pPr>
            <w:r>
              <w:rPr>
                <w:noProof/>
              </w:rPr>
              <w:t xml:space="preserve">1.908 (3)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right"/>
            </w:pPr>
            <w:r>
              <w:rPr>
                <w:noProof/>
              </w:rPr>
              <w:t xml:space="preserve">2.017 (1)</w:t>
            </w:r>
          </w:p>
        </w:tc>
        <w:tc>
          <w:tcPr>
            <w:tcBorders>
              <w:bottom w:val="single" w:sz="12" w:space="0" w:color="000000"/>
            </w:tcBorders>
            <w:vAlign w:val="center"/>
          </w:tcPr>
          <w:p>
            <w:pPr>
              <w:pStyle w:val="TableText"/>
              <w:jc w:val="right"/>
            </w:pPr>
            <w:r>
              <w:rPr>
                <w:noProof/>
              </w:rPr>
              <w:t xml:space="preserve">2.166 (3)</w:t>
            </w:r>
          </w:p>
        </w:tc>
        <w:tc>
          <w:tcPr>
            <w:tcBorders>
              <w:bottom w:val="single" w:sz="12" w:space="0" w:color="000000"/>
            </w:tcBorders>
            <w:vAlign w:val="center"/>
          </w:tcPr>
          <w:p>
            <w:pPr>
              <w:pStyle w:val="TableText"/>
              <w:jc w:val="right"/>
            </w:pPr>
            <w:r>
              <w:rPr>
                <w:noProof/>
              </w:rPr>
              <w:t xml:space="preserve">2.259 (5)</w:t>
            </w:r>
          </w:p>
        </w:tc>
        <w:tc>
          <w:tcPr>
            <w:tcBorders>
              <w:bottom w:val="single" w:sz="12" w:space="0" w:color="000000"/>
            </w:tcBorders>
            <w:vAlign w:val="center"/>
          </w:tcPr>
          <w:p>
            <w:pPr>
              <w:pStyle w:val="TableText"/>
              <w:jc w:val="right"/>
            </w:pPr>
            <w:r>
              <w:rPr>
                <w:noProof/>
              </w:rPr>
              <w:t xml:space="preserve">2.097 (2)</w:t>
            </w:r>
          </w:p>
        </w:tc>
        <w:tc>
          <w:tcPr>
            <w:tcBorders>
              <w:bottom w:val="single" w:sz="12" w:space="0" w:color="000000"/>
            </w:tcBorders>
            <w:vAlign w:val="center"/>
          </w:tcPr>
          <w:p>
            <w:pPr>
              <w:pStyle w:val="TableText"/>
              <w:jc w:val="right"/>
            </w:pPr>
            <w:r>
              <w:rPr>
                <w:noProof/>
              </w:rPr>
              <w:t xml:space="preserve">2.169 (4)</w:t>
            </w:r>
          </w:p>
        </w:tc>
      </w:tr>
    </w:tbl>
    <w:p>
      <w:pPr>
        <w:pStyle w:val="TableNote"/>
      </w:pPr>
      <w:r>
        <w:t xml:space="preserve">44 cells, five folds × three seeds. Sum-of-squares shares of the between-pairing variation (95% CI, 5,000 fold-stratified cell bootstraps): primary branch 68.8% (48.9–79.9%), supplementary branch 1.8% (0.4–6.1%) and pairing 29.5% (18.1–48.3%); without FT-Transformer 9.2%, 51.0% and 39.8% (24.6–58.6%). Interaction test with seeds as replicates:</w:t>
      </w:r>
      <w:r>
        <w:t xml:space="preserve"> </w:t>
      </w:r>
      <w:r>
        <w:rPr>
          <w:i/>
          <w:iCs/>
        </w:rPr>
        <w:t xml:space="preserve">F</w:t>
      </w:r>
      <w:r>
        <w:t xml:space="preserve">(8, 30) = 1.74,</w:t>
      </w:r>
      <w:r>
        <w:t xml:space="preserve"> </w:t>
      </w:r>
      <w:r>
        <w:rPr>
          <w:i/>
          <w:iCs/>
        </w:rPr>
        <w:t xml:space="preserve">p</w:t>
      </w:r>
      <w:r>
        <w:t xml:space="preserve"> </w:t>
      </w:r>
      <w:r>
        <w:t xml:space="preserve">= 0.13. ResNet + MLP − MLP + PatchTST = −0.105 pp (−0.146 to −0.064; 33/44 cells).</w:t>
      </w:r>
    </w:p>
    <w:bookmarkEnd w:id="25"/>
    <w:bookmarkStart w:id="41" w:name="supplementary-figures"/>
    <w:p>
      <w:pPr>
        <w:pStyle w:val="Heading1"/>
        <w:pageBreakBefore/>
      </w:pPr>
      <w:r>
        <w:t xml:space="preserve">Supplementary Figures</w:t>
      </w:r>
    </w:p>
    <w:p>
      <w:pPr>
        <w:pStyle w:val="CaptionedFigure"/>
      </w:pPr>
      <w:r>
        <w:drawing>
          <wp:inline>
            <wp:extent cx="5277600" cy="3807393"/>
            <wp:effectExtent b="0" l="0" r="0" t="0"/>
            <wp:docPr descr="Fig. S1. 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 title="" id="27" name="Picture"/>
            <a:graphic>
              <a:graphicData uri="http://schemas.openxmlformats.org/drawingml/2006/picture">
                <pic:pic>
                  <pic:nvPicPr>
                    <pic:cNvPr descr="04_图片/figS1_patch_cdf.png" id="28" name="Picture"/>
                    <pic:cNvPicPr>
                      <a:picLocks noChangeArrowheads="1" noChangeAspect="1"/>
                    </pic:cNvPicPr>
                  </pic:nvPicPr>
                  <pic:blipFill>
                    <a:blip r:embed="rId26"/>
                    <a:stretch>
                      <a:fillRect/>
                    </a:stretch>
                  </pic:blipFill>
                  <pic:spPr bwMode="auto">
                    <a:xfrm>
                      <a:off x="0" y="0"/>
                      <a:ext cx="5277600" cy="3807393"/>
                    </a:xfrm>
                    <a:prstGeom prst="rect">
                      <a:avLst/>
                    </a:prstGeom>
                    <a:noFill/>
                    <a:ln w="9525">
                      <a:noFill/>
                      <a:headEnd/>
                      <a:tailEnd/>
                    </a:ln>
                  </pic:spPr>
                </pic:pic>
              </a:graphicData>
            </a:graphic>
          </wp:inline>
        </w:drawing>
      </w:r>
    </w:p>
    <w:p>
      <w:pPr>
        <w:pStyle w:val="ImageCaption"/>
      </w:pPr>
      <w:r>
        <w:rPr>
          <w:b/>
          <w:bCs/>
        </w:rPr>
        <w:t xml:space="preserve">Fig. S1.</w:t>
      </w:r>
      <w:r>
        <w:t xml:space="preserve"> </w:t>
      </w:r>
      <w:r>
        <w:t xml:space="preserve">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w:t>
      </w:r>
    </w:p>
    <w:p>
      <w:pPr>
        <w:pStyle w:val="CaptionedFigure"/>
      </w:pPr>
      <w:r>
        <w:drawing>
          <wp:inline>
            <wp:extent cx="4206240" cy="2728663"/>
            <wp:effectExtent b="0" l="0" r="0" t="0"/>
            <wp:docPr descr="Fig. S2. Sensitivity to the number of handcrafted features K. Difference in cell-macro RMSE relative to K = 50 with 95% fold-stratified cell bootstrap intervals; labels give the total parameter count. Hollow markers denote intervals that include zero." title="" id="30" name="Picture"/>
            <a:graphic>
              <a:graphicData uri="http://schemas.openxmlformats.org/drawingml/2006/picture">
                <pic:pic>
                  <pic:nvPicPr>
                    <pic:cNvPr descr="04_图片/figS2_K.png" id="31" name="Picture"/>
                    <pic:cNvPicPr>
                      <a:picLocks noChangeArrowheads="1" noChangeAspect="1"/>
                    </pic:cNvPicPr>
                  </pic:nvPicPr>
                  <pic:blipFill>
                    <a:blip r:embed="rId29"/>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Fig. S2.</w:t>
      </w:r>
      <w:r>
        <w:t xml:space="preserve"> </w:t>
      </w:r>
      <w:r>
        <w:t xml:space="preserve">Sensitivity to the number of handcrafted features</w:t>
      </w:r>
      <w:r>
        <w:t xml:space="preserve"> </w:t>
      </w:r>
      <w:r>
        <w:rPr>
          <w:i/>
          <w:iCs/>
        </w:rPr>
        <w:t xml:space="preserve">K</w:t>
      </w:r>
      <w:r>
        <w:t xml:space="preserve">. Difference in cell-macro RMSE relative to</w:t>
      </w:r>
      <w:r>
        <w:t xml:space="preserve"> </w:t>
      </w:r>
      <w:r>
        <w:rPr>
          <w:i/>
          <w:iCs/>
        </w:rPr>
        <w:t xml:space="preserve">K</w:t>
      </w:r>
      <w:r>
        <w:t xml:space="preserve"> </w:t>
      </w:r>
      <w:r>
        <w:t xml:space="preserve">= 50 with 95% fold-stratified cell bootstrap intervals; labels give the total parameter count. Hollow markers denote intervals that include zero.</w:t>
      </w:r>
    </w:p>
    <w:p>
      <w:pPr>
        <w:pStyle w:val="CaptionedFigure"/>
      </w:pPr>
      <w:r>
        <w:drawing>
          <wp:inline>
            <wp:extent cx="5277600" cy="2191876"/>
            <wp:effectExtent b="0" l="0" r="0" t="0"/>
            <wp:docPr descr="Fig. S3. SOH-dependent mean bias and overall residual distribution of R0 (blue, solid) and the primary-branch-only model A2 (brown,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 title="" id="33" name="Picture"/>
            <a:graphic>
              <a:graphicData uri="http://schemas.openxmlformats.org/drawingml/2006/picture">
                <pic:pic>
                  <pic:nvPicPr>
                    <pic:cNvPr descr="04_图片/figS3_bias_soh.png" id="34" name="Picture"/>
                    <pic:cNvPicPr>
                      <a:picLocks noChangeArrowheads="1" noChangeAspect="1"/>
                    </pic:cNvPicPr>
                  </pic:nvPicPr>
                  <pic:blipFill>
                    <a:blip r:embed="rId32"/>
                    <a:stretch>
                      <a:fillRect/>
                    </a:stretch>
                  </pic:blipFill>
                  <pic:spPr bwMode="auto">
                    <a:xfrm>
                      <a:off x="0" y="0"/>
                      <a:ext cx="5277600" cy="2191876"/>
                    </a:xfrm>
                    <a:prstGeom prst="rect">
                      <a:avLst/>
                    </a:prstGeom>
                    <a:noFill/>
                    <a:ln w="9525">
                      <a:noFill/>
                      <a:headEnd/>
                      <a:tailEnd/>
                    </a:ln>
                  </pic:spPr>
                </pic:pic>
              </a:graphicData>
            </a:graphic>
          </wp:inline>
        </w:drawing>
      </w:r>
    </w:p>
    <w:p>
      <w:pPr>
        <w:pStyle w:val="ImageCaption"/>
      </w:pPr>
      <w:r>
        <w:rPr>
          <w:b/>
          <w:bCs/>
        </w:rPr>
        <w:t xml:space="preserve">Fig. S3.</w:t>
      </w:r>
      <w:r>
        <w:t xml:space="preserve"> </w:t>
      </w:r>
      <w:r>
        <w:t xml:space="preserve">SOH-dependent mean bias and overall residual distribution of R0 (blue, solid) and the primary-branch-only model A2 (brown,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w:t>
      </w:r>
    </w:p>
    <w:p>
      <w:pPr>
        <w:pStyle w:val="CaptionedFigure"/>
      </w:pPr>
      <w:r>
        <w:drawing>
          <wp:inline>
            <wp:extent cx="5277600" cy="4197905"/>
            <wp:effectExtent b="0" l="0" r="0" t="0"/>
            <wp:docPr descr="Fig. S4. 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 title="" id="36" name="Picture"/>
            <a:graphic>
              <a:graphicData uri="http://schemas.openxmlformats.org/drawingml/2006/picture">
                <pic:pic>
                  <pic:nvPicPr>
                    <pic:cNvPr descr="04_图片/figS4_cells.png" id="37" name="Picture"/>
                    <pic:cNvPicPr>
                      <a:picLocks noChangeArrowheads="1" noChangeAspect="1"/>
                    </pic:cNvPicPr>
                  </pic:nvPicPr>
                  <pic:blipFill>
                    <a:blip r:embed="rId35"/>
                    <a:stretch>
                      <a:fillRect/>
                    </a:stretch>
                  </pic:blipFill>
                  <pic:spPr bwMode="auto">
                    <a:xfrm>
                      <a:off x="0" y="0"/>
                      <a:ext cx="5277600" cy="4197905"/>
                    </a:xfrm>
                    <a:prstGeom prst="rect">
                      <a:avLst/>
                    </a:prstGeom>
                    <a:noFill/>
                    <a:ln w="9525">
                      <a:noFill/>
                      <a:headEnd/>
                      <a:tailEnd/>
                    </a:ln>
                  </pic:spPr>
                </pic:pic>
              </a:graphicData>
            </a:graphic>
          </wp:inline>
        </w:drawing>
      </w:r>
    </w:p>
    <w:p>
      <w:pPr>
        <w:pStyle w:val="ImageCaption"/>
      </w:pPr>
      <w:r>
        <w:rPr>
          <w:b/>
          <w:bCs/>
        </w:rPr>
        <w:t xml:space="preserve">Fig. S4.</w:t>
      </w:r>
      <w:r>
        <w:t xml:space="preserve"> </w:t>
      </w:r>
      <w:r>
        <w:t xml:space="preserve">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w:t>
      </w:r>
    </w:p>
    <w:p>
      <w:pPr>
        <w:pStyle w:val="CaptionedFigure"/>
      </w:pPr>
      <w:r>
        <w:drawing>
          <wp:inline>
            <wp:extent cx="5277600" cy="4416372"/>
            <wp:effectExtent b="0" l="0" r="0" t="0"/>
            <wp:docPr descr="Fig. S5. SOH estimated by R0 versus measured SOH for the 11 cycling-condition groups. Each point is one cell–RPT (predictions averaged over seeds and conditions, all from the cell’s test fold); colour denotes absolute error (saturating at 3 pp) and the red dashed line is y = x. The number in each panel is the group’s cell-macro RMSE following Eq. (14)." title="" id="39" name="Picture"/>
            <a:graphic>
              <a:graphicData uri="http://schemas.openxmlformats.org/drawingml/2006/picture">
                <pic:pic>
                  <pic:nvPicPr>
                    <pic:cNvPr descr="04_图片/figS5_groups.png" id="40" name="Picture"/>
                    <pic:cNvPicPr>
                      <a:picLocks noChangeArrowheads="1" noChangeAspect="1"/>
                    </pic:cNvPicPr>
                  </pic:nvPicPr>
                  <pic:blipFill>
                    <a:blip r:embed="rId38"/>
                    <a:stretch>
                      <a:fillRect/>
                    </a:stretch>
                  </pic:blipFill>
                  <pic:spPr bwMode="auto">
                    <a:xfrm>
                      <a:off x="0" y="0"/>
                      <a:ext cx="5277600" cy="4416372"/>
                    </a:xfrm>
                    <a:prstGeom prst="rect">
                      <a:avLst/>
                    </a:prstGeom>
                    <a:noFill/>
                    <a:ln w="9525">
                      <a:noFill/>
                      <a:headEnd/>
                      <a:tailEnd/>
                    </a:ln>
                  </pic:spPr>
                </pic:pic>
              </a:graphicData>
            </a:graphic>
          </wp:inline>
        </w:drawing>
      </w:r>
    </w:p>
    <w:p>
      <w:pPr>
        <w:pStyle w:val="ImageCaption"/>
      </w:pPr>
      <w:r>
        <w:rPr>
          <w:b/>
          <w:bCs/>
        </w:rPr>
        <w:t xml:space="preserve">Fig. S5.</w:t>
      </w:r>
      <w:r>
        <w:t xml:space="preserve"> </w:t>
      </w:r>
      <w:r>
        <w:t xml:space="preserve">SOH estimated by R0 versus measured SOH for the 11 cycling-condition groups. Each point is one cell–RPT (predictions averaged over seeds and conditions, all from the cell’s test fold); colour denotes absolute error (saturating at 3 pp) and the red dashed line is</w:t>
      </w:r>
      <w:r>
        <w:t xml:space="preserve"> </w:t>
      </w:r>
      <w:r>
        <w:rPr>
          <w:i/>
          <w:iCs/>
        </w:rPr>
        <w:t xml:space="preserve">y</w:t>
      </w:r>
      <w:r>
        <w:t xml:space="preserve"> </w:t>
      </w:r>
      <w:r>
        <w:t xml:space="preserve">=</w:t>
      </w:r>
      <w:r>
        <w:t xml:space="preserve"> </w:t>
      </w:r>
      <w:r>
        <w:rPr>
          <w:i/>
          <w:iCs/>
        </w:rPr>
        <w:t xml:space="preserve">x</w:t>
      </w:r>
      <w:r>
        <w:t xml:space="preserve">. The number in each panel is the group’s cell-macro RMSE following Eq. (14).</w:t>
      </w:r>
    </w:p>
    <w:bookmarkEnd w:id="41"/>
    <w:sectPr>
      <w:footerReference w:type="default" r:id="rId9"/>
      <w:pgSz w:w="11906" w:h="16838"/>
      <w:pgMar w:left="1797" w:right="1797" w:top="1440" w:bottom="1440" w:header="680" w:footer="624"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480"/>
      <w:ind w:firstLine="482"/>
      <w:jc w:val="both"/>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Rule="auto" w:line="480"/>
      <w:ind w:firstLine="482"/>
      <w:jc w:val="both"/>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Rule="auto" w:line="480"/>
      <w:ind w:firstLine="482"/>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Rule="auto" w:line="360"/>
      <w:ind w:firstLine="0"/>
      <w:jc w:val="center"/>
    </w:pPr>
    <w:rPr>
      <w:rFonts w:ascii="Times New Roman" w:hAnsi="Times New Roman" w:cs="Times New Roman" w:eastAsia="Times New Roman"/>
      <w:b/>
      <w:bCs/>
      <w:i w:val="0"/>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20" w:lineRule="auto" w:line="360"/>
      <w:ind w:firstLine="0"/>
      <w:jc w:val="center"/>
    </w:pPr>
    <w:rPr>
      <w:rFonts w:ascii="Times New Roman" w:hAnsi="Times New Roman" w:cs="Times New Roman" w:eastAsia="Times New Roman"/>
      <w:b w:val="0"/>
      <w:i w:val="0"/>
      <w:color w:val="000000"/>
      <w:sz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0" w:before="0" w:lineRule="auto" w:line="480"/>
      <w:ind w:firstLine="482"/>
      <w:jc w:val="both"/>
    </w:pPr>
    <w:rPr>
      <w:rFonts w:ascii="Times New Roman" w:hAnsi="Times New Roman" w:cs="Times New Roman" w:eastAsia="Times New Roman"/>
      <w:b w:val="0"/>
      <w:i w:val="0"/>
      <w:color w:val="000000"/>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360"/>
      <w:ind w:firstLine="0"/>
      <w:jc w:val="left"/>
    </w:pPr>
    <w:rPr>
      <w:rFonts w:ascii="Times New Roman" w:hAnsi="Times New Roman" w:cs="Times New Roman" w:eastAsia="Times New Roman"/>
      <w:b w:val="0"/>
      <w:i w:val="0"/>
      <w:color w:val="000000"/>
      <w:sz w:val="22"/>
    </w:rPr>
  </w:style>
  <w:style w:customStyle="1" w:styleId="ImageCaption" w:type="paragraph">
    <w:name w:val="Image Caption"/>
    <w:basedOn w:val="Caption"/>
    <w:pPr>
      <w:spacing w:before="60" w:after="200" w:lineRule="auto" w:line="360"/>
      <w:ind w:firstLine="0"/>
      <w:jc w:val="both"/>
    </w:pPr>
    <w:rPr>
      <w:rFonts w:ascii="Times New Roman" w:hAnsi="Times New Roman" w:cs="Times New Roman" w:eastAsia="Times New Roman"/>
      <w:b w:val="0"/>
      <w:i w:val="0"/>
      <w:color w:val="000000"/>
      <w:sz w:val="22"/>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120" w:lineRule="auto" w:line="360"/>
      <w:ind w:firstLine="0"/>
      <w:jc w:val="center"/>
    </w:pPr>
    <w:rPr>
      <w:rFonts w:ascii="Times New Roman" w:hAnsi="Times New Roman" w:cs="Times New Roman" w:eastAsia="Times New Roman"/>
      <w:b w:val="0"/>
      <w:i w:val="0"/>
      <w:color w:val="000000"/>
      <w:sz w:val="24"/>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Times New Roman"/>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Times New Roman"/>
      <w:b w:val="0"/>
      <w:i w:val="0"/>
      <w:color w:val="000000"/>
      <w:sz w:val="24"/>
    </w:rPr>
  </w:style>
  <w:style w:type="paragraph" w:customStyle="1" w:styleId="FrontHeading">
    <w:name w:val="Front Heading"/>
    <w:basedOn w:val="BodyText"/>
    <w:qFormat/>
    <w:pPr>
      <w:keepNext/>
      <w:spacing w:before="240" w:after="0" w:lineRule="auto" w:line="480"/>
      <w:ind w:firstLine="0"/>
      <w:jc w:val="left"/>
    </w:pPr>
    <w:rPr>
      <w:rFonts w:ascii="Times New Roman" w:hAnsi="Times New Roman" w:cs="Times New Roman" w:eastAsia="Times New Roman"/>
      <w:b/>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Times New Roman"/>
      <w:b w:val="0"/>
      <w:i w:val="0"/>
      <w:color w:val="000000"/>
      <w:sz w:val="23"/>
    </w:rPr>
  </w:style>
  <w:style w:type="paragraph" w:customStyle="1" w:styleId="Keywords">
    <w:name w:val="Keywords"/>
    <w:basedOn w:val="Normal"/>
    <w:pPr>
      <w:spacing w:before="0" w:after="0" w:lineRule="auto" w:line="480"/>
      <w:ind w:firstLine="0"/>
      <w:jc w:val="both"/>
    </w:pPr>
    <w:rPr>
      <w:rFonts w:ascii="Times New Roman" w:hAnsi="Times New Roman" w:cs="Times New Roman" w:eastAsia="Times New Roman"/>
      <w:b w:val="0"/>
      <w:i w:val="0"/>
      <w:color w:val="000000"/>
      <w:sz w:val="24"/>
    </w:rPr>
  </w:style>
  <w:style w:type="paragraph" w:customStyle="1" w:styleId="FrontText">
    <w:name w:val="Front Text"/>
    <w:basedOn w:val="Normal"/>
    <w:pPr>
      <w:spacing w:before="0" w:after="0" w:lineRule="auto" w:line="480"/>
      <w:ind w:firstLine="0"/>
      <w:jc w:val="left"/>
    </w:pPr>
    <w:rPr>
      <w:rFonts w:ascii="Times New Roman" w:hAnsi="Times New Roman" w:cs="Times New Roman" w:eastAsia="Times New Roman"/>
      <w:b w:val="0"/>
      <w:i w:val="0"/>
      <w:color w:val="000000"/>
      <w:sz w:val="24"/>
    </w:rPr>
  </w:style>
  <w:style w:type="paragraph" w:customStyle="1" w:styleId="AbstractHeading">
    <w:name w:val="Abstract Heading"/>
    <w:basedOn w:val="Normal"/>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bstractSubheading">
    <w:name w:val="Abstract Subheading"/>
    <w:basedOn w:val="Normal"/>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Heading1">
    <w:name w:val="heading 1"/>
    <w:basedOn w:val="Normal"/>
    <w:pPr>
      <w:keepNext/>
      <w:spacing w:before="240" w:after="0" w:lineRule="auto" w:line="264"/>
      <w:ind w:firstLine="0"/>
      <w:jc w:val="left"/>
    </w:pPr>
    <w:rPr>
      <w:rFonts w:ascii="Times New Roman" w:hAnsi="Times New Roman" w:cs="Times New Roman" w:eastAsia="Times New Roman"/>
      <w:b/>
      <w:i w:val="0"/>
      <w:color w:val="000000"/>
      <w:sz w:val="24"/>
    </w:rPr>
  </w:style>
  <w:style w:type="paragraph" w:customStyle="1" w:styleId="Heading2">
    <w:name w:val="heading 2"/>
    <w:basedOn w:val="Normal"/>
    <w:pPr>
      <w:keepNext/>
      <w:spacing w:before="120" w:after="0" w:lineRule="auto" w:line="264"/>
      <w:ind w:firstLine="0"/>
      <w:jc w:val="left"/>
    </w:pPr>
    <w:rPr>
      <w:rFonts w:ascii="Times New Roman" w:hAnsi="Times New Roman" w:cs="Times New Roman" w:eastAsia="Times New Roman"/>
      <w:b/>
      <w:i w:val="0"/>
      <w:color w:val="000000"/>
      <w:sz w:val="24"/>
    </w:rPr>
  </w:style>
  <w:style w:type="paragraph" w:customStyle="1" w:styleId="Heading3">
    <w:name w:val="heading 3"/>
    <w:basedOn w:val="Normal"/>
    <w:pPr>
      <w:keepNext/>
      <w:spacing w:before="120" w:after="0" w:lineRule="auto" w:line="264"/>
      <w:ind w:firstLine="0"/>
      <w:jc w:val="left"/>
    </w:pPr>
    <w:rPr>
      <w:rFonts w:ascii="Times New Roman" w:hAnsi="Times New Roman" w:cs="Times New Roman" w:eastAsia="Times New Roman"/>
      <w:b w:val="0"/>
      <w:i/>
      <w:color w:val="000000"/>
      <w:sz w:val="24"/>
    </w:rPr>
  </w:style>
  <w:style w:type="paragraph" w:customStyle="1" w:styleId="TableNote">
    <w:name w:val="Table Note"/>
    <w:basedOn w:val="Normal"/>
    <w:pPr>
      <w:spacing w:before="40" w:after="160" w:lineRule="auto" w:line="288"/>
      <w:ind w:firstLine="0"/>
      <w:jc w:val="both"/>
    </w:pPr>
    <w:rPr>
      <w:rFonts w:ascii="Times New Roman" w:hAnsi="Times New Roman" w:cs="Times New Roman" w:eastAsia="Times New Roman"/>
      <w:b w:val="0"/>
      <w:i w:val="0"/>
      <w:color w:val="000000"/>
      <w:sz w:val="20"/>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Times New Roman"/>
      <w:b w:val="0"/>
      <w:i w:val="0"/>
      <w:color w:val="000000"/>
      <w:sz w:val="20"/>
    </w:rPr>
  </w:style>
  <w:style w:type="paragraph" w:customStyle="1" w:styleId="Reference">
    <w:name w:val="Reference"/>
    <w:basedOn w:val="Normal"/>
    <w:pPr>
      <w:spacing w:before="0" w:after="0" w:lineRule="auto" w:line="360"/>
      <w:ind w:left="425" w:hanging="425"/>
      <w:jc w:val="left"/>
    </w:pPr>
    <w:rPr>
      <w:rFonts w:ascii="Times New Roman" w:hAnsi="Times New Roman" w:cs="Times New Roman" w:eastAsia="Times New Roman"/>
      <w:b w:val="0"/>
      <w:i w:val="0"/>
      <w:color w:val="000000"/>
      <w:sz w:val="24"/>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2026-10-09T12:35:50Z</dcterms:created>
  <dcterms:modified xsi:type="dcterms:W3CDTF">2026-10-09T12:35:50Z</dcterms:modified>
</cp:coreProperties>
</file>

<file path=docProps/custom.xml><?xml version="1.0" encoding="utf-8"?>
<Properties xmlns="http://schemas.openxmlformats.org/officeDocument/2006/custom-properties" xmlns:vt="http://schemas.openxmlformats.org/officeDocument/2006/docPropsVTypes"/>
</file>