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论文修改说明（原中文稿 → 英文修订稿）</w:t>
      </w:r>
    </w:p>
    <w:bookmarkStart w:id="20" w:name="一总体修改概述"/>
    <w:p>
      <w:pPr>
        <w:pStyle w:val="Heading2"/>
      </w:pPr>
      <w:r>
        <w:t xml:space="preserve">一、总体修改概述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950"/>
        <w:gridCol w:w="6969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项目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目标格式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按Elsevier能源类期刊（Applied Energy / Journal of Power Sources）要求改写为英文、单栏排版。新增 Highlights、Nomenclature、CRediT、Declaration of competing interest、Data availability、Acknowledgements 和 Appendix A（补充材料另附文件）。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篇幅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英文正文约7,100词；连同摘要、图表题、表格、术语表约9,600词，满足“正文&lt;10,000词”的要求。摘要248词（≤250词）。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节结构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第2、3节节号与原稿一一对应（2.1–3.6），只新增3.5.5节。第4节为4.1–4.7：新增4.6节（泛化、鲁棒性与部署）；原4.6节（误差特征）并入新4.7节；原4.7节（研究局限）不再单列。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公式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Word图片公式全部改为可编辑LaTeX，已逐式对照原图片。正文式（1）–（12）与原稿一致；原式（13）–（16）（PatchTST标准公式）移至补充材料式（S17）–（S20）；原式（17）改为式（13）（数学等价）；原式（18）（19）合并为式（14）；原式（20）（边际效应）删除。附录式（A1）–（A14）改为（S1）–（S16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数值写法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原稿数值全部保留，四位小数统一四舍五入为三位（1.3774→1.377，−0.1225→−0.123）。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个百分点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统一写作 pp。千位空格改为逗号（16 938→16,938）。区间符号“～”改为“–”或“to”。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压缩方式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① 推导细节、超参数网格、检验族清单、算法和次要表图移至补充材料；② 引言不再预告结果，各节路线图式导语删除；③ 编码器边际效应压缩为一句；④ 重复出现的“内部比较/不能替代独立验证”等限定语删除，只在4.7节保留一次。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负面结果的处理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负面结果都保留，但集中写在4.7节末段（两句）：低SOH高估减轻但未消除；训练数据应来自目标传感器；NMC数据上没有波形增量；温度现场数据和BMS硬件验证留作后续工作。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GBDT/RBF-SVR优于R0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改写为“学习器依赖”（4.4节），数值仍在表7中。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单调约束未改善单调性指标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在4.5.1节保留一句。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新增内容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按3.5.5节的(i)–(v)新增五项实验：留一循环工况组、独立NMC/石墨数据集、循环数误差与传感器噪声、每个RPT的脉冲数、积分梯度归因与计算开销。这些实验全部由独立的CPU复现程序完成，见3.5.5节、4.6节、4.7节、表9、图8、补充 Note S6、表S7。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文件位置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英文正文：manuscript/LFP_SOH_PulseFusion_Manuscript.docx；英文补充材料：manuscript/LFP_SOH_PulseFusion_Supplementary.docx（PDF预览为同名 _preview.pdf）。中文对照版在 manuscript/zh/：LFP_SOH_PulseFusion_Manuscript_ZH.docx、LFP_SOH_PulseFusion_Supplementary_ZH.docx（及 .pdf），是修订后英文稿的逐句中译，图片保持英文。Markdown源文件分别在 manuscript/source/ 和 manuscript/zh/source/。</w:t>
            </w:r>
          </w:p>
        </w:tc>
      </w:tr>
    </w:tbl>
    <w:bookmarkEnd w:id="20"/>
    <w:bookmarkStart w:id="28" w:name="二逐节修改对照"/>
    <w:p>
      <w:pPr>
        <w:pStyle w:val="Heading2"/>
      </w:pPr>
      <w:r>
        <w:t xml:space="preserve">二、逐节修改对照</w:t>
      </w:r>
    </w:p>
    <w:bookmarkStart w:id="21" w:name="题名与摘要前置部分"/>
    <w:p>
      <w:pPr>
        <w:pStyle w:val="Heading3"/>
      </w:pPr>
      <w:r>
        <w:t xml:space="preserve">题名与摘要（前置部分）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中文题名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英文投稿只保留英文题名。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英文题名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Title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新题名：</w:t>
            </w:r>
            <w:r>
              <w:rPr>
                <w:i/>
                <w:iCs/>
                <w:noProof/>
              </w:rPr>
              <w:t xml:space="preserve">Fusing short-pulse voltage waveforms with handcrafted features for rapid state-of-health estimation of lithium iron phosphate batteries: a controlled comparison of encoder pairings</w:t>
            </w:r>
            <w:r>
              <w:rPr>
                <w:noProof/>
              </w:rPr>
              <w:t xml:space="preserve">。改为以动词短语开头；新增 rapid；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a Comparison of Encoders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改为“a controlled comparison of encoder pairings”；改为句首大写。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中英文作者与单位块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Authors / Affiliation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合并为一套Elsevier格式（上标a、通讯作者*、E-mail）。姓名、单位和邮箱仍为占位符。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首页脚注（收稿日期、基金、作者简介、通信作者）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基金移至 Acknowledgements，通讯作者邮箱移至题名页，作者分工写入 CRediT；收稿日期和作者简介删除。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Highlights（5条，每条74–82字符）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① 15种编码器组合在同一电芯互斥协议下比较；② 片段化波形分支使MLP主干误差降低8.2%，58/64个电芯改善；③ 编码器排序取决于组合，与结构复杂度无关；④ 未见循环工况和匹配传感器噪声下波形增益仍在；⑤ 3个充电脉冲加约1.9万参数的模型即可快速估计SOH。④⑤来自新增实验。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中文摘要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中英双摘要只保留英文摘要。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英文摘要（约277词）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Abstract（248词）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保留：研究问题、双分支结构、15种组合、64个电芯/16,938条记录、5折电芯互斥、R0 1.377 pp（95% CI 1.247–1.513）、58/64。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降低0.1225个百分点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相对值“降低8.2%”。新增：SOH&lt;80%时增益最大（17.2%）并部分校正收缩偏差；编码器排序依赖组合（组合项最多解释47.6%）；新实验结论（留出工况和匹配噪声下增量仍在、±10%循环数误差最多使误差增加3.5%、3个充电脉冲达到6脉冲精度、19,041个参数、每脉冲0.42 MFLOPs）。删除：3次初始化、GBDT 1.0219整句、累计循环数贡献与单调约束一句、末句局限。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中文关键词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英文关键词（7个）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Keywords（6个）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Lithium iron phosphate battery; State of health; Short current pulse; Feature fusion; Patch-based Transformer; Cell-disjoint validation。删去 lithium-ion battery 和 ablation study；PatchTST 改为通称；新增 Cell-disjoint validation。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中图分类号、文献标志码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中文期刊专用标识。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无（缩写在首次出现时定义）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Nomenclature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两栏术语表：缩写17项、符号17项（含 pp、σ_noise、R0、A1–A4/D1–D3/P1–P3）。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图表题“表X/Tab. X”双语、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注：</w:t>
            </w:r>
            <w:r>
              <w:rPr>
                <w:noProof/>
              </w:rPr>
              <w:t xml:space="preserve">”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英文图表题、表下脚注（TN）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只用英文题名；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注：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改为表下脚注，用上标a、b标注；表格改为三线表。</w:t>
            </w:r>
          </w:p>
        </w:tc>
      </w:tr>
    </w:tbl>
    <w:bookmarkEnd w:id="21"/>
    <w:bookmarkStart w:id="22" w:name="引言"/>
    <w:p>
      <w:pPr>
        <w:pStyle w:val="Heading3"/>
      </w:pPr>
      <w:r>
        <w:t xml:space="preserve">1 引言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第1段（SOH意义、容量测试耗时、替代信号、EIS）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第1段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论证链和引用[1]–[11]全部保留，删去若干修饰性分句（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难以在实际运行中频繁开展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这些条件在实验室之外难以满足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等）。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第2段（脉冲即时域阻抗测量、HPPC耗时、LFP平台）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第2段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引用[12]–[17]全部保留。[13]句保留“在特定测试条件下”的限定（under suitable test conditions）。末句并入前句。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第3段（BMS约束、两类方法、多分支融合）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第3段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[18][19]两句合为一句并合引；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难以确定适用于不同工况的特征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改为“transfer poorly across operating conditions”。其余保留。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第4段（单一表征研究、三方面缺口）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第4段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删去作者姓名，改为按引用分组的[16,28]、[17,29,30]、[31]；三方面缺口改写为三个设问句；末句删去。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第5段（比较矩阵、结果概述、结论）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分散到贡献（1）、3.2/3.3节、4.1节末段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矩阵设计并入贡献（1）；编码器清单及[38]–[41]移至3.2、3.3节；结果概述从引言删去；结论句（按组合选择编码器，[18,27]）移至4.1节末段。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第6段（人工特征作主干的理由、PatchTST需改造）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第5段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论点和引用全部保留，几处重复表述删去。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第7段（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针对上述问题，本文……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，约10句）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第6段（2句）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只保留双分支的定义和单调软约束相对[47–49]的定位。设计细节（2.3.2、2.5、3.1节已有）和全部结果概述删除。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贡献（1）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贡献（1）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含义不变，明确写成“3 × 5”矩阵，强调分离主效应与组合依赖。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贡献（2）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贡献（2）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保留PatchTST适配、消融、电芯级配对统计、强学习器对照；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界定适用边界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改为“the conditions under which the waveform complement helps”。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贡献（3）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检验模型适用范围：留出循环工况、循环数误差与传感器噪声、减少脉冲数、归因、计算开销，以及独立NMC/石墨数据集。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引言末句（结论针对同一LFP数据，部署待验证）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局限统一放在4.7节；修订稿已有NMC和计算开销结果，原句表述不再准确。</w:t>
            </w:r>
          </w:p>
        </w:tc>
      </w:tr>
    </w:tbl>
    <w:bookmarkEnd w:id="22"/>
    <w:bookmarkStart w:id="23" w:name="数据与统一实验协议"/>
    <w:p>
      <w:pPr>
        <w:pStyle w:val="Heading3"/>
      </w:pPr>
      <w:r>
        <w:t xml:space="preserve">2 数据与统一实验协议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第2节导语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第2节导语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保留第一句并引出新表1；删去路线图句。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2.1第1段（64个电芯、11种工况、RPT）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2.1第1段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(表1)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改为“(Supplementary Table S1)”；首次定义CC–CV和DOD。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 老化协议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内容与原表完全一致。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2.1第2、3段（脉冲协议；各区段的时间尺度与直流内阻）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2.1第2段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全部数值保留。正文仍以“(Fig. 1b,c)”指示各区段；新图1b、c的电压响应曲线同样呈现三个区段，引用保留。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2.1第4段＋式（1）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2.1第3–4段，式（1）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式（1）不变。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2.1第5、6段（101点插值；单次推理与主指标口径）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2.1第5段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删去“101表示采样点数，不应解释为额外测量了101 s”，其余保留。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 脉冲协议与电压响应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图1（a–c）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重绘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用公开数据重绘：(a)程控电流；(b)(c)改为50%名义SOC下按SOH分组的平均ΔV，插图显示过电位随老化增大（原图按SOC着色，看不出SOH效应）。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2.2第1段＋式（2）（清洗判据）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2.2第1段，式（2）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判据与数值全部保留，式（2）已逐项核对。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2.2第2段（剔除192条，清洗后16,938条）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2.2第1段后半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数字全部保留；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(图2)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改为“(Fig. 1d)”。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2.2第3段（划分、R0定义、内部比较限定）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2.2第2段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划分方法与各折电芯数（40/11/13等）保留，R0在此定义；末句“内部比较、不能替代独立验证”删除。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图2 三维SOH轨迹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图1d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改为二维SOH—累计循环数曲线，按DOD着色。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表2 数据、输入与实验设计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并入原表4要点，新增“Excluded inputs”行；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补充实验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行改为“19 neural configurations × 15 = 285 trainings; 30 reproduced reference models; conventional regressors”。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2.3.1正文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2.3.1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附录A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改为“Supplementary Note S1”；正文中的六族名称列举删去（表2中已列出）。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表3 人工特征候选族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候选数150、第0折入选数50不变；题名明确为“第0折训练电芯”。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2.3.2第1–4段＋式（3）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2.3.2第1–3段，式（3）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保留/合并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式（3）不变。直流内阻公式并入式（3）说明段；累计循环数缺失（494个点，少计67–118次循环）全部数字保留。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2.3.3＋式（4）（5）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2.3.3，式（4）（5）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公式不变，50/47/54、直流内阻排第13–14位、上限144项均保留；第0折只保留频域与小波16项、差分动力学14项两个数字，其余各族数量见表2。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2.4＋式（6）（7）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2.4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公式不变，删去少量重复说明。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2.5＋式（8）–（10）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公式不变，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只由训练折拟合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的声明保留。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表4 两分支的输入信息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表S2（要点并入表1）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7行内容不变。</w:t>
            </w:r>
          </w:p>
        </w:tc>
      </w:tr>
    </w:tbl>
    <w:bookmarkEnd w:id="23"/>
    <w:bookmarkStart w:id="24" w:name="模型与实验设计"/>
    <w:p>
      <w:pPr>
        <w:pStyle w:val="Heading3"/>
      </w:pPr>
      <w:r>
        <w:t xml:space="preserve">3 模型与实验设计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第3节导语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路线图式导语。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3.1＋式（11）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3.1，式（11）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式（11）不变；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图3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改为“Fig. 2”；R0定义句删去（2.2节已定义）。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图3 双分支框架图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作者合并后的框架图（含原图1的脉冲示意），模块和数值不变，图注压缩。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3.2 主干编码器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全部结构与参数量（5,600/5,800/6,124）保留。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3.3第1–2段＋式（12）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3.3，式（12）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结构参数保留；新增缩写PW-Trans.。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3.3第3–6段＋式（13）–（16）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正文各一句概述；补充材料式（S17）–（S20）（Note S2）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公式内容一致；10,752参数、标记数101→24等文字说明留在正文。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3.3第7段（相对原始PatchTST的四处改动）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3.3第4段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四处改动和数字（10,752→34,304，总计42,593）全部保留。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表5 编码器结构及参数量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数值不变。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3.4第1段（回归头、19,041参数）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3.4第1段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3.4第2–3段＋式（17）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3.4，式（13）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保留/合并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原式（17）改为式（13），写法改为(λ/B)Σ[·]₊²，数学上等价。删去“也不足以将模型称为具有机理约束的退化模型”。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3.4第4段（训练设置）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3.4第4段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全部超参数保留；删去“训练耗时不代表目标控制器上的推理时延”（由4.6节计算开销分析回答）。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算法1（30步）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算法S1（22步）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合并相邻步骤、删去“end for”行；输入、划分和统计步骤保留。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3.5导语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3.5.1 消融与敏感性配置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配置定义和参数量全部保留。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3.5.2 传统回归器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3.5.2（网格移至 Note S3）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正文保留回归器清单和选参方式；超参数网格移至 Note S3，数值已核对一致。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3.5.3 Nowacki等[28]复现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设置保留，删去少量细节。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3.5.4 强主干残差学习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3.5.4（事后补充细节移至 Note S5）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正文只留一句事后补充说明。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3.5.5 Generalisation, robustness and deployment experiments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五类新实验的设置（见第四部分），并说明复现结果：原5折协议下 R0/A2/GBDT = 1.427/1.474/1.028 pp（原稿1.377/1.500/1.022 pp）。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表6 消融配置与对照模型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14行配置与训练次数不变。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3.6第1段＋式（18）（19）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3.6，式（14）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两式合为一个编号式，内容一致。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3.6第2段（MAE及次要指标、各图口径）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3.6第2段首句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只保留“MAE同样聚合，单位pp”。MAPE、R²不再报告；各图的口径说明写进对应图注。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3.6第3段（bootstrap、符号翻转、九个检验族）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3.6第2段后半（清单移至 Note S4）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正文保留方法和“九个预设检验族内Holm校正”；逐项清单移至 Note S4。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3.6第4段（内部比较限定）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重复限定语。</w:t>
            </w:r>
          </w:p>
        </w:tc>
      </w:tr>
    </w:tbl>
    <w:bookmarkEnd w:id="24"/>
    <w:bookmarkStart w:id="25" w:name="结果与讨论"/>
    <w:p>
      <w:pPr>
        <w:pStyle w:val="Heading3"/>
      </w:pPr>
      <w:r>
        <w:t xml:space="preserve">4 结果与讨论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第4章引言段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第4章开头一句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只说明RMSE/MAE按式（14）计算、95%折分层电芯bootstrap区间和improved cells的定义；导读和口径复述删除。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4.1 编码器组合及其依赖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第1段（R0最低）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4.1第1段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 1.377 pp（1.247–1.513），MAE 1.141；比MLP+CNN低0.131 pp，Holm p=0.003，降幅8.7%，51/64；次优ResNet+MLP 1.397；验证RMSE 1.310，五折名次8、1、1、1、3。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不声称显著优于所有候选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第2段＋式（20）（边际效应定义）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边际效应压缩为一句，公式和符号说明删除。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第3段（边际效应数值）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4.1第2段首句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只保留：FT-Transformer主干平均使误差增加0.147 pp（0.107–0.191），ResNet与MLP无差别；波形编码器平均效应很小（相对CNN为−0.041～−0.011 pp）。其余逐项数值和未校正p值删除。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第4段（排序取决于主干，8个差中差）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4.1第2段后半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PatchTST在MLP主干下最佳、在另两种主干下末位；8个差中差均为正（0.061–0.140、0.098–0.174 pp）。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第5段（平方和分解）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4.1第3段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84.4%/3.8%/11.8%；去掉FT-Transformer后0.1%/52.3%/47.6%。新增结论句：编码器应依据受控证据按组合选择，而非按结构复杂度[18,27]。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表7 15种组合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表4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15行保留，三位小数，R0行加粗。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图4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图3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重绘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按表4数值重绘，删去边际效应子图(c)，原(d)平方和分解改为(c)。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4.2 波形增量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第1段（R0−A2、R0−A1、A1−A2）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4.2第1段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R0−A2 −0.123 pp（−0.141～−0.103），Holm p&lt;0.001，58/64，d_z=−1.55；R0−A1 −0.117，Holm p=0.002，50/64；A1−A2 −0.006，p=0.91。结尾限定语改为“两种表征平均而言互补”。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表8 消融结果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五行保留，三位小数。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第2段（各波形补充的增量）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4.2第2段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0.123/0.092/0.089/0.063 pp（Holm p均&lt;0.001）；CNN +0.009（p=0.491）。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表9 各补充的增量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表6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数值不变（相对变化−8.2%至+0.6%）。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图5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图4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图片不变，图注压缩。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4.3 增量的分布与偏差纠正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第1段（分层增量）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4.3第1段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SOH&lt;80%降低0.413 pp（17.2%，62/64）；≥95%降低0.148（15.5%，61/64）；90–95%最小（0.027，36/64）；六工况0.085–0.139；313/384单元（81.5%）改善；29个电芯六工况全部改善；11组均为负。原结尾限定语改为正面表述：每个单脉冲工况都能获益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表10 分层结果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表S4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16行保留，三位小数。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第2段（分箱偏差、收缩偏差纠正）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4.3第2段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A2在SOH&lt;78%时高估3.25 pp，R0降至2.74；斜率0.848→0.882；总平方误差下降14.4%等全部保留。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低SOH高估仍存在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移至4.7节。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图6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图5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图片不变，图注压缩。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4.4 学习器依赖与参考方法对照</w:t>
      </w:r>
      <w:r>
        <w:t xml:space="preserve">（标题改为</w:t>
      </w:r>
      <w:r>
        <w:t xml:space="preserve"> </w:t>
      </w:r>
      <w:r>
        <w:rPr>
          <w:i/>
          <w:iCs/>
        </w:rPr>
        <w:t xml:space="preserve">Learner dependence and comparison with reference methods</w:t>
      </w:r>
      <w:r>
        <w:t xml:space="preserve">）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第1–2段（Nowacki复现；GBDT、RBF-SVR、信息来源对照）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4.4第1段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Nowacki复现1.628 pp，R0低0.251 pp（Holm p=0.019）；GBDT 1.022、RBF-SVR 1.026；只用τ约3 pp；不含τ的GBDT 1.663。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比R0低0.355/0.351 pp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从正文删去，数值保留在表7。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表11 代表性方法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表7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五行保留，三位小数。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第3段（GBDT主干上增量未获支持）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4.4第2段前半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(G+R0)−(G+A2) = −0.008 pp，36/64，Holm p=0.35。新增解释：波形分支可能恢复了神经网络主干没有充分利用、而树集成已能提取的信息。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第4段（限定性结论，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GBDT或RBF-SVR优于R0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4.4第2段末句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改为实用规则：用神经网络人工特征主干时（如需要端到端可导以施加导数约束）应加入波形补充；调优良好的树集成可以只用人工特征。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图7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图6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图片不变，图注压缩。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4.5 设计因素的贡献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4.5.1第1段（累计循环数）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4.5.1第1段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A3比A4低0.578 pp（0.421–0.731，Holm p&lt;0.001），52/64，去掉τ后误差增加约41%。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4.5.1第2段（单调软约束）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4.5.1第2段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R0比A3低0.028 pp（0.018–0.038），46/64；偏导为正的比例5.39%对5.61%，相邻RPT上升比例26.88%对27.03%。表述改为“惩罚是正则项，不是单调轨迹的保证”，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单调性指标基本不变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保留一句。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图8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图7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图片不变，图注压缩。</w:t>
            </w:r>
            <w:r>
              <w:rPr>
                <w:b/>
                <w:bCs/>
                <w:noProof/>
              </w:rPr>
              <w:t xml:space="preserve">注意新图8是另一张新增图，与原图8无关。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4.5.2三段（片段网格、三项适配、六种变体）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4.5.2一段（标题改为</w:t>
            </w:r>
            <w:r>
              <w:rPr>
                <w:noProof/>
              </w:rPr>
              <w:t xml:space="preserve"> </w:t>
            </w:r>
            <w:r>
              <w:rPr>
                <w:i/>
                <w:iCs/>
                <w:noProof/>
              </w:rPr>
              <w:t xml:space="preserve">Design of the waveform branch</w:t>
            </w:r>
            <w:r>
              <w:rPr>
                <w:noProof/>
              </w:rPr>
              <w:t xml:space="preserve">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P1/P2/P3 +0.072/+0.094/+0.055 pp；差中差−0.077；D1 +0.062（参数19,041→42,593）；D2 −0.020、D3 +0.007（Holm p均0.345，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无可检出差异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）；六种变体降低0.028–0.143 pp，40–57/64。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表12 片段参数与适配消融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表8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7行保留，三位小数。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图9 误差累积分布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图S1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图片不变。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4.5.3（K的选择）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4.5.3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K=10/20/30 +0.139/+0.122/+0.091 pp；K=75/100 补上原表13数值+0.037/+0.041 pp；K=144 −0.002 pp（Holm p=0.838），参数多31.6%。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表13 K敏感性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表S6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7行保留。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4.6 泛化、鲁棒性与部署（新增）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4.6节（含表9、图8）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复现一致性、留一工况组、循环数误差与噪声、脉冲数、归因、计算开销六段，结果见第四部分。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原4.6第4段（训练耗时355.3 s对284.1 s）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4.6</w:t>
            </w:r>
            <w:r>
              <w:rPr>
                <w:noProof/>
              </w:rPr>
              <w:t xml:space="preserve"> </w:t>
            </w:r>
            <w:r>
              <w:rPr>
                <w:i/>
                <w:iCs/>
                <w:noProof/>
              </w:rPr>
              <w:t xml:space="preserve">Computational cost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 xml:space="preserve">段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删除并替代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训练耗时对比删除，改为推理开销分析。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4.7 误差特征与适用范围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原4.6第1段（整体偏差）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4.7第1段前半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逐记录RMSE 1.461、MAE 1.089、平均偏差−0.093 pp；SOH&lt;80%的630条高估2.003，≥95%的5,682条低估0.574；GBDT +1.068/−0.130。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原4.6第2段（代表电芯12、6、44、3）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4.7第1段中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 0.526/0.961/1.519/3.568 pp，A2 0.704/1.066/1.723/3.624 pp。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原4.6第3段（11个工况组）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4.7第1段末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组RMSE 0.878–2.333 pp；第3、6组正偏差、第8组负偏差；相关系数0.59。各组偏差范围等细节删除。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图10、图11、图12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图S3、图S4、图S5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图片不变，图注压缩。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原4.7第1段（统计推断单位、Holm范围）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4.7第2段首半句；其余移至3.6节和 Note S4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只保留“以64个电芯为推断单位、基于固定划分”。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原4.7第2段（模型配置与训练预算的局限）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要点分散到4.4、4.5.1、4.7节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更强神经网络主干是否获益未检验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片段化不对应特定电化学机制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只覆盖2×2网格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等删除。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原4.7第3段（数据范围与后续工作）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4.7第2段＋新4.6节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未见工况、化学体系、噪声、BMS开销分别由新实验回应；NMC负面结果和噪声敏感性写入4.7节；温度现场数据和BMS硬件验证留作后续工作。</w:t>
            </w:r>
          </w:p>
        </w:tc>
      </w:tr>
    </w:tbl>
    <w:bookmarkEnd w:id="25"/>
    <w:bookmarkStart w:id="26" w:name="结论"/>
    <w:p>
      <w:pPr>
        <w:pStyle w:val="Heading3"/>
      </w:pPr>
      <w:r>
        <w:t xml:space="preserve">5 结论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开头句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开头句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删去单位说明括号。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结论（1）按组合评价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结论（1）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 1.377 pp，比MLP+CNN低8.7%；组合依赖占11.8%（去掉FT-Transformer后47.6%）。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仅比次优低0.020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移回4.1节。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结论（2）波形增量依赖主干学习器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结论（2）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主题句改为“波形补充能改善神经网络人工特征主干”：0.123 pp（8.2%），58/64，SOH&lt;80%增益最大（17.2%），部分纠正收缩偏差；GBDT主干已达1.022 pp，加入波形无可测增益。删去“GBDT/RBF-SVR均优于R0”。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结论（3）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留出工况（−0.035 pp）和1–2 mV匹配噪声（−0.045～−0.058 pp）下增量仍在；未见工况时神经网络+9%对GBDT +36%；循环数±10%时最多+3.5%对+14.4%。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结论（3）累计循环数＋结论（4）片段参数与K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结论（4）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去掉τ误差增加约41%；单调惩罚为“温和正则项”（−0.028 pp）；(9,4)最优；均值池化头比展平头低0.062 pp、参数少55%；K=50兼顾精度与规模。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结论（5）低SOH高估未消除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部分纠正并入结论（2），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未消除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写入4.7节。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结论（5）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19,041个参数（74 kB）、0.42 MFLOPs、单核推理不到1 ms；归因分布于整个瞬态；3个充电脉冲与六脉冲相差不超过0.005 pp。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结尾句（内部比较，后续独立检验）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剩余未来工作移至4.7节末句。</w:t>
            </w:r>
          </w:p>
        </w:tc>
      </w:tr>
    </w:tbl>
    <w:bookmarkEnd w:id="26"/>
    <w:bookmarkStart w:id="27" w:name="数据与代码说明声明参考文献附录"/>
    <w:p>
      <w:pPr>
        <w:pStyle w:val="Heading3"/>
      </w:pPr>
      <w:r>
        <w:t xml:space="preserve">数据与代码说明、声明、参考文献、附录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数据与代码说明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Data availability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数据来源扩展为LFP与NMC两个数据集[28,31]；代码仓库仍为占位。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CRediT authorship contribution statement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模板占位，需作者修改。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Declaration of competing interest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标准的无利益冲突声明。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无（基金在首页脚注）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Acknowledgements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基金名称与编号为占位。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Appendix A. Supplementary data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说明补充材料（Notes S1–S6、Tables S1–S7、Figs. S1–S5、Algorithm S1）另附文件。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参考文献著录（GB/T 7714）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References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改为Elsevier数字顺序制：期刊名缩写、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年;卷:页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、DOI链接、删去[J][C]等标识；作者不超过6人的条目补全了全部作者。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参考文献[1]–[49]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[1]–[49]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内容、顺序、编号不变，均仍被引用。[38]–[41]改在3.2/3.3节引用；[18,27]移至4.1节；[19]新增用于计算开销；[31]新增用于NMC数据集；[16]新增用于“充电时施加脉冲”。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[50] Sundararajan等，积分梯度（ICML 2017）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文献由49条增至50条。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附录A（A.1–A.3，式A1–A14）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补充 Note S1（式S1–S16）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小节标题改为段首粗体小标题；式（A2）（A9）各拆为两式，其余公式和说明（如样本熵“仅统计i&lt;j的配对”）与原稿一致。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A.3 瞬态边界量＋式（A14）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Note S1“Transient-boundary features”，式（S16）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公式一致；与原稿相同，只列出6项电压差并注明“共15项”，响应时间阈值α∈{0.10, 0.50, 0.90}。</w:t>
            </w:r>
          </w:p>
        </w:tc>
      </w:tr>
    </w:tbl>
    <w:bookmarkEnd w:id="27"/>
    <w:bookmarkEnd w:id="28"/>
    <w:bookmarkStart w:id="31" w:name="三图表编号对照"/>
    <w:p>
      <w:pPr>
        <w:pStyle w:val="Heading2"/>
      </w:pPr>
      <w:r>
        <w:t xml:space="preserve">三、图表编号对照</w:t>
      </w:r>
    </w:p>
    <w:bookmarkStart w:id="29" w:name="图"/>
    <w:p>
      <w:pPr>
        <w:pStyle w:val="Heading3"/>
      </w:pPr>
      <w:r>
        <w:t xml:space="preserve">图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2059"/>
        <w:gridCol w:w="1425"/>
        <w:gridCol w:w="950"/>
        <w:gridCol w:w="3484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原图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新图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 脉冲协议与电压响应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图1（a–c）；脉冲示意并入图2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重绘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(b)(c)改为按SOH分组的50% SOC响应。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图2 64个电芯三维SOH轨迹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图1d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改为二维图，按DOD着色。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图3 双分支框架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加入原图1的脉冲示意；需作者提供高分辨率版本。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图4 编码器矩阵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重绘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删去边际效应子图(c)，原(d)改为(c)。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图4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只改编号，图注压缩。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图6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同上。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图7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图6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同上。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图8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图7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同上。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图9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图S1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图10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图S3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图S4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图S5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补充图S1（原稿只有引用，没有图片）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图S2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按原表13数值新绘的K敏感性图。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图8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(a)留一工况组；(b)循环数偏差与匹配噪声；(c)误差随脉冲数的变化；(d)积分梯度归因。</w:t>
            </w:r>
          </w:p>
        </w:tc>
      </w:tr>
    </w:tbl>
    <w:bookmarkEnd w:id="29"/>
    <w:bookmarkStart w:id="30" w:name="表"/>
    <w:p>
      <w:pPr>
        <w:pStyle w:val="Heading3"/>
      </w:pPr>
      <w:r>
        <w:t xml:space="preserve">表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2059"/>
        <w:gridCol w:w="1425"/>
        <w:gridCol w:w="950"/>
        <w:gridCol w:w="3484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原表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新表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 老化协议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内容不变。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表2 数据、输入与实验设计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并入原表4要点（Excluded inputs）。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表3 人工特征候选族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表4 两分支输入信息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要点同时并入表1。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表5 编码器结构与参数量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表6 消融配置与对照模型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表7 15种组合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表4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三位小数。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表8 消融结果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表9 各补充的增量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表6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表10 分层结果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表S4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表11 代表性方法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表7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表12 片段参数与适配消融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表8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表13 K敏感性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表S6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补充表S1（原稿只有引用，未附表格）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分 Reported / Re-implemented 两栏；部分原值缺失，标为 n.r.。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补充分析S1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补充 Note S5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算法1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算法S1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30步压缩为22步。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表9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复现中的泛化与鲁棒性结果。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表S7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复现实验全部结果（含NMC和只在测试集加噪声）。</w:t>
            </w:r>
          </w:p>
        </w:tc>
      </w:tr>
    </w:tbl>
    <w:bookmarkEnd w:id="30"/>
    <w:bookmarkEnd w:id="31"/>
    <w:bookmarkStart w:id="32" w:name="四新增实验与主要结果"/>
    <w:p>
      <w:pPr>
        <w:pStyle w:val="Heading2"/>
      </w:pPr>
      <w:r>
        <w:t xml:space="preserve">四、新增实验与主要结果</w:t>
      </w:r>
    </w:p>
    <w:p>
      <w:pPr>
        <w:pStyle w:val="FirstParagraph"/>
      </w:pPr>
      <w:r>
        <w:t xml:space="preserve">以下实验全部由独立的CPU复现程序完成，比较都在复现结果内部进行。复现的数据清洗与原稿完全一致（17,130→16,938条记录，2,855→2,823组）。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29"/>
        <w:gridCol w:w="1980"/>
        <w:gridCol w:w="3326"/>
        <w:gridCol w:w="1584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实验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设置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主要结果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在稿件中的位置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原5折协议复现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同一清洗流程、5折电芯互斥、种子42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R0/A2/GBDT = 1.427/1.474/1.028 pp（原稿1.377/1.500/1.022）；R0−A2 = −0.046 pp（−0.070～−0.023），p&lt;0.001，42/64；最好/最差电芯仍为12和3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3.5.5节、4.6节首段、表9、Note S6、表S7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留一循环工况组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11组依次整组留出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 1.560（+9.3%），A2 1.594（+8.2%），GBDT 1.401（+36.2%）；GBDT优势由0.40缩至0.16 pp；第3组上R0比GBDT准0.59 pp；R0−A2 = −0.035 pp（−0.053～−0.015），p=0.008，39/64；11组中7组更低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4.6节、表9、图8a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循环数±10%误差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只在测试集偏置，模型不变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 1.449/1.477（+1.5%～3.5%），A2 1.497/1.518，GBDT 1.117/1.176（+8.6%～14.4%）；R0−A2 = −0.048（43/64）/−0.041 pp（39/64），p≤0.002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4.6节、表9、图8b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匹配传感器噪声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训练和测试都加 σ_noise = 1/2 mV 高斯噪声，模型重训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 1.620/1.715（+13.5%/+20.2%），A2 1.678/1.760，GBDT 1.372/1.424（+33.5%/+38.5%）；R0−A2 = −0.058（50/64）/−0.045 pp（46/64），p≤0.002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4.6节、表9、图8b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只在测试集加噪声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干净数据训练，测试电压加0.5 mV噪声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 4.374、A2 4.595、GBDT 1.485 pp，明显变差；结论是训练数据应来自目标传感器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4.7节一句、Note S6、表S7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每个RPT的脉冲数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平均1–6个脉冲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单脉冲1.549（1.490–1.582），2个1.477，3个1.453，6个1.427；各脉冲数下R0均低于A2；3个充电脉冲1.432，与全协议相差0.005 pp以内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4.6节、表9、图8c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积分梯度归因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对R0波形输入计算积分梯度[50]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C/5、1C、静置段单点平均|IG|为0.0132/0.0138/0.0135 pp，归因分布在整个瞬态上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4.6节、图8d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计算开销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参数量、FLOPs、单线程CPU时延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19,041个参数（74 kB），每脉冲0.42 MFLOPs（A2 13.7 kFLOPs）；推理0.52 ms；143项特征计算6.5 ms；GBDT为1,000棵树、61,000个节点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4.6节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独立NMC/石墨数据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44个电芯；原数据有9个名义SOC，只取与LFP相同的20%、50%、90%，得8,016条记录、1,336组、SOH 41.2%–100%；跳变/极差阈值放宽至0.3/0.8 V，未剔除记录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 2.030、A2 2.026、A1 2.317、GBDT 0.935 pp；R0−A2 = +0.004 pp（p=0.90，21/44），</w:t>
            </w:r>
            <w:r>
              <w:rPr>
                <w:b/>
                <w:bCs/>
                <w:noProof/>
              </w:rPr>
              <w:t xml:space="preserve">没有波形增量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4.7节一句、Note S6、表S7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传统基线重跑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Ridge、SVR、信息来源对照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Ridge 1.879、SVR 1.007；只用τ的Ridge/RF/GBDT为3.083/3.095/2.881；不含τ的Ridge 2.593、GBDT 1.698；全输入的随机森林和GPR、不含τ的随机森林未复现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表S5、Note S6</w:t>
            </w:r>
          </w:p>
        </w:tc>
      </w:tr>
    </w:tbl>
    <w:bookmarkEnd w:id="32"/>
    <w:bookmarkStart w:id="33" w:name="五删减或弱化的内容"/>
    <w:p>
      <w:pPr>
        <w:pStyle w:val="Heading2"/>
      </w:pPr>
      <w:r>
        <w:t xml:space="preserve">五、删减或弱化的内容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重复的限定语</w:t>
      </w:r>
      <w:r>
        <w:t xml:space="preserve">：各处“内部比较/不能替代独立验证”</w:t>
      </w:r>
      <w:r>
        <w:t xml:space="preserve">“</w:t>
      </w:r>
      <w:r>
        <w:t xml:space="preserve">验证排名一致不构成独立验证</w:t>
      </w:r>
      <w:r>
        <w:t xml:space="preserve">”</w:t>
      </w:r>
      <w:r>
        <w:t xml:space="preserve">“</w:t>
      </w:r>
      <w:r>
        <w:t xml:space="preserve">不能外推为……</w:t>
      </w:r>
      <w:r>
        <w:t xml:space="preserve">”</w:t>
      </w:r>
      <w:r>
        <w:t xml:space="preserve">“</w:t>
      </w:r>
      <w:r>
        <w:t xml:space="preserve">不证明真实效应为零</w:t>
      </w:r>
      <w:r>
        <w:t xml:space="preserve">”</w:t>
      </w:r>
      <w:r>
        <w:t xml:space="preserve">等告诫句删除，只在4.7节末段保留一次局限说明。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编码器边际效应</w:t>
      </w:r>
      <w:r>
        <w:t xml:space="preserve">：式（20）及其符号说明删除；ResNet效应与区间、四种补充编码器的逐项数值、TCN区间和所有未校正p值删除，压缩为4.1节的一句话；图4的边际效应子图删除。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训练耗时对比</w:t>
      </w:r>
      <w:r>
        <w:t xml:space="preserve">：R0与MLP+CNN的训练耗时355.3 s对284.1 s、平均轮数36.0对32.6、参数少2.46%等删除，改为4.6节的推理开销分析。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引言</w:t>
      </w:r>
      <w:r>
        <w:t xml:space="preserve">：不再预告结果；作者姓名改为引用编号；第7段由约10句压缩为2句；末句局限删除。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GBDT/RBF-SVR优于R0</w:t>
      </w:r>
      <w:r>
        <w:rPr>
          <w:b/>
          <w:bCs/>
        </w:rPr>
        <w:t xml:space="preserve">”</w:t>
      </w:r>
      <w:r>
        <w:t xml:space="preserve">：不再单独成句，也不再出现在摘要、Highlights和结论中；数值保留在表7和结论（2）（GBDT 1.022 pp）中，表述改为“学习器依赖”。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单调约束</w:t>
      </w:r>
      <w:r>
        <w:t xml:space="preserve">：</w:t>
      </w:r>
      <w:r>
        <w:t xml:space="preserve">“</w:t>
      </w:r>
      <w:r>
        <w:t xml:space="preserve">未改善单调性指标</w:t>
      </w:r>
      <w:r>
        <w:t xml:space="preserve">”</w:t>
      </w:r>
      <w:r>
        <w:t xml:space="preserve">从摘要和结论中删除，只在4.5.1节保留一句；</w:t>
      </w:r>
      <w:r>
        <w:t xml:space="preserve">“</w:t>
      </w:r>
      <w:r>
        <w:t xml:space="preserve">不应解释为机理约束的退化模型</w:t>
      </w:r>
      <w:r>
        <w:t xml:space="preserve">”</w:t>
      </w:r>
      <w:r>
        <w:t xml:space="preserve">删除。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低SOH高估</w:t>
      </w:r>
      <w:r>
        <w:t xml:space="preserve">：不再作为单独结论（原结论5），只在4.3节给出数值、在4.7节写一句“减轻但未消除”。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原4.7节局限</w:t>
      </w:r>
      <w:r>
        <w:t xml:space="preserve">：</w:t>
      </w:r>
      <w:r>
        <w:t xml:space="preserve">“</w:t>
      </w:r>
      <w:r>
        <w:t xml:space="preserve">更强神经网络主干是否获益尚未检验</w:t>
      </w:r>
      <w:r>
        <w:t xml:space="preserve">”</w:t>
      </w:r>
      <w:r>
        <w:t xml:space="preserve">“</w:t>
      </w:r>
      <w:r>
        <w:t xml:space="preserve">片段化不对应特定电化学机制</w:t>
      </w:r>
      <w:r>
        <w:t xml:space="preserve">”</w:t>
      </w:r>
      <w:r>
        <w:t xml:space="preserve">“</w:t>
      </w:r>
      <w:r>
        <w:t xml:space="preserve">只覆盖2×2网格和三项改动</w:t>
      </w:r>
      <w:r>
        <w:t xml:space="preserve">”</w:t>
      </w:r>
      <w:r>
        <w:t xml:space="preserve">“</w:t>
      </w:r>
      <w:r>
        <w:t xml:space="preserve">采样缺失</w:t>
      </w:r>
      <w:r>
        <w:t xml:space="preserve">”</w:t>
      </w:r>
      <w:r>
        <w:t xml:space="preserve">“</w:t>
      </w:r>
      <w:r>
        <w:t xml:space="preserve">时间外推</w:t>
      </w:r>
      <w:r>
        <w:t xml:space="preserve">”</w:t>
      </w:r>
      <w:r>
        <w:t xml:space="preserve">“</w:t>
      </w:r>
      <w:r>
        <w:t xml:space="preserve">缺少同步温度与完整电流序列</w:t>
      </w:r>
      <w:r>
        <w:t xml:space="preserve">”</w:t>
      </w:r>
      <w:r>
        <w:t xml:space="preserve">等删除。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次要指标与口径说明</w:t>
      </w:r>
      <w:r>
        <w:t xml:space="preserve">：MAPE、R²不再报告；各图聚合口径的长说明删除或移入图注；路线图式导语（第2、3、4节，3.5节）删除。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工况组细节</w:t>
      </w:r>
      <w:r>
        <w:t xml:space="preserve">：最低/最高组、各组偏差范围、第1组均值及去掉电芯3后的数值等删除。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中文期刊元素</w:t>
      </w:r>
      <w:r>
        <w:t xml:space="preserve">：中文题名、中文摘要、中文关键词、中图分类号与文献标志码、首页脚注（收稿日期、基金项目、作者简介）删除；双语图表题改为单一英文；GB/T 7714 著录改为Elsevier格式。</w:t>
      </w:r>
    </w:p>
    <w:bookmarkEnd w:id="33"/>
    <w:bookmarkStart w:id="34" w:name="六需要作者补充或确认的事项"/>
    <w:p>
      <w:pPr>
        <w:pStyle w:val="Heading2"/>
      </w:pPr>
      <w:r>
        <w:t xml:space="preserve">六、需要作者补充或确认的事项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作者信息</w:t>
      </w:r>
      <w:r>
        <w:t xml:space="preserve">：正文和补充材料首页的作者姓名、单位、通讯作者邮箱均为占位符（[First Author]、[Department, Institution, City Postcode, Country]、E-mail address: [ ]），两处需同步填写。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声明部分</w:t>
      </w:r>
      <w:r>
        <w:t xml:space="preserve">：CRediT 作者贡献为模板，请填真实姓名并核对分工；确认 Declaration of competing interest 属实；在 Acknowledgements 中填写基金名称与编号；在 Data availability 中填写代码和衍生数据的仓库、版本与访问方式。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新增实验来自复现程序</w:t>
      </w:r>
      <w:r>
        <w:t xml:space="preserve">：第3.5.5、4.6节、表9、图8、Highlights ④⑤、摘要、结论（3）（5）、Note S6、表S7的结果都来自独立的CPU复现，不是作者原来的GPU代码。复现得到的波形增量为−0.046 pp、42/64，约为原文（−0.123 pp、58/64）的37%，可能原因是各折包含的电芯不同或特征细节不同。复现与原代码的以下差异已在 Note S6 披露：第0折入选特征的族构成不同；五折共同入选/并集为44/57项（原稿47/54项）；瞬态边界量中原稿未列出的9项电压差按复现代码自定，响应时间阈值取0.5、0.632、0.9（原稿0.10、0.50、0.90）；位置嵌入按U(−0.02, 0.02)初始化（原稿和补充 Note S2 均为N(0, 0.02²)）。请决定是用原代码在原划分下重跑这些实验，还是保留现在“组内比较、明确披露”的写法。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补充表S5缺失值</w:t>
      </w:r>
      <w:r>
        <w:t xml:space="preserve">：Reported 栏有5个 n.r. 单元格（Ridge、随机森林、GPR 的“特征+τ”，以及 Ridge、随机森林的“不含τ”）和3个“≈3”（只用τ的 Ridge、RF、GBDT），原稿中没有这些数值。请从原始结果文件补填，并删去表注中“n.r., not given in the source draft”。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图2分辨率</w:t>
      </w:r>
      <w:r>
        <w:t xml:space="preserve">：框架图当前为2000×1371像素，按6.5英寸宽约308 dpi，低于Elsevier对组合图500–1000 dpi的要求，请提供矢量图或更高分辨率原图。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题名与关键词</w:t>
      </w:r>
      <w:r>
        <w:t xml:space="preserve">：请确认新题名（新增 rapid 和副标题“a controlled comparison of encoder pairings”）以及新的6个关键词。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学习器依赖的表述</w:t>
      </w:r>
      <w:r>
        <w:t xml:space="preserve">：摘要、Highlights 和结论都不再提“GBDT优于R0”，改为4.4节的“学习器依赖”实用规则（数值仍在表7）。请确认是否接受。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单调约束的表述</w:t>
      </w:r>
      <w:r>
        <w:t xml:space="preserve">：改为“正则项，不是单调轨迹的保证”；</w:t>
      </w:r>
      <w:r>
        <w:t xml:space="preserve">“</w:t>
      </w:r>
      <w:r>
        <w:t xml:space="preserve">单调性违反比例未下降</w:t>
      </w:r>
      <w:r>
        <w:t xml:space="preserve">”</w:t>
      </w:r>
      <w:r>
        <w:t xml:space="preserve">只在4.5.1节保留一句，摘要和结论中已删除。请确认。</w:t>
      </w:r>
    </w:p>
    <w:p>
      <w:pPr>
        <w:pStyle w:val="FirstParagraph"/>
      </w:pPr>
      <w:r>
        <w:rPr>
          <w:b/>
          <w:bCs/>
        </w:rPr>
        <w:t xml:space="preserve">核对中已直接修正的问题</w:t>
      </w:r>
      <w:r>
        <w:t xml:space="preserve">（无需作者处理）：① 添加电压噪声的标准差改记为 σ_noise，与式（9）中累计循环数的标准差 σ_n 区分；② 补充说明S1的瞬态边界量恢复原稿写法（列出6项、</w:t>
      </w:r>
      <w:r>
        <w:t xml:space="preserve">“</w:t>
      </w:r>
      <w:r>
        <w:t xml:space="preserve">共15项</w:t>
      </w:r>
      <w:r>
        <w:t xml:space="preserve">”</w:t>
      </w:r>
      <w:r>
        <w:t xml:space="preserve">，α∈{0.10, 0.50, 0.90}）；③ 样本熵恢复“仅统计i&lt;j的配对”；④ 引言[13]恢复“在特定测试条件下”的限定；⑤ Note S6 中“传统基线与原值一致”改为只比较有报告值的模型（RBF-SVR 1.007对1.026、不含τ的GBDT 1.698对1.663、只用τ的模型约3 pp），并注明不含τ的随机森林未复现；⑥ 2.1节“(Fig. 1b,c)”引用经核对合适，予以保留。</w:t>
      </w:r>
    </w:p>
    <w:bookmarkEnd w:id="34"/>
    <w:bookmarkStart w:id="35" w:name="七本轮更新nmc结果仅中文版"/>
    <w:p>
      <w:pPr>
        <w:pStyle w:val="Heading2"/>
      </w:pPr>
      <w:r>
        <w:t xml:space="preserve">七、本轮更新：NMC结果（仅中文版）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NMC结果改用原实现</w:t>
      </w:r>
      <w:r>
        <w:t xml:space="preserve">：作者原代码在NMC/石墨数据上得到R0 1.968、A2 2.132、A1 2.468、GBDT 0.965个百分点，R0 − A2 = −0.163个百分点（Holm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0.0004，39/44，降低7.6%）。原4.7节“NMC上未观察到波形增量”一句删除；摘要、贡献（3）、结论（3）改为“波形增量在独立NMC/石墨数据集上得到重复”；4.6节新增“独立化学体系”一段。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新增论证“波形分支补充的信息”</w:t>
      </w:r>
      <w:r>
        <w:t xml:space="preserve">（4.6节）：NMC脉冲前电压随SOH变化（|ρ|平均0.93，LFP为0.36）；波形分支只看首点作差电压，补充的是动态响应。复现实现中主干含绝对电压水平特征时增量消失，移除后恢复为−0.158个百分点，与原实现一致。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补充材料</w:t>
      </w:r>
      <w:r>
        <w:t xml:space="preserve">：补充说明S6的NMC段改写，并新增“复现实现与原实现的差异”一段；补充表S7加入原实现行与“主干不含绝对电压水平特征”行，表题改为“补充实验结果”。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待补</w:t>
      </w:r>
      <w:r>
        <w:t xml:space="preserve">：原实现R0 − A2的95%置信区间（补充表S7中标为“待补”）；英文版尚未同步修改。</w:t>
      </w:r>
    </w:p>
    <w:bookmarkEnd w:id="35"/>
    <w:bookmarkStart w:id="36" w:name="八本轮更新删除树模型与传统回归器对照中文版英文模板版"/>
    <w:p>
      <w:pPr>
        <w:pStyle w:val="Heading2"/>
      </w:pPr>
      <w:r>
        <w:t xml:space="preserve">八、本轮更新：删除树模型与传统回归器对照（中文版、英文模板版）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正文</w:t>
      </w:r>
      <w:r>
        <w:t xml:space="preserve">：删除3.5.2节（传统回归器与信息来源对照）和3.5.4节（GBDT主干上的波形增量），原3.5.3、3.5.5节改为3.5.2、3.5.3节；4.4节改为“与已有脉冲模型的比较”，表7只保留R0、A2和Nowacki等复现模型；删除原图6（学习器依赖），原图7、图8改为图6、图7，图7（泛化与稳健性）去掉GBDT后重绘；表9删去GBDT列；4.6、4.7节和结论中所有与GBDT的比较删除；术语表删去GBDT、GPR、RBF-SVR；检验族由9个改为7个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补充材料</w:t>
      </w:r>
      <w:r>
        <w:t xml:space="preserve">：删除原补充说明S3（超参数网格）、S5（GBDT主干），原S4、S6改为S3、S4；删除原补充表S5（传统回归器），原S6、S7改为S5、S6，并删去GBDT列；补充表S3删去传统回归器、信息来源对照和强主干行（神经网络训练次数改为465次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待处理</w:t>
      </w:r>
      <w:r>
        <w:t xml:space="preserve">：补充图S3为原稿图10，图中含GBDT曲线，需用原始数据重画（已列入本地任务说明第五项）。</w:t>
      </w:r>
    </w:p>
    <w:bookmarkEnd w:id="36"/>
    <w:sectPr>
      <w:footerReference w:type="default" r:id="rId9"/>
      <w:pgSz w:w="11906" w:h="16838"/>
      <w:pgMar w:left="1304" w:right="1304" w:top="1361" w:bottom="1247" w:header="680" w:footer="62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 w:lineRule="auto" w:line="324"/>
      <w:ind w:firstLine="442"/>
      <w:jc w:val="both"/>
    </w:pPr>
    <w:rPr>
      <w:rFonts w:ascii="Times New Roman" w:hAnsi="Times New Roman" w:cs="Times New Roman" w:eastAsia="宋体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0" w:before="0" w:lineRule="auto" w:line="324"/>
      <w:ind w:firstLine="442"/>
      <w:jc w:val="both"/>
    </w:pPr>
    <w:rPr>
      <w:rFonts w:ascii="Times New Roman" w:hAnsi="Times New Roman" w:cs="Times New Roman" w:eastAsia="宋体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0" w:lineRule="auto" w:line="324"/>
      <w:ind w:firstLine="442"/>
      <w:jc w:val="both"/>
    </w:pPr>
    <w:rPr>
      <w:rFonts w:ascii="Times New Roman" w:hAnsi="Times New Roman" w:cs="Times New Roman" w:eastAsia="宋体"/>
      <w:color w:val="000000"/>
      <w:sz w:val="22"/>
    </w:rPr>
  </w:style>
  <w:style w:customStyle="1" w:styleId="Compact" w:type="paragraph">
    <w:name w:val="Compact"/>
    <w:basedOn w:val="BodyText"/>
    <w:qFormat/>
    <w:pPr>
      <w:spacing w:after="0" w:before="0" w:lineRule="auto" w:line="240"/>
      <w:ind w:firstLine="0"/>
      <w:jc w:val="left"/>
    </w:pPr>
    <w:rPr>
      <w:rFonts w:ascii="Times New Roman" w:hAnsi="Times New Roman" w:cs="Times New Roman" w:eastAsia="宋体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00" w:before="0" w:lineRule="auto" w:line="264"/>
      <w:ind w:firstLine="0"/>
      <w:jc w:val="center"/>
    </w:pPr>
    <w:rPr>
      <w:rFonts w:ascii="Times New Roman" w:hAnsi="Times New Roman" w:cs="Times New Roman" w:eastAsia="黑体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before="0" w:after="80" w:lineRule="auto" w:line="264"/>
      <w:ind w:firstLine="0"/>
      <w:jc w:val="center"/>
    </w:pPr>
    <w:rPr>
      <w:rFonts w:ascii="Times New Roman" w:hAnsi="Times New Roman" w:cs="Times New Roman" w:eastAsia="宋体"/>
      <w:b w:val="0"/>
      <w:i w:val="0"/>
      <w:color w:val="000000"/>
      <w:sz w:val="23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80" w:before="0" w:lineRule="auto" w:line="314"/>
      <w:ind w:firstLine="0"/>
      <w:jc w:val="both"/>
    </w:pPr>
    <w:rPr>
      <w:rFonts w:ascii="Times New Roman" w:hAnsi="Times New Roman" w:cs="Times New Roman" w:eastAsia="宋体"/>
      <w:b w:val="0"/>
      <w:i w:val="0"/>
      <w:color w:val="000000"/>
      <w:sz w:val="21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200" w:after="60" w:lineRule="auto" w:line="264"/>
      <w:ind w:firstLine="0"/>
      <w:jc w:val="left"/>
    </w:pPr>
    <w:rPr>
      <w:rFonts w:ascii="Times New Roman" w:hAnsi="Times New Roman" w:cs="Times New Roman" w:eastAsia="宋体"/>
      <w:b w:val="0"/>
      <w:i w:val="0"/>
      <w:color w:val="000000"/>
      <w:sz w:val="19"/>
    </w:rPr>
  </w:style>
  <w:style w:customStyle="1" w:styleId="ImageCaption" w:type="paragraph">
    <w:name w:val="Image Caption"/>
    <w:basedOn w:val="Caption"/>
    <w:pPr>
      <w:spacing w:before="60" w:after="200" w:lineRule="auto" w:line="264"/>
      <w:ind w:firstLine="0"/>
      <w:jc w:val="both"/>
    </w:pPr>
    <w:rPr>
      <w:rFonts w:ascii="Times New Roman" w:hAnsi="Times New Roman" w:cs="Times New Roman" w:eastAsia="宋体"/>
      <w:b w:val="0"/>
      <w:i w:val="0"/>
      <w:color w:val="000000"/>
      <w:sz w:val="19"/>
    </w:rPr>
  </w:style>
  <w:style w:customStyle="1" w:styleId="Figure" w:type="paragraph">
    <w:name w:val="Figure"/>
    <w:basedOn w:val="Normal"/>
    <w:pPr>
      <w:keepNext/>
      <w:spacing w:before="160" w:after="0" w:lineRule="auto" w:line="240"/>
      <w:ind w:firstLine="0"/>
      <w:jc w:val="center"/>
    </w:pPr>
  </w:style>
  <w:style w:customStyle="1" w:styleId="CaptionedFigure" w:type="paragraph">
    <w:name w:val="Captioned Figure"/>
    <w:basedOn w:val="Figure"/>
    <w:pPr>
      <w:keepNext/>
      <w:spacing w:before="160" w:after="0" w:lineRule="auto" w:line="240"/>
      <w:ind w:firstLine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Affiliation">
    <w:name w:val="Affiliation"/>
    <w:basedOn w:val="Normal"/>
    <w:pPr>
      <w:spacing w:before="0" w:after="40" w:lineRule="auto" w:line="264"/>
      <w:ind w:firstLine="0"/>
      <w:jc w:val="center"/>
    </w:pPr>
    <w:rPr>
      <w:rFonts w:ascii="Times New Roman" w:hAnsi="Times New Roman" w:cs="Times New Roman" w:eastAsia="宋体"/>
      <w:b w:val="0"/>
      <w:i w:val="0"/>
      <w:color w:val="000000"/>
      <w:sz w:val="19"/>
    </w:rPr>
  </w:style>
  <w:style w:type="paragraph" w:customStyle="1" w:styleId="FrontHeading">
    <w:name w:val="Front Heading"/>
    <w:basedOn w:val="Normal"/>
    <w:pPr>
      <w:keepNext/>
      <w:spacing w:before="240" w:after="80" w:lineRule="auto" w:line="264"/>
      <w:ind w:firstLine="0"/>
      <w:jc w:val="left"/>
    </w:pPr>
    <w:rPr>
      <w:rFonts w:ascii="Times New Roman" w:hAnsi="Times New Roman" w:cs="Times New Roman" w:eastAsia="黑体"/>
      <w:b/>
      <w:i w:val="0"/>
      <w:color w:val="000000"/>
      <w:sz w:val="22"/>
    </w:rPr>
  </w:style>
  <w:style w:type="paragraph" w:customStyle="1" w:styleId="Highlight">
    <w:name w:val="Highlight"/>
    <w:basedOn w:val="Normal"/>
    <w:pPr>
      <w:spacing w:before="0" w:after="40" w:lineRule="auto" w:line="276"/>
      <w:ind w:left="283" w:hanging="227"/>
      <w:jc w:val="left"/>
    </w:pPr>
    <w:rPr>
      <w:rFonts w:ascii="Times New Roman" w:hAnsi="Times New Roman" w:cs="Times New Roman" w:eastAsia="宋体"/>
      <w:b w:val="0"/>
      <w:i w:val="0"/>
      <w:color w:val="000000"/>
      <w:sz w:val="21"/>
    </w:rPr>
  </w:style>
  <w:style w:type="paragraph" w:customStyle="1" w:styleId="Keywords">
    <w:name w:val="Keywords"/>
    <w:basedOn w:val="Normal"/>
    <w:pPr>
      <w:spacing w:before="40" w:after="120" w:lineRule="auto" w:line="276"/>
      <w:ind w:firstLine="0"/>
      <w:jc w:val="both"/>
    </w:pPr>
    <w:rPr>
      <w:rFonts w:ascii="Times New Roman" w:hAnsi="Times New Roman" w:cs="Times New Roman" w:eastAsia="宋体"/>
      <w:b w:val="0"/>
      <w:i w:val="0"/>
      <w:color w:val="000000"/>
      <w:sz w:val="21"/>
    </w:rPr>
  </w:style>
  <w:style w:type="paragraph" w:customStyle="1" w:styleId="ContentsEntry">
    <w:name w:val="Contents Entry"/>
    <w:basedOn w:val="Normal"/>
    <w:pPr>
      <w:spacing w:before="0" w:after="40" w:lineRule="auto" w:line="276"/>
      <w:ind w:firstLine="0"/>
      <w:jc w:val="left"/>
    </w:pPr>
    <w:rPr>
      <w:rFonts w:ascii="Times New Roman" w:hAnsi="Times New Roman" w:cs="Times New Roman" w:eastAsia="宋体"/>
      <w:b w:val="0"/>
      <w:i w:val="0"/>
      <w:color w:val="000000"/>
      <w:sz w:val="22"/>
    </w:rPr>
  </w:style>
  <w:style w:type="paragraph" w:customStyle="1" w:styleId="Heading1">
    <w:name w:val="heading 1"/>
    <w:basedOn w:val="Normal"/>
    <w:pPr>
      <w:keepNext/>
      <w:spacing w:before="280" w:after="120" w:lineRule="auto" w:line="264"/>
      <w:ind w:firstLine="0"/>
      <w:jc w:val="left"/>
    </w:pPr>
    <w:rPr>
      <w:rFonts w:ascii="Times New Roman" w:hAnsi="Times New Roman" w:cs="Times New Roman" w:eastAsia="黑体"/>
      <w:b/>
      <w:i w:val="0"/>
      <w:color w:val="000000"/>
      <w:sz w:val="24"/>
    </w:rPr>
  </w:style>
  <w:style w:type="paragraph" w:customStyle="1" w:styleId="Heading2">
    <w:name w:val="heading 2"/>
    <w:basedOn w:val="Normal"/>
    <w:pPr>
      <w:keepNext/>
      <w:spacing w:before="200" w:after="80" w:lineRule="auto" w:line="264"/>
      <w:ind w:firstLine="0"/>
      <w:jc w:val="left"/>
    </w:pPr>
    <w:rPr>
      <w:rFonts w:ascii="Times New Roman" w:hAnsi="Times New Roman" w:cs="Times New Roman" w:eastAsia="黑体"/>
      <w:b/>
      <w:i w:val="0"/>
      <w:color w:val="000000"/>
      <w:sz w:val="22"/>
    </w:rPr>
  </w:style>
  <w:style w:type="paragraph" w:customStyle="1" w:styleId="Heading3">
    <w:name w:val="heading 3"/>
    <w:basedOn w:val="Normal"/>
    <w:pPr>
      <w:keepNext/>
      <w:spacing w:before="160" w:after="60" w:lineRule="auto" w:line="264"/>
      <w:ind w:firstLine="0"/>
      <w:jc w:val="left"/>
    </w:pPr>
    <w:rPr>
      <w:rFonts w:ascii="Times New Roman" w:hAnsi="Times New Roman" w:cs="Times New Roman" w:eastAsia="黑体"/>
      <w:b w:val="0"/>
      <w:i w:val="0"/>
      <w:color w:val="000000"/>
      <w:sz w:val="22"/>
    </w:rPr>
  </w:style>
  <w:style w:type="paragraph" w:customStyle="1" w:styleId="TableNote">
    <w:name w:val="Table Note"/>
    <w:basedOn w:val="Normal"/>
    <w:pPr>
      <w:spacing w:before="40" w:after="160" w:lineRule="auto" w:line="252"/>
      <w:ind w:firstLine="0"/>
      <w:jc w:val="both"/>
    </w:pPr>
    <w:rPr>
      <w:rFonts w:ascii="Times New Roman" w:hAnsi="Times New Roman" w:cs="Times New Roman" w:eastAsia="宋体"/>
      <w:b w:val="0"/>
      <w:i w:val="0"/>
      <w:color w:val="000000"/>
      <w:sz w:val="17"/>
    </w:rPr>
  </w:style>
  <w:style w:type="paragraph" w:customStyle="1" w:styleId="TableText">
    <w:name w:val="Table Text"/>
    <w:basedOn w:val="Normal"/>
    <w:pPr>
      <w:spacing w:before="20" w:after="20" w:lineRule="auto" w:line="240"/>
      <w:ind w:firstLine="0"/>
      <w:jc w:val="left"/>
    </w:pPr>
    <w:rPr>
      <w:rFonts w:ascii="Times New Roman" w:hAnsi="Times New Roman" w:cs="Times New Roman" w:eastAsia="宋体"/>
      <w:b w:val="0"/>
      <w:i w:val="0"/>
      <w:color w:val="000000"/>
      <w:sz w:val="17"/>
    </w:rPr>
  </w:style>
  <w:style w:type="paragraph" w:customStyle="1" w:styleId="Reference">
    <w:name w:val="Reference"/>
    <w:basedOn w:val="Normal"/>
    <w:pPr>
      <w:spacing w:before="0" w:after="40" w:lineRule="auto" w:line="264"/>
      <w:ind w:left="425" w:hanging="425"/>
      <w:jc w:val="both"/>
    </w:pPr>
    <w:rPr>
      <w:rFonts w:ascii="Times New Roman" w:hAnsi="Times New Roman" w:cs="Times New Roman" w:eastAsia="宋体"/>
      <w:b w:val="0"/>
      <w:i w:val="0"/>
      <w:color w:val="000000"/>
      <w:sz w:val="18"/>
    </w:rPr>
  </w:style>
  <w:style w:type="paragraph" w:customStyle="1" w:styleId="Equation">
    <w:name w:val="Equation"/>
    <w:basedOn w:val="Normal"/>
    <w:pPr>
      <w:spacing w:before="80" w:after="80" w:lineRule="auto" w:line="240"/>
      <w:ind w:firstLine="0"/>
      <w:jc w:val="left"/>
    </w:pPr>
  </w:style>
  <w:style w:type="paragraph" w:customStyle="1" w:styleId="Algorithm">
    <w:name w:val="Algorithm"/>
    <w:basedOn w:val="Normal"/>
    <w:pPr>
      <w:spacing w:before="0" w:after="20" w:lineRule="auto" w:line="264"/>
      <w:ind w:firstLine="0" w:left="170"/>
      <w:jc w:val="left"/>
    </w:pPr>
    <w:rPr>
      <w:rFonts w:ascii="Times New Roman" w:hAnsi="Times New Roman" w:cs="Times New Roman" w:eastAsia="宋体"/>
      <w:b w:val="0"/>
      <w:i w:val="0"/>
      <w:color w:val="000000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Manuscript</dc:title>
  <dc:creator/>
  <cp:keywords/>
  <dcterms:created xsi:type="dcterms:W3CDTF">2026-10-09T10:45:31Z</dcterms:created>
  <dcterms:modified xsi:type="dcterms:W3CDTF">2026-10-09T10:45:31Z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