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融合短时脉冲电压波形与人工特征的磷酸铁锂电池快速健康状态估计：编码器组合的受控比较</w:t>
      </w:r>
    </w:p>
    <w:p>
      <w:pPr>
        <w:pStyle w:val="Author"/>
      </w:pPr>
      <w:r>
        <w:t xml:space="preserve">[第一作者]</w:t>
      </w:r>
      <w:r>
        <w:rPr>
          <w:vertAlign w:val="superscript"/>
        </w:rPr>
        <w:t xml:space="preserve">a</w:t>
      </w:r>
      <w:r>
        <w:t xml:space="preserve">，[第二作者]</w:t>
      </w:r>
      <w:r>
        <w:rPr>
          <w:vertAlign w:val="superscript"/>
        </w:rPr>
        <w:t xml:space="preserve">a</w:t>
      </w:r>
      <w:r>
        <w:t xml:space="preserve">，[通讯作者]</w:t>
      </w:r>
      <w:r>
        <w:rPr>
          <w:vertAlign w:val="superscript"/>
        </w:rPr>
        <w:t xml:space="preserve">a,</w:t>
      </w:r>
      <w:r>
        <w:t xml:space="preserve">*</w:t>
      </w:r>
    </w:p>
    <w:p>
      <w:pPr>
        <w:pStyle w:val="Affiliation"/>
      </w:pPr>
      <w:r>
        <w:rPr>
          <w:vertAlign w:val="superscript"/>
        </w:rPr>
        <w:t xml:space="preserve">a</w:t>
      </w:r>
      <w:r>
        <w:t xml:space="preserve"> </w:t>
      </w:r>
      <w:r>
        <w:t xml:space="preserve">[院系，单位，城市 邮编，国家]</w:t>
      </w:r>
    </w:p>
    <w:p>
      <w:pPr>
        <w:pStyle w:val="Affiliation"/>
      </w:pPr>
      <w:r>
        <w:t xml:space="preserve">* 通讯作者。电子邮箱：[ ]</w:t>
      </w:r>
    </w:p>
    <w:p>
      <w:pPr>
        <w:pStyle w:val="FrontHeading"/>
        <w:pBdr>
          <w:top w:val="single" w:sz="6" w:space="4" w:color="000000"/>
        </w:pBdr>
      </w:pPr>
      <w:r>
        <w:t xml:space="preserve">研究亮点</w:t>
      </w:r>
    </w:p>
    <w:p>
      <w:pPr>
        <w:pStyle w:val="Highlight"/>
      </w:pPr>
      <w:r>
        <w:t xml:space="preserve">•  </w:t>
      </w:r>
      <w:r>
        <w:t xml:space="preserve">在统一的电芯互斥协议下对15种编码器组合进行基准比较。</w:t>
      </w:r>
    </w:p>
    <w:p>
      <w:pPr>
        <w:pStyle w:val="Highlight"/>
      </w:pPr>
      <w:r>
        <w:t xml:space="preserve">•  </w:t>
      </w:r>
      <w:r>
        <w:t xml:space="preserve">片段化波形分支使MLP主干的误差降低8.2%，并在58/64个电芯上取得改善。</w:t>
      </w:r>
    </w:p>
    <w:p>
      <w:pPr>
        <w:pStyle w:val="Highlight"/>
      </w:pPr>
      <w:r>
        <w:t xml:space="preserve">•  </w:t>
      </w:r>
      <w:r>
        <w:t xml:space="preserve">编码器排序取决于组合方式，而非结构复杂度。</w:t>
      </w:r>
    </w:p>
    <w:p>
      <w:pPr>
        <w:pStyle w:val="Highlight"/>
      </w:pPr>
      <w:r>
        <w:t xml:space="preserve">•  </w:t>
      </w:r>
      <w:r>
        <w:t xml:space="preserve">在未见循环工况和训练与测试匹配的传感器噪声下，波形增量依然存在。</w:t>
      </w:r>
    </w:p>
    <w:p>
      <w:pPr>
        <w:pStyle w:val="Highlight"/>
      </w:pPr>
      <w:r>
        <w:t xml:space="preserve">•  </w:t>
      </w:r>
      <w:r>
        <w:t xml:space="preserve">仅需3个充电脉冲和19k参数的模型即可实现快速SOH估计。</w:t>
      </w:r>
    </w:p>
    <w:p>
      <w:pPr>
        <w:pStyle w:val="FrontHeading"/>
        <w:pBdr>
          <w:top w:val="single" w:sz="6" w:space="4" w:color="000000"/>
        </w:pBdr>
      </w:pPr>
      <w:r>
        <w:t xml:space="preserve">摘要</w:t>
      </w:r>
    </w:p>
    <w:p>
      <w:pPr>
        <w:pStyle w:val="Abstract"/>
      </w:pPr>
      <w:r>
        <w:t xml:space="preserve">短时电流脉冲可为锂离子电池健康状态（SOH）提供快速诊断，但学习得到的波形表征能否在人工脉冲特征之外提供增量信息，尚未在受控协议下得到检验。本文构建以人工特征与累计循环数为主干、101点脉冲电压响应为补充分支的双分支模型，并在64个公开磷酸铁锂（LFP）/石墨电芯的16,938条脉冲记录上，采用5折电芯互斥交叉验证，评价3种主干编码器与5种波形编码器的全部15种组合。在各组合中，多层感知机（MLP）主干与片段化Transformer（PatchTST）补充的组合取得最低的电芯宏平均均方根误差，为1.377个SOH百分点（95%置信区间1.247～1.513）。相对不含波形的相同主干，误差降低8.2%，64个电芯中有58个改善；增益在SOH低于80%的区间最大（17.2%），波形在该区间部分修正了主干的收缩偏差。编码器排序依赖于组合：PatchTST在MLP主干下排名第一，在另外两种主干下却排在末位；组合依赖项最多可解释组合间差异的47.6%。进一步试验表明：波形增量在独立NMC/石墨数据集上得到重复（误差降低7.6%，44个电芯中39个改善），并在未见循环工况和训练与测试匹配的传感器噪声下依然存在；循环数存在±10%偏差时，误差至多增加3.5%；3个充电脉冲即可达到6脉冲协议的精度；推断需要19,041个参数，每条脉冲的计算量为0.42 MFLOPs。因此，在基于脉冲的SOH估计中，编码器应作为组合、依据受控证据进行选择，而不能依据结构复杂度。</w:t>
      </w:r>
    </w:p>
    <w:p>
      <w:pPr>
        <w:pStyle w:val="Keywords"/>
        <w:pBdr>
          <w:bottom w:val="single" w:sz="6" w:space="4" w:color="000000"/>
        </w:pBdr>
      </w:pPr>
      <w:r>
        <w:rPr>
          <w:b/>
          <w:bCs/>
        </w:rPr>
        <w:t xml:space="preserve">关键词：</w:t>
      </w:r>
      <w:r>
        <w:t xml:space="preserve">磷酸铁锂电池；健康状态；短时电流脉冲；特征融合；片段化Transformer；电芯互斥验证</w:t>
      </w:r>
    </w:p>
    <w:p>
      <w:pPr>
        <w:pStyle w:val="FrontHeading"/>
        <w:pageBreakBefore/>
      </w:pPr>
      <w:r>
        <w:t xml:space="preserve">术语与符号</w:t>
      </w:r>
    </w:p>
    <w:tbl>
      <w:tblPr>
        <w:tblW w:type="pct" w:w="5000"/>
        <w:jc w:val="center"/>
        <w:tblLayout w:type="fixed"/>
        <w:tblCellMar>
          <w:top w:w="15" w:type="dxa"/>
          <w:left w:w="60" w:type="dxa"/>
          <w:bottom w:w="15" w:type="dxa"/>
          <w:right w:w="60" w:type="dxa"/>
        </w:tblCellMar>
      </w:tblPr>
      <w:tblGrid>
        <w:gridCol w:w="1056"/>
        <w:gridCol w:w="2640"/>
        <w:gridCol w:w="1372"/>
        <w:gridCol w:w="285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缩写</w:t>
            </w:r>
          </w:p>
        </w:tc>
        <w:tc>
          <w:tcPr>
            <w:tcBorders>
              <w:top w:val="single" w:sz="12" w:space="0" w:color="000000"/>
              <w:bottom w:val="single" w:sz="6" w:space="0" w:color="000000"/>
            </w:tcBorders>
            <w:vAlign w:val="center"/>
          </w:tcPr>
          <w:p>
            <w:pPr>
              <w:pStyle w:val="TableText"/>
              <w:jc w:val="left"/>
            </w:pPr>
            <w:r>
              <w:rPr>
                <w:b/>
                <w:noProof/>
              </w:rPr>
              <w:t xml:space="preserve">含义</w:t>
            </w:r>
          </w:p>
        </w:tc>
        <w:tc>
          <w:tcPr>
            <w:tcBorders>
              <w:top w:val="single" w:sz="12" w:space="0" w:color="000000"/>
              <w:bottom w:val="single" w:sz="6" w:space="0" w:color="000000"/>
            </w:tcBorders>
            <w:vAlign w:val="center"/>
          </w:tcPr>
          <w:p>
            <w:pPr>
              <w:pStyle w:val="TableText"/>
              <w:jc w:val="left"/>
            </w:pPr>
            <w:r>
              <w:rPr>
                <w:b/>
                <w:noProof/>
              </w:rPr>
              <w:t xml:space="preserve">符号</w:t>
            </w:r>
          </w:p>
        </w:tc>
        <w:tc>
          <w:tcPr>
            <w:tcBorders>
              <w:top w:val="single" w:sz="12" w:space="0" w:color="000000"/>
              <w:bottom w:val="single" w:sz="6" w:space="0" w:color="000000"/>
            </w:tcBorders>
            <w:vAlign w:val="center"/>
          </w:tcPr>
          <w:p>
            <w:pPr>
              <w:pStyle w:val="TableText"/>
              <w:jc w:val="left"/>
            </w:pPr>
            <w:r>
              <w:rPr>
                <w:b/>
                <w:noProof/>
              </w:rPr>
              <w:t xml:space="preserve">含义</w:t>
            </w:r>
          </w:p>
        </w:tc>
      </w:tr>
      <w:tr>
        <w:trPr>
          <w:cantSplit/>
        </w:trPr>
        <w:tc>
          <w:tcPr>
            <w:tcBorders/>
            <w:vAlign w:val="center"/>
          </w:tcPr>
          <w:p>
            <w:pPr>
              <w:pStyle w:val="TableText"/>
              <w:jc w:val="left"/>
            </w:pPr>
            <w:r>
              <w:rPr>
                <w:noProof/>
              </w:rPr>
              <w:t xml:space="preserve">BMS</w:t>
            </w:r>
          </w:p>
        </w:tc>
        <w:tc>
          <w:tcPr>
            <w:tcBorders/>
            <w:vAlign w:val="center"/>
          </w:tcPr>
          <w:p>
            <w:pPr>
              <w:pStyle w:val="TableText"/>
              <w:jc w:val="left"/>
            </w:pPr>
            <w:r>
              <w:rPr>
                <w:noProof/>
              </w:rPr>
              <w:t xml:space="preserve">电池管理系统</w:t>
            </w:r>
          </w:p>
        </w:tc>
        <w:tc>
          <w:tcPr>
            <w:tcBorders/>
            <w:vAlign w:val="center"/>
          </w:tcPr>
          <w:p>
            <w:pPr>
              <w:pStyle w:val="TableText"/>
              <w:jc w:val="left"/>
            </w:pPr>
            <m:oMath>
              <m:sSub>
                <m:e>
                  <m:r>
                    <m:t>E</m:t>
                  </m:r>
                </m:e>
                <m:sub>
                  <m:r>
                    <m:rPr>
                      <m:sty m:val="p"/>
                    </m:rPr>
                    <m:t>h</m:t>
                  </m:r>
                </m:sub>
              </m:sSub>
            </m:oMath>
            <w:r>
              <w:rPr>
                <w:noProof/>
              </w:rPr>
              <w:t xml:space="preserve">,</w:t>
            </w:r>
            <w:r>
              <w:rPr>
                <w:noProof/>
              </w:rPr>
              <w:t xml:space="preserve"> </w:t>
            </w:r>
            <m:oMath>
              <m:sSub>
                <m:e>
                  <m:r>
                    <m:t>E</m:t>
                  </m:r>
                </m:e>
                <m:sub>
                  <m:r>
                    <m:rPr>
                      <m:sty m:val="p"/>
                    </m:rPr>
                    <m:t>v</m:t>
                  </m:r>
                </m:sub>
              </m:sSub>
            </m:oMath>
          </w:p>
        </w:tc>
        <w:tc>
          <w:tcPr>
            <w:tcBorders/>
            <w:vAlign w:val="center"/>
          </w:tcPr>
          <w:p>
            <w:pPr>
              <w:pStyle w:val="TableText"/>
              <w:jc w:val="left"/>
            </w:pPr>
            <w:r>
              <w:rPr>
                <w:noProof/>
              </w:rPr>
              <w:t xml:space="preserve">主干编码器与补充编码器</w:t>
            </w:r>
          </w:p>
        </w:tc>
      </w:tr>
      <w:tr>
        <w:trPr>
          <w:cantSplit/>
        </w:trPr>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卷积神经网络</w:t>
            </w:r>
          </w:p>
        </w:tc>
        <w:tc>
          <w:tcPr>
            <w:tcBorders/>
            <w:vAlign w:val="center"/>
          </w:tcPr>
          <w:p>
            <w:pPr>
              <w:pStyle w:val="TableText"/>
              <w:jc w:val="left"/>
            </w:pPr>
            <m:oMath>
              <m:r>
                <m:t>g</m:t>
              </m:r>
            </m:oMath>
          </w:p>
        </w:tc>
        <w:tc>
          <w:tcPr>
            <w:tcBorders/>
            <w:vAlign w:val="center"/>
          </w:tcPr>
          <w:p>
            <w:pPr>
              <w:pStyle w:val="TableText"/>
              <w:jc w:val="left"/>
            </w:pPr>
            <w:r>
              <w:rPr>
                <w:noProof/>
              </w:rPr>
              <w:t xml:space="preserve">回归头</w:t>
            </w:r>
          </w:p>
        </w:tc>
      </w:tr>
      <w:tr>
        <w:trPr>
          <w:cantSplit/>
        </w:trPr>
        <w:tc>
          <w:tcPr>
            <w:tcBorders/>
            <w:vAlign w:val="center"/>
          </w:tcPr>
          <w:p>
            <w:pPr>
              <w:pStyle w:val="TableText"/>
              <w:jc w:val="left"/>
            </w:pPr>
            <w:r>
              <w:rPr>
                <w:noProof/>
              </w:rPr>
              <w:t xml:space="preserve">DCIR</w:t>
            </w:r>
          </w:p>
        </w:tc>
        <w:tc>
          <w:tcPr>
            <w:tcBorders/>
            <w:vAlign w:val="center"/>
          </w:tcPr>
          <w:p>
            <w:pPr>
              <w:pStyle w:val="TableText"/>
              <w:jc w:val="left"/>
            </w:pPr>
            <w:r>
              <w:rPr>
                <w:noProof/>
              </w:rPr>
              <w:t xml:space="preserve">直流内阻</w:t>
            </w:r>
          </w:p>
        </w:tc>
        <w:tc>
          <w:tcPr>
            <w:tcBorders/>
            <w:vAlign w:val="center"/>
          </w:tcPr>
          <w:p>
            <w:pPr>
              <w:pStyle w:val="TableText"/>
              <w:jc w:val="left"/>
            </w:pPr>
            <m:oMath>
              <m:r>
                <m:t>K</m:t>
              </m:r>
            </m:oMath>
          </w:p>
        </w:tc>
        <w:tc>
          <w:tcPr>
            <w:tcBorders/>
            <w:vAlign w:val="center"/>
          </w:tcPr>
          <w:p>
            <w:pPr>
              <w:pStyle w:val="TableText"/>
              <w:jc w:val="left"/>
            </w:pPr>
            <w:r>
              <w:rPr>
                <w:noProof/>
              </w:rPr>
              <w:t xml:space="preserve">所选人工特征数</w:t>
            </w:r>
          </w:p>
        </w:tc>
      </w:tr>
      <w:tr>
        <w:trPr>
          <w:cantSplit/>
        </w:trPr>
        <w:tc>
          <w:tcPr>
            <w:tcBorders/>
            <w:vAlign w:val="center"/>
          </w:tcPr>
          <w:p>
            <w:pPr>
              <w:pStyle w:val="TableText"/>
              <w:jc w:val="left"/>
            </w:pPr>
            <w:r>
              <w:rPr>
                <w:noProof/>
              </w:rPr>
              <w:t xml:space="preserve">DOD</w:t>
            </w:r>
          </w:p>
        </w:tc>
        <w:tc>
          <w:tcPr>
            <w:tcBorders/>
            <w:vAlign w:val="center"/>
          </w:tcPr>
          <w:p>
            <w:pPr>
              <w:pStyle w:val="TableText"/>
              <w:jc w:val="left"/>
            </w:pPr>
            <w:r>
              <w:rPr>
                <w:noProof/>
              </w:rPr>
              <w:t xml:space="preserve">放电深度</w:t>
            </w:r>
          </w:p>
        </w:tc>
        <w:tc>
          <w:tcPr>
            <w:tcBorders/>
            <w:vAlign w:val="center"/>
          </w:tcPr>
          <w:p>
            <w:pPr>
              <w:pStyle w:val="TableText"/>
              <w:jc w:val="left"/>
            </w:pPr>
            <m:oMath>
              <m:r>
                <m:t>L</m:t>
              </m:r>
            </m:oMath>
            <w:r>
              <w:rPr>
                <w:noProof/>
              </w:rPr>
              <w:t xml:space="preserve">,</w:t>
            </w:r>
            <w:r>
              <w:rPr>
                <w:noProof/>
              </w:rPr>
              <w:t xml:space="preserve"> </w:t>
            </w:r>
            <m:oMath>
              <m:r>
                <m:t>P</m:t>
              </m:r>
            </m:oMath>
            <w:r>
              <w:rPr>
                <w:noProof/>
              </w:rPr>
              <w:t xml:space="preserve">,</w:t>
            </w:r>
            <w:r>
              <w:rPr>
                <w:noProof/>
              </w:rPr>
              <w:t xml:space="preserve"> </w:t>
            </w:r>
            <m:oMath>
              <m:r>
                <m:t>S</m:t>
              </m:r>
            </m:oMath>
          </w:p>
        </w:tc>
        <w:tc>
          <w:tcPr>
            <w:tcBorders/>
            <w:vAlign w:val="center"/>
          </w:tcPr>
          <w:p>
            <w:pPr>
              <w:pStyle w:val="TableText"/>
              <w:jc w:val="left"/>
            </w:pPr>
            <w:r>
              <w:rPr>
                <w:noProof/>
              </w:rPr>
              <w:t xml:space="preserve">序列长度、片段长度、片段步长</w:t>
            </w:r>
          </w:p>
        </w:tc>
      </w:tr>
      <w:tr>
        <w:trPr>
          <w:cantSplit/>
        </w:trPr>
        <w:tc>
          <w:tcPr>
            <w:tcBorders/>
            <w:vAlign w:val="center"/>
          </w:tcPr>
          <w:p>
            <w:pPr>
              <w:pStyle w:val="TableText"/>
              <w:jc w:val="left"/>
            </w:pPr>
            <w:r>
              <w:rPr>
                <w:noProof/>
              </w:rPr>
              <w:t xml:space="preserve">LFP</w:t>
            </w:r>
          </w:p>
        </w:tc>
        <w:tc>
          <w:tcPr>
            <w:tcBorders/>
            <w:vAlign w:val="center"/>
          </w:tcPr>
          <w:p>
            <w:pPr>
              <w:pStyle w:val="TableText"/>
              <w:jc w:val="left"/>
            </w:pPr>
            <w:r>
              <w:rPr>
                <w:noProof/>
              </w:rPr>
              <w:t xml:space="preserve">磷酸铁锂</w:t>
            </w:r>
          </w:p>
        </w:tc>
        <w:tc>
          <w:tcPr>
            <w:tcBorders/>
            <w:vAlign w:val="center"/>
          </w:tcPr>
          <w:p>
            <w:pPr>
              <w:pStyle w:val="TableText"/>
              <w:jc w:val="left"/>
            </w:pPr>
            <m:oMath>
              <m:r>
                <m:t>M</m:t>
              </m:r>
            </m:oMath>
          </w:p>
        </w:tc>
        <w:tc>
          <w:tcPr>
            <w:tcBorders/>
            <w:vAlign w:val="center"/>
          </w:tcPr>
          <w:p>
            <w:pPr>
              <w:pStyle w:val="TableText"/>
              <w:jc w:val="left"/>
            </w:pPr>
            <w:r>
              <w:rPr>
                <w:noProof/>
              </w:rPr>
              <w:t xml:space="preserve">片段数</w:t>
            </w:r>
          </w:p>
        </w:tc>
      </w:tr>
      <w:tr>
        <w:trPr>
          <w:cantSplit/>
        </w:trPr>
        <w:tc>
          <w:tcPr>
            <w:tcBorders/>
            <w:vAlign w:val="center"/>
          </w:tcPr>
          <w:p>
            <w:pPr>
              <w:pStyle w:val="TableText"/>
              <w:jc w:val="left"/>
            </w:pPr>
            <w:r>
              <w:rPr>
                <w:noProof/>
              </w:rPr>
              <w:t xml:space="preserve">MAE</w:t>
            </w:r>
          </w:p>
        </w:tc>
        <w:tc>
          <w:tcPr>
            <w:tcBorders/>
            <w:vAlign w:val="center"/>
          </w:tcPr>
          <w:p>
            <w:pPr>
              <w:pStyle w:val="TableText"/>
              <w:jc w:val="left"/>
            </w:pPr>
            <w:r>
              <w:rPr>
                <w:noProof/>
              </w:rPr>
              <w:t xml:space="preserve">平均绝对误差</w:t>
            </w:r>
          </w:p>
        </w:tc>
        <w:tc>
          <w:tcPr>
            <w:tcBorders/>
            <w:vAlign w:val="center"/>
          </w:tcPr>
          <w:p>
            <w:pPr>
              <w:pStyle w:val="TableText"/>
              <w:jc w:val="left"/>
            </w:pPr>
            <m:oMath>
              <m:sSub>
                <m:e>
                  <m:r>
                    <m:t>Q</m:t>
                  </m:r>
                </m:e>
                <m:sub>
                  <m:r>
                    <m:t>i</m:t>
                  </m:r>
                  <m:r>
                    <m:t>r</m:t>
                  </m:r>
                </m:sub>
              </m:sSub>
            </m:oMath>
          </w:p>
        </w:tc>
        <w:tc>
          <w:tcPr>
            <w:tcBorders/>
            <w:vAlign w:val="center"/>
          </w:tcPr>
          <w:p>
            <w:pPr>
              <w:pStyle w:val="TableText"/>
              <w:jc w:val="left"/>
            </w:pPr>
            <w:r>
              <w:rPr>
                <w:noProof/>
              </w:rPr>
              <w:t xml:space="preserve">电芯</w:t>
            </w:r>
            <m:oMath>
              <m:r>
                <m:t>i</m:t>
              </m:r>
            </m:oMath>
            <w:r>
              <w:rPr>
                <w:noProof/>
              </w:rPr>
              <w:t xml:space="preserve">在第</w:t>
            </w:r>
            <m:oMath>
              <m:r>
                <m:t>r</m:t>
              </m:r>
            </m:oMath>
            <w:r>
              <w:rPr>
                <w:noProof/>
              </w:rPr>
              <w:t xml:space="preserve">次RPT时的放电容量</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多层感知机</w:t>
            </w:r>
          </w:p>
        </w:tc>
        <w:tc>
          <w:tcPr>
            <w:tcBorders/>
            <w:vAlign w:val="center"/>
          </w:tcPr>
          <w:p>
            <w:pPr>
              <w:pStyle w:val="TableText"/>
              <w:jc w:val="left"/>
            </w:pPr>
            <m:oMath>
              <m:sSub>
                <m:e>
                  <m:r>
                    <m:t>y</m:t>
                  </m:r>
                </m:e>
                <m:sub>
                  <m:r>
                    <m:t>i</m:t>
                  </m:r>
                  <m:r>
                    <m:t>r</m:t>
                  </m:r>
                </m:sub>
              </m:sSub>
            </m:oMath>
          </w:p>
        </w:tc>
        <w:tc>
          <w:tcPr>
            <w:tcBorders/>
            <w:vAlign w:val="center"/>
          </w:tcPr>
          <w:p>
            <w:pPr>
              <w:pStyle w:val="TableText"/>
              <w:jc w:val="left"/>
            </w:pPr>
            <w:r>
              <w:rPr>
                <w:noProof/>
              </w:rPr>
              <w:t xml:space="preserve">实测SOH（%）</w:t>
            </w:r>
          </w:p>
        </w:tc>
      </w:tr>
      <w:tr>
        <w:trPr>
          <w:cantSplit/>
        </w:trPr>
        <w:tc>
          <w:tcPr>
            <w:tcBorders/>
            <w:vAlign w:val="center"/>
          </w:tcPr>
          <w:p>
            <w:pPr>
              <w:pStyle w:val="TableText"/>
              <w:jc w:val="left"/>
            </w:pPr>
            <w:r>
              <w:rPr>
                <w:noProof/>
              </w:rPr>
              <w:t xml:space="preserve">NMC</w:t>
            </w:r>
          </w:p>
        </w:tc>
        <w:tc>
          <w:tcPr>
            <w:tcBorders/>
            <w:vAlign w:val="center"/>
          </w:tcPr>
          <w:p>
            <w:pPr>
              <w:pStyle w:val="TableText"/>
              <w:jc w:val="left"/>
            </w:pPr>
            <w:r>
              <w:rPr>
                <w:noProof/>
              </w:rPr>
              <w:t xml:space="preserve">镍钴锰氧化物</w:t>
            </w:r>
          </w:p>
        </w:tc>
        <w:tc>
          <w:tcPr>
            <w:tcBorders/>
            <w:vAlign w:val="center"/>
          </w:tcPr>
          <w:p>
            <w:pPr>
              <w:pStyle w:val="TableText"/>
              <w:jc w:val="left"/>
            </w:pPr>
            <m:oMath>
              <m:acc>
                <m:accPr>
                  <m:chr m:val="̂"/>
                </m:accPr>
                <m:e>
                  <m:r>
                    <m:t>y</m:t>
                  </m:r>
                </m:e>
              </m:acc>
            </m:oMath>
            <w:r>
              <w:rPr>
                <w:noProof/>
              </w:rPr>
              <w:t xml:space="preserve">,</w:t>
            </w:r>
            <w:r>
              <w:rPr>
                <w:noProof/>
              </w:rPr>
              <w:t xml:space="preserve"> </w:t>
            </w:r>
            <m:oMath>
              <m:sSup>
                <m:e>
                  <m:acc>
                    <m:accPr>
                      <m:chr m:val="̂"/>
                    </m:accPr>
                    <m:e>
                      <m:r>
                        <m:t>y</m:t>
                      </m:r>
                    </m:e>
                  </m:acc>
                </m:e>
                <m:sup>
                  <m:r>
                    <m:rPr>
                      <m:nor/>
                    </m:rPr>
                    <m:t>*</m:t>
                  </m:r>
                </m:sup>
              </m:sSup>
            </m:oMath>
          </w:p>
        </w:tc>
        <w:tc>
          <w:tcPr>
            <w:tcBorders/>
            <w:vAlign w:val="center"/>
          </w:tcPr>
          <w:p>
            <w:pPr>
              <w:pStyle w:val="TableText"/>
              <w:jc w:val="left"/>
            </w:pPr>
            <w:r>
              <w:rPr>
                <w:noProof/>
              </w:rPr>
              <w:t xml:space="preserve">预测SOH及其标准化值</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逐点Transformer</w:t>
            </w:r>
          </w:p>
        </w:tc>
        <w:tc>
          <w:tcPr>
            <w:tcBorders/>
            <w:vAlign w:val="center"/>
          </w:tcPr>
          <w:p>
            <w:pPr>
              <w:pStyle w:val="TableText"/>
              <w:jc w:val="left"/>
            </w:pPr>
            <m:oMath>
              <m:r>
                <m:t>Δ</m:t>
              </m:r>
              <m:sSub>
                <m:e>
                  <m:r>
                    <m:t>v</m:t>
                  </m:r>
                </m:e>
                <m:sub>
                  <m:r>
                    <m:t>t</m:t>
                  </m:r>
                </m:sub>
              </m:sSub>
            </m:oMath>
            <w:r>
              <w:rPr>
                <w:noProof/>
              </w:rPr>
              <w:t xml:space="preserve">,</w:t>
            </w:r>
            <w:r>
              <w:rPr>
                <w:noProof/>
              </w:rPr>
              <w:t xml:space="preserve"> </w:t>
            </w:r>
            <m:oMath>
              <m:sSub>
                <m:e>
                  <m:acc>
                    <m:accPr>
                      <m:chr m:val="̃"/>
                    </m:accPr>
                    <m:e>
                      <m:r>
                        <m:t>v</m:t>
                      </m:r>
                    </m:e>
                  </m:acc>
                </m:e>
                <m:sub>
                  <m:r>
                    <m:t>t</m:t>
                  </m:r>
                </m:sub>
              </m:sSub>
            </m:oMath>
          </w:p>
        </w:tc>
        <w:tc>
          <w:tcPr>
            <w:tcBorders/>
            <w:vAlign w:val="center"/>
          </w:tcPr>
          <w:p>
            <w:pPr>
              <w:pStyle w:val="TableText"/>
              <w:jc w:val="left"/>
            </w:pPr>
            <w:r>
              <w:rPr>
                <w:noProof/>
              </w:rPr>
              <w:t xml:space="preserve">首点作差脉冲电压与标准化脉冲电压</w:t>
            </w:r>
          </w:p>
        </w:tc>
      </w:tr>
      <w:tr>
        <w:trPr>
          <w:cantSplit/>
        </w:trPr>
        <w:tc>
          <w:tcPr>
            <w:tcBorders/>
            <w:vAlign w:val="center"/>
          </w:tcPr>
          <w:p>
            <w:pPr>
              <w:pStyle w:val="TableText"/>
              <w:jc w:val="left"/>
            </w:pPr>
            <w:r>
              <w:rPr>
                <w:noProof/>
              </w:rPr>
              <w:t xml:space="preserve">RevIN</w:t>
            </w:r>
          </w:p>
        </w:tc>
        <w:tc>
          <w:tcPr>
            <w:tcBorders/>
            <w:vAlign w:val="center"/>
          </w:tcPr>
          <w:p>
            <w:pPr>
              <w:pStyle w:val="TableText"/>
              <w:jc w:val="left"/>
            </w:pPr>
            <w:r>
              <w:rPr>
                <w:noProof/>
              </w:rPr>
              <w:t xml:space="preserve">逐样本实例归一化</w:t>
            </w:r>
          </w:p>
        </w:tc>
        <w:tc>
          <w:tcPr>
            <w:tcBorders/>
            <w:vAlign w:val="center"/>
          </w:tcPr>
          <w:p>
            <w:pPr>
              <w:pStyle w:val="TableText"/>
              <w:jc w:val="left"/>
            </w:pPr>
            <m:oMath>
              <m:r>
                <m:rPr>
                  <m:sty m:val="b"/>
                </m:rPr>
                <m:t>h</m:t>
              </m:r>
            </m:oMath>
          </w:p>
        </w:tc>
        <w:tc>
          <w:tcPr>
            <w:tcBorders/>
            <w:vAlign w:val="center"/>
          </w:tcPr>
          <w:p>
            <w:pPr>
              <w:pStyle w:val="TableText"/>
              <w:jc w:val="left"/>
            </w:pPr>
            <w:r>
              <w:rPr>
                <w:noProof/>
              </w:rPr>
              <w:t xml:space="preserve">主干输入向量</w:t>
            </w:r>
          </w:p>
        </w:tc>
      </w:tr>
      <w:tr>
        <w:trPr>
          <w:cantSplit/>
        </w:trPr>
        <w:tc>
          <w:tcPr>
            <w:tcBorders/>
            <w:vAlign w:val="center"/>
          </w:tcPr>
          <w:p>
            <w:pPr>
              <w:pStyle w:val="TableText"/>
              <w:jc w:val="left"/>
            </w:pPr>
            <w:r>
              <w:rPr>
                <w:noProof/>
              </w:rPr>
              <w:t xml:space="preserve">RMSE</w:t>
            </w:r>
          </w:p>
        </w:tc>
        <w:tc>
          <w:tcPr>
            <w:tcBorders/>
            <w:vAlign w:val="center"/>
          </w:tcPr>
          <w:p>
            <w:pPr>
              <w:pStyle w:val="TableText"/>
              <w:jc w:val="left"/>
            </w:pPr>
            <w:r>
              <w:rPr>
                <w:noProof/>
              </w:rPr>
              <w:t xml:space="preserve">均方根误差</w:t>
            </w:r>
          </w:p>
        </w:tc>
        <w:tc>
          <w:tcPr>
            <w:tcBorders/>
            <w:vAlign w:val="center"/>
          </w:tcPr>
          <w:p>
            <w:pPr>
              <w:pStyle w:val="TableText"/>
              <w:jc w:val="left"/>
            </w:pPr>
            <m:oMath>
              <m:sSub>
                <m:e>
                  <m:r>
                    <m:t>n</m:t>
                  </m:r>
                </m:e>
                <m:sub>
                  <m:r>
                    <m:t>i</m:t>
                  </m:r>
                  <m:r>
                    <m:rPr>
                      <m:sty m:val="p"/>
                    </m:rPr>
                    <m:t>,</m:t>
                  </m:r>
                  <m:r>
                    <m:t>r</m:t>
                  </m:r>
                </m:sub>
              </m:sSub>
            </m:oMath>
            <w:r>
              <w:rPr>
                <w:noProof/>
              </w:rPr>
              <w:t xml:space="preserve">,</w:t>
            </w:r>
            <w:r>
              <w:rPr>
                <w:noProof/>
              </w:rPr>
              <w:t xml:space="preserve"> </w:t>
            </w:r>
            <m:oMath>
              <m:r>
                <m:t>τ</m:t>
              </m:r>
            </m:oMath>
          </w:p>
        </w:tc>
        <w:tc>
          <w:tcPr>
            <w:tcBorders/>
            <w:vAlign w:val="center"/>
          </w:tcPr>
          <w:p>
            <w:pPr>
              <w:pStyle w:val="TableText"/>
              <w:jc w:val="left"/>
            </w:pPr>
            <w:r>
              <w:rPr>
                <w:noProof/>
              </w:rPr>
              <w:t xml:space="preserve">累计循环数及其标准化值</w:t>
            </w:r>
          </w:p>
        </w:tc>
      </w:tr>
      <w:tr>
        <w:trPr>
          <w:cantSplit/>
        </w:trPr>
        <w:tc>
          <w:tcPr>
            <w:tcBorders/>
            <w:vAlign w:val="center"/>
          </w:tcPr>
          <w:p>
            <w:pPr>
              <w:pStyle w:val="TableText"/>
              <w:jc w:val="left"/>
            </w:pPr>
            <w:r>
              <w:rPr>
                <w:noProof/>
              </w:rPr>
              <w:t xml:space="preserve">RPT</w:t>
            </w:r>
          </w:p>
        </w:tc>
        <w:tc>
          <w:tcPr>
            <w:tcBorders/>
            <w:vAlign w:val="center"/>
          </w:tcPr>
          <w:p>
            <w:pPr>
              <w:pStyle w:val="TableText"/>
              <w:jc w:val="left"/>
            </w:pPr>
            <w:r>
              <w:rPr>
                <w:noProof/>
              </w:rPr>
              <w:t xml:space="preserve">参考性能测试</w:t>
            </w:r>
          </w:p>
        </w:tc>
        <w:tc>
          <w:tcPr>
            <w:tcBorders/>
            <w:vAlign w:val="center"/>
          </w:tcPr>
          <w:p>
            <w:pPr>
              <w:pStyle w:val="TableText"/>
              <w:jc w:val="left"/>
            </w:pPr>
            <m:oMath>
              <m:r>
                <m:t>λ</m:t>
              </m:r>
            </m:oMath>
          </w:p>
        </w:tc>
        <w:tc>
          <w:tcPr>
            <w:tcBorders/>
            <w:vAlign w:val="center"/>
          </w:tcPr>
          <w:p>
            <w:pPr>
              <w:pStyle w:val="TableText"/>
              <w:jc w:val="left"/>
            </w:pPr>
            <w:r>
              <w:rPr>
                <w:noProof/>
              </w:rPr>
              <w:t xml:space="preserve">单调惩罚权重</w:t>
            </w:r>
          </w:p>
        </w:tc>
      </w:tr>
      <w:tr>
        <w:trPr>
          <w:cantSplit/>
        </w:trPr>
        <w:tc>
          <w:tcPr>
            <w:tcBorders/>
            <w:vAlign w:val="center"/>
          </w:tcPr>
          <w:p>
            <w:pPr>
              <w:pStyle w:val="TableText"/>
              <w:jc w:val="left"/>
            </w:pPr>
            <w:r>
              <w:rPr>
                <w:noProof/>
              </w:rPr>
              <w:t xml:space="preserve">SOC, SOH</w:t>
            </w:r>
          </w:p>
        </w:tc>
        <w:tc>
          <w:tcPr>
            <w:tcBorders/>
            <w:vAlign w:val="center"/>
          </w:tcPr>
          <w:p>
            <w:pPr>
              <w:pStyle w:val="TableText"/>
              <w:jc w:val="left"/>
            </w:pPr>
            <w:r>
              <w:rPr>
                <w:noProof/>
              </w:rPr>
              <w:t xml:space="preserve">荷电状态、健康状态</w:t>
            </w:r>
          </w:p>
        </w:tc>
        <w:tc>
          <w:tcPr>
            <w:tcBorders/>
            <w:vAlign w:val="center"/>
          </w:tcPr>
          <w:p>
            <w:pPr>
              <w:pStyle w:val="TableText"/>
              <w:jc w:val="left"/>
            </w:pPr>
            <m:oMath>
              <m:sSub>
                <m:e>
                  <m:r>
                    <m:t>ρ</m:t>
                  </m:r>
                </m:e>
                <m:sub>
                  <m:r>
                    <m:t>j</m:t>
                  </m:r>
                </m:sub>
              </m:sSub>
            </m:oMath>
          </w:p>
        </w:tc>
        <w:tc>
          <w:tcPr>
            <w:tcBorders/>
            <w:vAlign w:val="center"/>
          </w:tcPr>
          <w:p>
            <w:pPr>
              <w:pStyle w:val="TableText"/>
              <w:jc w:val="left"/>
            </w:pPr>
            <w:r>
              <w:rPr>
                <w:noProof/>
              </w:rPr>
              <w:t xml:space="preserve">特征</w:t>
            </w:r>
            <m:oMath>
              <m:r>
                <m:t>j</m:t>
              </m:r>
            </m:oMath>
            <w:r>
              <w:rPr>
                <w:noProof/>
              </w:rPr>
              <w:t xml:space="preserve">与SOH的Spearman秩相关系数</w:t>
            </w:r>
          </w:p>
        </w:tc>
      </w:tr>
      <w:tr>
        <w:trPr>
          <w:cantSplit/>
        </w:trPr>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时间卷积网络</w:t>
            </w:r>
          </w:p>
        </w:tc>
        <w:tc>
          <w:tcPr>
            <w:tcBorders/>
            <w:vAlign w:val="center"/>
          </w:tcPr>
          <w:p>
            <w:pPr>
              <w:pStyle w:val="TableText"/>
              <w:jc w:val="left"/>
            </w:pPr>
            <m:oMath>
              <m:sSub>
                <m:e>
                  <m:r>
                    <m:t>σ</m:t>
                  </m:r>
                </m:e>
                <m:sub>
                  <m:r>
                    <m:rPr>
                      <m:sty m:val="p"/>
                    </m:rPr>
                    <m:t>n</m:t>
                  </m:r>
                  <m:r>
                    <m:rPr>
                      <m:sty m:val="p"/>
                    </m:rPr>
                    <m:t>o</m:t>
                  </m:r>
                  <m:r>
                    <m:rPr>
                      <m:sty m:val="p"/>
                    </m:rPr>
                    <m:t>i</m:t>
                  </m:r>
                  <m:r>
                    <m:rPr>
                      <m:sty m:val="p"/>
                    </m:rPr>
                    <m:t>s</m:t>
                  </m:r>
                  <m:r>
                    <m:rPr>
                      <m:sty m:val="p"/>
                    </m:rPr>
                    <m:t>e</m:t>
                  </m:r>
                </m:sub>
              </m:sSub>
            </m:oMath>
          </w:p>
        </w:tc>
        <w:tc>
          <w:tcPr>
            <w:tcBorders/>
            <w:vAlign w:val="center"/>
          </w:tcPr>
          <w:p>
            <w:pPr>
              <w:pStyle w:val="TableText"/>
              <w:jc w:val="left"/>
            </w:pPr>
            <w:r>
              <w:rPr>
                <w:noProof/>
              </w:rPr>
              <w:t xml:space="preserve">所加电压噪声的标准差</w:t>
            </w:r>
          </w:p>
        </w:tc>
      </w:tr>
      <w:tr>
        <w:trPr>
          <w:cantSplit/>
        </w:trPr>
        <w:tc>
          <w:tcPr>
            <w:tcBorders/>
            <w:vAlign w:val="center"/>
          </w:tcPr>
          <w:p>
            <w:pPr>
              <w:pStyle w:val="TableText"/>
            </w:pPr>
          </w:p>
        </w:tc>
        <w:tc>
          <w:tcPr>
            <w:tcBorders/>
            <w:vAlign w:val="center"/>
          </w:tcPr>
          <w:p>
            <w:pPr>
              <w:pStyle w:val="TableText"/>
            </w:pP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主配置（MLP + PatchTST）</w:t>
            </w:r>
          </w:p>
        </w:tc>
      </w:tr>
      <w:tr>
        <w:trPr>
          <w:cantSplit/>
        </w:trPr>
        <w:tc>
          <w:tcPr>
            <w:tcBorders/>
            <w:vAlign w:val="center"/>
          </w:tcPr>
          <w:p>
            <w:pPr>
              <w:pStyle w:val="TableText"/>
            </w:pPr>
          </w:p>
        </w:tc>
        <w:tc>
          <w:tcPr>
            <w:tcBorders/>
            <w:vAlign w:val="center"/>
          </w:tcPr>
          <w:p>
            <w:pPr>
              <w:pStyle w:val="TableText"/>
            </w:pPr>
          </w:p>
        </w:tc>
        <w:tc>
          <w:tcPr>
            <w:tcBorders/>
            <w:vAlign w:val="center"/>
          </w:tcPr>
          <w:p>
            <w:pPr>
              <w:pStyle w:val="TableText"/>
              <w:jc w:val="left"/>
            </w:pPr>
            <w:r>
              <w:rPr>
                <w:noProof/>
              </w:rPr>
              <w:t xml:space="preserve">A1–A4, D1–D3, P1–P3</w:t>
            </w:r>
          </w:p>
        </w:tc>
        <w:tc>
          <w:tcPr>
            <w:tcBorders/>
            <w:vAlign w:val="center"/>
          </w:tcPr>
          <w:p>
            <w:pPr>
              <w:pStyle w:val="TableText"/>
              <w:jc w:val="left"/>
            </w:pPr>
            <w:r>
              <w:rPr>
                <w:noProof/>
              </w:rPr>
              <w:t xml:space="preserve">消融配置（3.5.1节）</w:t>
            </w:r>
          </w:p>
        </w:tc>
      </w:tr>
      <w:tr>
        <w:trPr>
          <w:cantSplit/>
        </w:trPr>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left"/>
            </w:pPr>
            <w:r>
              <w:rPr>
                <w:noProof/>
              </w:rPr>
              <w:t xml:space="preserve">pp</w:t>
            </w:r>
          </w:p>
        </w:tc>
        <w:tc>
          <w:tcPr>
            <w:tcBorders>
              <w:bottom w:val="single" w:sz="12" w:space="0" w:color="000000"/>
            </w:tcBorders>
            <w:vAlign w:val="center"/>
          </w:tcPr>
          <w:p>
            <w:pPr>
              <w:pStyle w:val="TableText"/>
              <w:jc w:val="left"/>
            </w:pPr>
            <w:r>
              <w:rPr>
                <w:noProof/>
              </w:rPr>
              <w:t xml:space="preserve">SOH百分点</w:t>
            </w:r>
          </w:p>
        </w:tc>
      </w:tr>
    </w:tbl>
    <w:bookmarkStart w:id="20" w:name="引言"/>
    <w:p>
      <w:pPr>
        <w:pStyle w:val="Heading1"/>
      </w:pPr>
      <w:r>
        <w:t xml:space="preserve">1 引言</w:t>
      </w:r>
    </w:p>
    <w:p>
      <w:pPr>
        <w:pStyle w:val="FirstParagraph"/>
      </w:pPr>
      <w:r>
        <w:t xml:space="preserve">电动汽车和储能系统中的锂离子电池在整个服役期内持续老化。健康状态（SOH）评估对于估计可用能量和功率、安排维护以及决定梯次利用至关重要[1–3]。容量型SOH定义为电池当前容量与初始容量之比，直接测量需要在受控条件下进行完整充放电。这类测试通常耗时数小时并中断电池正常运行，难以在现场频繁开展[4,5]，因此SOH须借助获取更快的信号来推断。已有数据驱动方法分别基于差分曲线、部分充电曲线、电压弛豫、电化学阻抗谱（EIS）和短时电流脉冲。这些方法大多对运行条件要求苛刻，如长时间采集数据、受控的完整循环或专用激励硬件[1,4,6,8–11]；例如差分曲线的特征峰还会被传感器噪声和磷酸铁锂（LFP）电芯平坦的电压平台所模糊[7]。这些条件在实验室之外难以满足。短时电流脉冲是一个例外。电流脉冲实质上是一种时域阻抗测量[12]，在适当的测试条件下，其响应甚至可用于重构阻抗谱[13]。锂库存损失、活性材料损失和界面膜生长等老化模式都会改变脉冲响应，使其随老化而演变[12,14]；基于脉冲的特性测试也已是电池测试中的标准手段[15]。完整的混合脉冲功率特性测试序列可能超过12 h[17]，而单次脉冲只持续数秒至数分钟，只需一个受控的电流阶跃，因此脉冲测试是估计容量的快速、实用途径[16]。对于LFP电芯，脉冲响应以动力学过电位为主，即使在平衡电压几乎不变的区间，其随老化的变化仍然可测。</w:t>
      </w:r>
    </w:p>
    <w:p>
      <w:pPr>
        <w:pStyle w:val="BodyText"/>
      </w:pPr>
      <w:r>
        <w:t xml:space="preserve">数据驱动的SOH估计依赖从电压、电流、温度或阻抗测量中提取的输入特征，不同研究依电池类型、工况和模型结构采用不同形式，包括电压曲线、增量容量或差分电压曲线、统计量、频域指标和模型参数。在电池管理系统（BMS）中部署还带来额外约束：推断须在资源受限的硬件上实时运行，而黑箱行为会削弱安全相关决策的可信度[18,19]。按获取方式，输入可分为两类[21,22]。一类从电压、电流、温度或增量容量曲线中提取人工健康指标，作为回归模型的输入[3]；这些指标具有物理可解释性，但依赖专家经验，且难以迁移到不同工况[21,22]。另一类由深度网络直接从原始序列中学习表征，免去了人工特征设计，但可解释性有限，其性能很大程度上取决于网络结构与任务的匹配程度[18,22]。多分支模型可通过融合多种输入表征兼顾两者的优点[23–25]；然而其编码器在设计时即已固定，对比评价主要针对基线模型和融合策略，而非对分支编码器的系统比较[24,25]。在一致协议和严格交叉验证下的系统比较也仍然有限[26]，部分基准研究只考虑单一输入类型[27]。因此，特征提取方式尚无共识；这种分散局面加上缺乏标准评价协议，使不同方法难以在同一基础上比较，也难以迁移到新的电池或实际BMS中[20]。</w:t>
      </w:r>
    </w:p>
    <w:p>
      <w:pPr>
        <w:pStyle w:val="BodyText"/>
      </w:pPr>
      <w:r>
        <w:t xml:space="preserve">在基于短时电流脉冲的SOH估计中，现有研究各自只使用一种输入表征：Li等[16]和Nowacki等[28]使用原始脉冲响应，Tao等[17,29]和Ran等[30]则以从响应中提取的特征进行回归，跨SOC的迁移也已有研究[31]。这些研究证实短时脉冲含有与SOH相关的信息，但对于如何提取特征、哪种表征更优仍无共识。具体而言，有三个问题尚不清楚。第一，各分支编码器的主效应未知，包括人工特征采用更复杂的编码器能否提升性能。第二，编码器组合尚未被考察：波形编码器的表现可能取决于与之搭配的人工特征编码器，而只改变一个分支的比较无法发现这种依赖。第三，不同研究在输入信息[32–34]、数据划分与预处理[35,36]和训练设置[26]上存在差异，且缺乏公共基准[37]，限制了研究间的可比性。因此，需要在统一协议下同时改变两个分支的编码器、评价全部组合。这一问题也关系到部署：若更复杂的编码器并无收益，资源受限的BMS就应优先采用轻量结构。</w:t>
      </w:r>
    </w:p>
    <w:p>
      <w:pPr>
        <w:pStyle w:val="BodyText"/>
      </w:pPr>
      <w:r>
        <w:t xml:space="preserve">人工特征与原始波形的融合可以改善SOH估计[23–25,42]。然而，已有研究融合的是来自不同测量的信号[42,43]或同一信号的不同变换[24,25]，很少涉及同一脉冲所得人工特征与原始波形的融合；针对单个短时脉冲的补充编码器设计也很少受到关注。以人工特征作为主分支是SOH估计中的常见做法[3,17,29,30]。人工特征物理意义明确，适合轻量模型[21]，符合BMS对可解释性和成本的要求；原始波形所缺少的上下文（如使用历史）也可以作为显式特征加入。然而，人工特征是对响应的压缩：每项特征只描述一种预先定义的性质，难以保证覆盖各工况下所有与老化相关的变化[22]。此外，多数人工特征是逐项计算的差值、统计量或频域量，难以刻画瞬态不同部分之间的联合变化。学习型编码器可以直接从原始波形中提取这类形状信息，包括人工特征未覆盖的信息。但单独使用时，学习型编码器的可解释性有限[18]，原始波形也不含工况和使用历史信息。因此，学习型波形编码器更适合作为人工特征的补充，而非替代。</w:t>
      </w:r>
    </w:p>
    <w:p>
      <w:pPr>
        <w:pStyle w:val="BodyText"/>
      </w:pPr>
      <w:r>
        <w:t xml:space="preserve">对于波形分支，片段化编码器是有前景的候选。PatchTST将连续片段编码为标记，并通过自注意力建立片段之间的联系[40]，可能与逐项计算的特征形成互补。然而，它原本是为长序列预测设计的[40]。在电池研究中，PatchTST已用于SOH估计[44]、寿命预测[45]和电压预测[46]，但如何将其改造用于短时脉冲输入和标量健康状态估计仍未被研究。</w:t>
      </w:r>
    </w:p>
    <w:p>
      <w:pPr>
        <w:pStyle w:val="BodyText"/>
      </w:pPr>
      <w:r>
        <w:t xml:space="preserve">针对上述问题，本文在统一实验协议下构建波形编码器与人工特征编码器的完整比较矩阵，各组合采用相同的数据划分、预处理和训练预算。矩阵包括卷积、全连接、时间卷积[38]、逐点注意力[39]和片段化[40]5种结构的波形编码器，以及多层感知机（MLP）、ResNet和FT-Transformer[41]3种人工特征编码器，全部组合均以电芯互斥交叉验证进行比较。与预先选定分支编码器的融合研究[23–25]或只使用单一输入的模型比较[27]不同，该设计可以估计主效应、检验编码器组合依赖，并将误差差异归因于编码器本身。在比较矩阵的基础上，本文构建双分支模型：主分支为人工特征分支，由MLP编码，并纳入工况上下文和累计循环信息；补充分支为片段化波形表征，并给出将PatchTST由时间序列预测改造用于标量SOH估计的具体方案。两个分支在后期融合。为体现容量随循环总体下降的规律，本文对预测SOH关于累计循环数施加单调软约束；与基于退化动力学、机理特征或数字孪生的方法[47–49]不同，该约束不需要机理模型。消融实验和电芯层级的统计分析量化了各设计因素的贡献。</w:t>
      </w:r>
    </w:p>
    <w:p>
      <w:pPr>
        <w:pStyle w:val="BodyText"/>
      </w:pPr>
      <w:r>
        <w:t xml:space="preserve">本文的主要贡献如下：</w:t>
      </w:r>
    </w:p>
    <w:p>
      <w:pPr>
        <w:pStyle w:val="BodyText"/>
      </w:pPr>
      <w:r>
        <w:t xml:space="preserve">（1）在统一实验协议下构建波形编码器与人工特征编码器的完整比较矩阵，在相同的数据划分、预处理和训练预算下，可比地评价各编码器的主效应及其组合依赖。</w:t>
      </w:r>
    </w:p>
    <w:p>
      <w:pPr>
        <w:pStyle w:val="BodyText"/>
      </w:pPr>
      <w:r>
        <w:t xml:space="preserve">（2）构建基于短时电流脉冲的双分支SOH估计模型，以人工特征分支为主、片段化波形表征为补充，纳入工况上下文和累计循环信息，并给出PatchTST用于标量SOH估计的具体改造方案。消融实验和电芯层级的统计分析分离出各设计因素的贡献，并明确波形分支发挥作用的条件。</w:t>
      </w:r>
    </w:p>
    <w:p>
      <w:pPr>
        <w:pStyle w:val="BodyText"/>
      </w:pPr>
      <w:r>
        <w:t xml:space="preserve">（3）在留出循环工况、循环数误差与传感器噪声、精简脉冲协议以及独立的镍钴锰（NMC）/石墨数据集上检验模型的通用性，其中波形增量在NMC数据集上得到重复，并量化了模型的归因与计算开销。</w:t>
      </w:r>
    </w:p>
    <w:bookmarkEnd w:id="20"/>
    <w:bookmarkStart w:id="32" w:name="数据与统一实验协议"/>
    <w:p>
      <w:pPr>
        <w:pStyle w:val="Heading1"/>
      </w:pPr>
      <w:r>
        <w:t xml:space="preserve">2 数据与统一实验协议</w:t>
      </w:r>
    </w:p>
    <w:p>
      <w:pPr>
        <w:pStyle w:val="FirstParagraph"/>
      </w:pPr>
      <w:r>
        <w:t xml:space="preserve">为使编码器之间的误差差异能够归因于结构本身，全部模型共用同一数据协议：清洗规则、电芯划分、两分支的输入政策以及训练折内的特征筛选与缩放，在15种编码器组合和全部补充实验中保持一致（表1）。</w:t>
      </w:r>
    </w:p>
    <w:bookmarkStart w:id="24" w:name="数据来源脉冲协议与健康状态定义"/>
    <w:p>
      <w:pPr>
        <w:pStyle w:val="Heading2"/>
      </w:pPr>
      <w:r>
        <w:t xml:space="preserve">2.1 数据来源、脉冲协议与健康状态定义</w:t>
      </w:r>
    </w:p>
    <w:p>
      <w:pPr>
        <w:pStyle w:val="FirstParagraph"/>
      </w:pPr>
      <w:r>
        <w:t xml:space="preserve">公开的UConn-ISU-ILCC LFP/Gr电池老化数据集[28]包含64个标称容量为1.2 Ah的磷酸铁锂/石墨功率型电芯，分11种循环工况老化，各工况在恒流–恒压（CC–CV）充电倍率（2C～3.25C）、恒流放电倍率（1.5C或2C）和放电深度（DOD，60%～100%）上不同（补充表S1）。老化过程约每100次循环中断一次，开展参考性能测试（RPT），测量剩余容量并施加短时脉冲[28,31]。全部老化试验与RPT均由数据发布方完成，本文仅对数据进行再分析。</w:t>
      </w:r>
    </w:p>
    <w:p>
      <w:pPr>
        <w:pStyle w:val="BodyText"/>
      </w:pPr>
      <w:r>
        <w:t xml:space="preserve">每个RPT在三个SOC下各施加一次充电脉冲和一次放电脉冲。单次脉冲依次为0.2C电流30 s、1C电流10 s和静置60 s（图1a）[31]，持续100 s，通过的电量约为标称容量的0.44%。脉冲以预设的电压截止点触发，因此20%、50%和90%是寿命初期对应的名义SOC，随着容量衰减，实际SOC会逐渐偏离名义值[31]。每个RPT由此得到六个工况（三个名义SOC × 两个方向）的记录。在1 Hz记录中，电流阶跃处的电压跃变主要反映欧姆电阻与快速的电荷转移过程，恒流期间电压的持续变化还包含扩散的贡献，静置段的缓慢恢复则以扩散弛豫为主[12]（图1b、c）。0.2C段与1C段末点之间的电压差给出10 s直流内阻（DCIR），供2.3.2节使用。</w:t>
      </w:r>
    </w:p>
    <w:p>
      <w:pPr>
        <w:pStyle w:val="BodyText"/>
      </w:pPr>
      <w:r>
        <w:t xml:space="preserve">SOH以同一电芯首次RPT的放电容量为归一化基准：</w:t>
      </w:r>
    </w:p>
    <w:p>
      <w:pPr>
        <w:pStyle w:val="Equation"/>
        <w:tabs>
          <w:tab w:val="center" w:pos="4648"/>
          <w:tab w:val="right" w:pos="9297"/>
        </w:tabs>
      </w:pPr>
      <w:r>
        <w:rPr>
          <w:rFonts w:ascii="Times New Roman" w:hAnsi="Times New Roman" w:cs="Times New Roman"/>
          <w:sz w:val="22"/>
        </w:rPr>
        <w:tab/>
      </w:r>
      <m:oMath>
        <m:sSub>
          <m:e>
            <m:r>
              <m:t>y</m:t>
            </m:r>
          </m:e>
          <m:sub>
            <m:r>
              <m:t>i</m:t>
            </m:r>
            <m:r>
              <m:t>r</m:t>
            </m:r>
          </m:sub>
        </m:sSub>
        <m:r>
          <m:rPr>
            <m:sty m:val="p"/>
          </m:rPr>
          <m:t>=</m:t>
        </m:r>
        <m:r>
          <m:t>100</m:t>
        </m:r>
        <m:r>
          <m:rPr>
            <m:sty m:val="p"/>
          </m:rPr>
          <m:t>×</m:t>
        </m:r>
        <m:f>
          <m:fPr>
            <m:type m:val="bar"/>
          </m:fPr>
          <m:num>
            <m:sSub>
              <m:e>
                <m:r>
                  <m:t>Q</m:t>
                </m:r>
              </m:e>
              <m:sub>
                <m:r>
                  <m:t>i</m:t>
                </m:r>
                <m:r>
                  <m:t>r</m:t>
                </m:r>
              </m:sub>
            </m:sSub>
          </m:num>
          <m:den>
            <m:sSub>
              <m:e>
                <m:r>
                  <m:t>Q</m:t>
                </m:r>
              </m:e>
              <m:sub>
                <m:r>
                  <m:t>i</m:t>
                </m:r>
                <m:r>
                  <m:t>0</m:t>
                </m:r>
              </m:sub>
            </m:sSub>
          </m:den>
        </m:f>
      </m:oMath>
      <w:r>
        <w:rPr>
          <w:rFonts w:ascii="Times New Roman" w:hAnsi="Times New Roman" w:cs="Times New Roman"/>
          <w:sz w:val="22"/>
        </w:rPr>
        <w:tab/>
        <w:t>(1)</w:t>
      </w:r>
    </w:p>
    <w:p>
      <w:pPr>
        <w:pStyle w:val="BodyText"/>
      </w:pPr>
      <w:r>
        <w:t xml:space="preserve">式中，</w:t>
      </w:r>
      <m:oMath>
        <m:sSub>
          <m:e>
            <m:r>
              <m:t>Q</m:t>
            </m:r>
          </m:e>
          <m:sub>
            <m:r>
              <m:t>i</m:t>
            </m:r>
            <m:r>
              <m:t>r</m:t>
            </m:r>
          </m:sub>
        </m:sSub>
      </m:oMath>
      <w:r>
        <w:t xml:space="preserve">为电芯</w:t>
      </w:r>
      <m:oMath>
        <m:r>
          <m:t>i</m:t>
        </m:r>
      </m:oMath>
      <w:r>
        <w:t xml:space="preserve">在RPT</w:t>
      </w:r>
      <w:r>
        <w:t xml:space="preserve"> </w:t>
      </w:r>
      <m:oMath>
        <m:r>
          <m:t>r</m:t>
        </m:r>
      </m:oMath>
      <w:r>
        <w:t xml:space="preserve">下的放电容量。因此，SOH表示相对于初始测量值的容量保持率，而非相对于额定容量的保持率。该容量来自RPT中的完整参考放电，即脉冲诊断旨在替代的、耗时以小时计的测试；它仅用作标签，由它派生的任何量均不进入模型（2.3.2节）。</w:t>
      </w:r>
    </w:p>
    <w:p>
      <w:pPr>
        <w:pStyle w:val="BodyText"/>
      </w:pPr>
      <w:r>
        <w:t xml:space="preserve">每条记录包含101个电压采样点：第0点为施加电流前的最后一个电压值，其后30 s、10 s与60 s三段由发布方处理代码经分段三次Hermite插值重采样至1 Hz[31]。插值点不视为独立样本。每次推理使用一条脉冲记录，即一次100 s的测试。主指标将同一RPT内六条单记录预测取平均，对应在三个名义SOC下的联合诊断，其耗时还包括将电芯调整至各SOC的时间；单工况误差另行报告（4.3节）。</w:t>
      </w:r>
    </w:p>
    <w:p>
      <w:pPr>
        <w:pStyle w:val="CaptionedFigure"/>
      </w:pPr>
      <w:r>
        <w:drawing>
          <wp:inline>
            <wp:extent cx="5334000" cy="4449972"/>
            <wp:effectExtent b="0" l="0" r="0" t="0"/>
            <wp:docPr descr="图1 数据集与脉冲响应。(a) 充电（实线）与放电（虚线）脉冲的程控电流：C/5电流30 s、1C电流10 s、静置60 s。(b, c) 50%名义SOC下相对脉冲前电压的平均电压响应ΔV，按实测SOH分组（颜色越深表示SOH越低）；插图放大了1C段末端与弛豫起始处，该处过电位随老化增大。(d) 64个电芯的实测SOH随累计循环数的变化，按放电深度着色；折线连接实测RPT，不作插值。" title="" id="22" name="Picture"/>
            <a:graphic>
              <a:graphicData uri="http://schemas.openxmlformats.org/drawingml/2006/picture">
                <pic:pic>
                  <pic:nvPicPr>
                    <pic:cNvPr descr="figures/fig1_dataset.png" id="23" name="Picture"/>
                    <pic:cNvPicPr>
                      <a:picLocks noChangeArrowheads="1" noChangeAspect="1"/>
                    </pic:cNvPicPr>
                  </pic:nvPicPr>
                  <pic:blipFill>
                    <a:blip r:embed="rId21"/>
                    <a:stretch>
                      <a:fillRect/>
                    </a:stretch>
                  </pic:blipFill>
                  <pic:spPr bwMode="auto">
                    <a:xfrm>
                      <a:off x="0" y="0"/>
                      <a:ext cx="5334000" cy="4449972"/>
                    </a:xfrm>
                    <a:prstGeom prst="rect">
                      <a:avLst/>
                    </a:prstGeom>
                    <a:noFill/>
                    <a:ln w="9525">
                      <a:noFill/>
                      <a:headEnd/>
                      <a:tailEnd/>
                    </a:ln>
                  </pic:spPr>
                </pic:pic>
              </a:graphicData>
            </a:graphic>
          </wp:inline>
        </w:drawing>
      </w:r>
    </w:p>
    <w:p>
      <w:pPr>
        <w:pStyle w:val="ImageCaption"/>
      </w:pPr>
      <w:r>
        <w:rPr>
          <w:b/>
          <w:bCs/>
        </w:rPr>
        <w:t xml:space="preserve">图1</w:t>
      </w:r>
      <w:r>
        <w:t xml:space="preserve"> </w:t>
      </w:r>
      <w:r>
        <w:t xml:space="preserve">数据集与脉冲响应。(a) 充电（实线）与放电（虚线）脉冲的程控电流：C/5电流30 s、1C电流10 s、静置60 s。(b, c) 50%名义SOC下相对脉冲前电压的平均电压响应ΔV，按实测SOH分组（颜色越深表示SOH越低）；插图放大了1C段末端与弛豫起始处，该处过电位随老化增大。(d) 64个电芯的实测SOH随累计循环数的变化，按放电深度着色；折线连接实测RPT，不作插值。</w:t>
      </w:r>
    </w:p>
    <w:bookmarkEnd w:id="24"/>
    <w:bookmarkStart w:id="25" w:name="数据清洗与电芯互斥划分"/>
    <w:p>
      <w:pPr>
        <w:pStyle w:val="Heading2"/>
      </w:pPr>
      <w:r>
        <w:t xml:space="preserve">2.2 数据清洗与电芯互斥划分</w:t>
      </w:r>
    </w:p>
    <w:p>
      <w:pPr>
        <w:pStyle w:val="FirstParagraph"/>
      </w:pPr>
      <w:r>
        <w:t xml:space="preserve">清洗前共有17,130条记录，分属2,855个电芯–RPT组。记录只有通过全部预设检查才予保留：</w:t>
      </w:r>
    </w:p>
    <w:p>
      <w:pPr>
        <w:pStyle w:val="Equation"/>
        <w:tabs>
          <w:tab w:val="center" w:pos="4648"/>
          <w:tab w:val="right" w:pos="9297"/>
        </w:tabs>
      </w:pPr>
      <w:r>
        <w:rPr>
          <w:rFonts w:ascii="Times New Roman" w:hAnsi="Times New Roman" w:cs="Times New Roman"/>
          <w:sz w:val="22"/>
        </w:rPr>
        <w:tab/>
      </w:r>
      <m:oMath>
        <m:r>
          <m:rPr>
            <m:scr m:val="script"/>
            <m:sty m:val="p"/>
          </m:rPr>
          <m:t>A</m:t>
        </m:r>
        <m:r>
          <m:rPr>
            <m:sty m:val="p"/>
          </m:rPr>
          <m:t>=</m:t>
        </m:r>
        <m:d>
          <m:dPr>
            <m:begChr m:val="{"/>
            <m:sepChr m:val=""/>
            <m:endChr m:val="}"/>
            <m:grow/>
          </m:dPr>
          <m:e>
            <m:d>
              <m:dPr>
                <m:begChr m:val="("/>
                <m:sepChr m:val=""/>
                <m:endChr m:val=")"/>
                <m:grow/>
              </m:dPr>
              <m:e>
                <m:r>
                  <m:t>V</m:t>
                </m:r>
                <m:r>
                  <m:rPr>
                    <m:sty m:val="p"/>
                  </m:rPr>
                  <m:t>,</m:t>
                </m:r>
                <m:r>
                  <m:t>x</m:t>
                </m:r>
                <m:r>
                  <m:rPr>
                    <m:sty m:val="p"/>
                  </m:rPr>
                  <m:t>,</m:t>
                </m:r>
                <m:r>
                  <m:t>y</m:t>
                </m:r>
              </m:e>
            </m:d>
            <m:r>
              <m:rPr>
                <m:sty m:val="p"/>
              </m:rPr>
              <m:t>:</m:t>
            </m:r>
            <m:m>
              <m:mPr>
                <m:baseJc m:val="center"/>
                <m:plcHide m:val="on"/>
                <m:mcs>
                  <m:mc>
                    <m:mcPr>
                      <m:count m:val="1"/>
                      <m:mcJc m:val="right"/>
                    </m:mcPr>
                  </m:mc>
                  <m:mc>
                    <m:mcPr>
                      <m:count m:val="1"/>
                      <m:mcJc m:val="left"/>
                    </m:mcPr>
                  </m:mc>
                </m:mcs>
              </m:mPr>
              <m:mr>
                <m:e/>
                <m:e>
                  <m:sSub>
                    <m:e>
                      <m:r>
                        <m:t>V</m:t>
                      </m:r>
                    </m:e>
                    <m:sub>
                      <m:r>
                        <m:t>t</m:t>
                      </m:r>
                    </m:sub>
                  </m:sSub>
                  <m:r>
                    <m:rPr>
                      <m:sty m:val="p"/>
                    </m:rPr>
                    <m:t>∈</m:t>
                  </m:r>
                  <m:d>
                    <m:dPr>
                      <m:begChr m:val="["/>
                      <m:sepChr m:val=""/>
                      <m:endChr m:val="]"/>
                      <m:grow/>
                    </m:dPr>
                    <m:e>
                      <m:r>
                        <m:t>2.5</m:t>
                      </m:r>
                      <m:r>
                        <m:rPr>
                          <m:sty m:val="p"/>
                        </m:rPr>
                        <m:t>,</m:t>
                      </m:r>
                      <m:r>
                        <m:t>4.5</m:t>
                      </m:r>
                    </m:e>
                  </m:d>
                  <m:r>
                    <m:t> </m:t>
                  </m:r>
                  <m:r>
                    <m:rPr>
                      <m:sty m:val="p"/>
                    </m:rPr>
                    <m:t>V</m:t>
                  </m:r>
                  <m:r>
                    <m:t> </m:t>
                  </m:r>
                  <m:r>
                    <m:rPr>
                      <m:sty m:val="p"/>
                    </m:rPr>
                    <m:t>∀</m:t>
                  </m:r>
                  <m:r>
                    <m:t>t</m:t>
                  </m:r>
                  <m:r>
                    <m:rPr>
                      <m:sty m:val="p"/>
                    </m:rPr>
                    <m:t>;</m:t>
                  </m:r>
                  <m:r>
                    <m:t> </m:t>
                  </m:r>
                  <m:r>
                    <m:t> </m:t>
                  </m:r>
                  <m:limLow>
                    <m:e>
                      <m:r>
                        <m:rPr>
                          <m:sty m:val="p"/>
                        </m:rPr>
                        <m:t>max</m:t>
                      </m:r>
                    </m:e>
                    <m:lim>
                      <m:r>
                        <m:t>t</m:t>
                      </m:r>
                    </m:lim>
                  </m:limLow>
                  <m:sSub>
                    <m:e>
                      <m:r>
                        <m:t>V</m:t>
                      </m:r>
                    </m:e>
                    <m:sub>
                      <m:r>
                        <m:t>t</m:t>
                      </m:r>
                    </m:sub>
                  </m:sSub>
                  <m:r>
                    <m:rPr>
                      <m:sty m:val="p"/>
                    </m:rPr>
                    <m:t>−</m:t>
                  </m:r>
                  <m:limLow>
                    <m:e>
                      <m:r>
                        <m:rPr>
                          <m:sty m:val="p"/>
                        </m:rPr>
                        <m:t>min</m:t>
                      </m:r>
                    </m:e>
                    <m:lim>
                      <m:r>
                        <m:t>t</m:t>
                      </m:r>
                    </m:lim>
                  </m:limLow>
                  <m:sSub>
                    <m:e>
                      <m:r>
                        <m:t>V</m:t>
                      </m:r>
                    </m:e>
                    <m:sub>
                      <m:r>
                        <m:t>t</m:t>
                      </m:r>
                    </m:sub>
                  </m:sSub>
                  <m:r>
                    <m:rPr>
                      <m:sty m:val="p"/>
                    </m:rPr>
                    <m:t>∈</m:t>
                  </m:r>
                  <m:d>
                    <m:dPr>
                      <m:begChr m:val="["/>
                      <m:sepChr m:val=""/>
                      <m:endChr m:val="]"/>
                      <m:grow/>
                    </m:dPr>
                    <m:e>
                      <m:r>
                        <m:t>0.005</m:t>
                      </m:r>
                      <m:r>
                        <m:rPr>
                          <m:sty m:val="p"/>
                        </m:rPr>
                        <m:t>,</m:t>
                      </m:r>
                      <m:r>
                        <m:t>0.5</m:t>
                      </m:r>
                    </m:e>
                  </m:d>
                  <m:r>
                    <m:t> </m:t>
                  </m:r>
                  <m:r>
                    <m:rPr>
                      <m:sty m:val="p"/>
                    </m:rPr>
                    <m:t>V</m:t>
                  </m:r>
                  <m:r>
                    <m:rPr>
                      <m:sty m:val="p"/>
                    </m:rPr>
                    <m:t>;</m:t>
                  </m:r>
                  <m:r>
                    <m:t> </m:t>
                  </m:r>
                  <m:r>
                    <m:t> </m:t>
                  </m:r>
                  <m:limLow>
                    <m:e>
                      <m:r>
                        <m:rPr>
                          <m:sty m:val="p"/>
                        </m:rPr>
                        <m:t>max</m:t>
                      </m:r>
                    </m:e>
                    <m:lim>
                      <m:r>
                        <m:t>t</m:t>
                      </m:r>
                    </m:lim>
                  </m:limLow>
                  <m:d>
                    <m:dPr>
                      <m:begChr m:val="|"/>
                      <m:sepChr m:val=""/>
                      <m:endChr m:val="|"/>
                      <m:grow/>
                    </m:dPr>
                    <m:e>
                      <m:sSub>
                        <m:e>
                          <m:r>
                            <m:t>V</m:t>
                          </m:r>
                        </m:e>
                        <m:sub>
                          <m:r>
                            <m:t>t</m:t>
                          </m:r>
                          <m:r>
                            <m:rPr>
                              <m:sty m:val="p"/>
                            </m:rPr>
                            <m:t>+</m:t>
                          </m:r>
                          <m:r>
                            <m:t>1</m:t>
                          </m:r>
                        </m:sub>
                      </m:sSub>
                      <m:r>
                        <m:rPr>
                          <m:sty m:val="p"/>
                        </m:rPr>
                        <m:t>−</m:t>
                      </m:r>
                      <m:sSub>
                        <m:e>
                          <m:r>
                            <m:t>V</m:t>
                          </m:r>
                        </m:e>
                        <m:sub>
                          <m:r>
                            <m:t>t</m:t>
                          </m:r>
                        </m:sub>
                      </m:sSub>
                    </m:e>
                  </m:d>
                  <m:r>
                    <m:rPr>
                      <m:sty m:val="p"/>
                    </m:rPr>
                    <m:t>≤</m:t>
                  </m:r>
                  <m:r>
                    <m:t>0.1</m:t>
                  </m:r>
                  <m:r>
                    <m:t> </m:t>
                  </m:r>
                  <m:r>
                    <m:rPr>
                      <m:sty m:val="p"/>
                    </m:rPr>
                    <m:t>V</m:t>
                  </m:r>
                </m:e>
              </m:mr>
              <m:mr>
                <m:e/>
                <m:e>
                  <m:r>
                    <m:t>y</m:t>
                  </m:r>
                  <m:r>
                    <m:rPr>
                      <m:sty m:val="p"/>
                    </m:rPr>
                    <m:t>∈</m:t>
                  </m:r>
                  <m:d>
                    <m:dPr>
                      <m:begChr m:val="["/>
                      <m:sepChr m:val=""/>
                      <m:endChr m:val="]"/>
                      <m:grow/>
                    </m:dPr>
                    <m:e>
                      <m:r>
                        <m:t>0</m:t>
                      </m:r>
                      <m:r>
                        <m:rPr>
                          <m:sty m:val="p"/>
                        </m:rPr>
                        <m:t>,</m:t>
                      </m:r>
                      <m:r>
                        <m:t>110</m:t>
                      </m:r>
                    </m:e>
                  </m:d>
                  <m:r>
                    <m:rPr>
                      <m:sty m:val="p"/>
                    </m:rPr>
                    <m:t>;</m:t>
                  </m:r>
                  <m:r>
                    <m:t> </m:t>
                  </m:r>
                  <m:r>
                    <m:t> </m:t>
                  </m:r>
                  <m:sSub>
                    <m:e>
                      <m:r>
                        <m:t>q</m:t>
                      </m:r>
                    </m:e>
                    <m:sub>
                      <m:r>
                        <m:rPr>
                          <m:sty m:val="p"/>
                        </m:rPr>
                        <m:t>m</m:t>
                      </m:r>
                      <m:r>
                        <m:rPr>
                          <m:sty m:val="p"/>
                        </m:rPr>
                        <m:t>i</m:t>
                      </m:r>
                      <m:r>
                        <m:rPr>
                          <m:sty m:val="p"/>
                        </m:rPr>
                        <m:t>s</m:t>
                      </m:r>
                      <m:r>
                        <m:rPr>
                          <m:sty m:val="p"/>
                        </m:rPr>
                        <m:t>s</m:t>
                      </m:r>
                    </m:sub>
                  </m:sSub>
                  <m:r>
                    <m:rPr>
                      <m:sty m:val="p"/>
                    </m:rPr>
                    <m:t>≤</m:t>
                  </m:r>
                  <m:r>
                    <m:t>0.20</m:t>
                  </m:r>
                  <m:r>
                    <m:rPr>
                      <m:sty m:val="p"/>
                    </m:rPr>
                    <m:t>;</m:t>
                  </m:r>
                  <m:r>
                    <m:t> </m:t>
                  </m:r>
                  <m:r>
                    <m:t> </m:t>
                  </m:r>
                  <m:d>
                    <m:dPr>
                      <m:begChr m:val="|"/>
                      <m:sepChr m:val=""/>
                      <m:endChr m:val="|"/>
                      <m:grow/>
                    </m:dPr>
                    <m:e>
                      <m:sSub>
                        <m:e>
                          <m:r>
                            <m:t>G</m:t>
                          </m:r>
                        </m:e>
                        <m:sub>
                          <m:r>
                            <m:t>i</m:t>
                          </m:r>
                          <m:r>
                            <m:rPr>
                              <m:sty m:val="p"/>
                            </m:rPr>
                            <m:t>,</m:t>
                          </m:r>
                          <m:r>
                            <m:t>r</m:t>
                          </m:r>
                        </m:sub>
                      </m:sSub>
                    </m:e>
                  </m:d>
                  <m:r>
                    <m:rPr>
                      <m:sty m:val="p"/>
                    </m:rPr>
                    <m:t>=</m:t>
                  </m:r>
                  <m:r>
                    <m:t>6</m:t>
                  </m:r>
                  <m:r>
                    <m:rPr>
                      <m:sty m:val="p"/>
                    </m:rPr>
                    <m:t>;</m:t>
                  </m:r>
                  <m:r>
                    <m:t> </m:t>
                  </m:r>
                  <m:r>
                    <m:t> </m:t>
                  </m:r>
                  <m:limLow>
                    <m:e>
                      <m:r>
                        <m:rPr>
                          <m:sty m:val="p"/>
                        </m:rPr>
                        <m:t>max</m:t>
                      </m:r>
                    </m:e>
                    <m:lim>
                      <m:r>
                        <m:t>g</m:t>
                      </m:r>
                      <m:r>
                        <m:rPr>
                          <m:sty m:val="p"/>
                        </m:rPr>
                        <m:t>∈</m:t>
                      </m:r>
                      <m:sSub>
                        <m:e>
                          <m:r>
                            <m:t>G</m:t>
                          </m:r>
                        </m:e>
                        <m:sub>
                          <m:r>
                            <m:t>i</m:t>
                          </m:r>
                          <m:r>
                            <m:rPr>
                              <m:sty m:val="p"/>
                            </m:rPr>
                            <m:t>,</m:t>
                          </m:r>
                          <m:r>
                            <m:t>r</m:t>
                          </m:r>
                        </m:sub>
                      </m:sSub>
                    </m:lim>
                  </m:limLow>
                  <m:sSub>
                    <m:e>
                      <m:r>
                        <m:t>y</m:t>
                      </m:r>
                    </m:e>
                    <m:sub>
                      <m:r>
                        <m:t>g</m:t>
                      </m:r>
                    </m:sub>
                  </m:sSub>
                  <m:r>
                    <m:rPr>
                      <m:sty m:val="p"/>
                    </m:rPr>
                    <m:t>−</m:t>
                  </m:r>
                  <m:limLow>
                    <m:e>
                      <m:r>
                        <m:rPr>
                          <m:sty m:val="p"/>
                        </m:rPr>
                        <m:t>min</m:t>
                      </m:r>
                    </m:e>
                    <m:lim>
                      <m:r>
                        <m:t>g</m:t>
                      </m:r>
                      <m:r>
                        <m:rPr>
                          <m:sty m:val="p"/>
                        </m:rPr>
                        <m:t>∈</m:t>
                      </m:r>
                      <m:sSub>
                        <m:e>
                          <m:r>
                            <m:t>G</m:t>
                          </m:r>
                        </m:e>
                        <m:sub>
                          <m:r>
                            <m:t>i</m:t>
                          </m:r>
                          <m:r>
                            <m:rPr>
                              <m:sty m:val="p"/>
                            </m:rPr>
                            <m:t>,</m:t>
                          </m:r>
                          <m:r>
                            <m:t>r</m:t>
                          </m:r>
                        </m:sub>
                      </m:sSub>
                    </m:lim>
                  </m:limLow>
                  <m:sSub>
                    <m:e>
                      <m:r>
                        <m:t>y</m:t>
                      </m:r>
                    </m:e>
                    <m:sub>
                      <m:r>
                        <m:t>g</m:t>
                      </m:r>
                    </m:sub>
                  </m:sSub>
                  <m:r>
                    <m:rPr>
                      <m:sty m:val="p"/>
                    </m:rPr>
                    <m:t>≤</m:t>
                  </m:r>
                  <m:sSup>
                    <m:e>
                      <m:r>
                        <m:t>10</m:t>
                      </m:r>
                    </m:e>
                    <m:sup>
                      <m:r>
                        <m:rPr>
                          <m:sty m:val="p"/>
                        </m:rPr>
                        <m:t>−</m:t>
                      </m:r>
                      <m:r>
                        <m:t>5</m:t>
                      </m:r>
                    </m:sup>
                  </m:sSup>
                </m:e>
              </m:mr>
            </m:m>
          </m:e>
        </m:d>
      </m:oMath>
      <w:r>
        <w:rPr>
          <w:rFonts w:ascii="Times New Roman" w:hAnsi="Times New Roman" w:cs="Times New Roman"/>
          <w:sz w:val="22"/>
        </w:rPr>
        <w:tab/>
        <w:t>(2)</w:t>
      </w:r>
    </w:p>
    <w:p>
      <w:pPr>
        <w:pStyle w:val="BodyText"/>
      </w:pPr>
      <w:r>
        <w:t xml:space="preserve">式中，</w:t>
      </w:r>
      <m:oMath>
        <m:sSub>
          <m:e>
            <m:r>
              <m:t>V</m:t>
            </m:r>
          </m:e>
          <m:sub>
            <m:r>
              <m:t>t</m:t>
            </m:r>
          </m:sub>
        </m:sSub>
      </m:oMath>
      <w:r>
        <w:t xml:space="preserve">为第</w:t>
      </w:r>
      <m:oMath>
        <m:r>
          <m:t>t</m:t>
        </m:r>
      </m:oMath>
      <w:r>
        <w:t xml:space="preserve">个电压采样点，</w:t>
      </w:r>
      <m:oMath>
        <m:r>
          <m:t>y</m:t>
        </m:r>
      </m:oMath>
      <w:r>
        <w:t xml:space="preserve">为百分数形式的SOH，</w:t>
      </w:r>
      <m:oMath>
        <m:sSub>
          <m:e>
            <m:r>
              <m:t>q</m:t>
            </m:r>
          </m:e>
          <m:sub>
            <m:r>
              <m:rPr>
                <m:sty m:val="p"/>
              </m:rPr>
              <m:t>m</m:t>
            </m:r>
            <m:r>
              <m:rPr>
                <m:sty m:val="p"/>
              </m:rPr>
              <m:t>i</m:t>
            </m:r>
            <m:r>
              <m:rPr>
                <m:sty m:val="p"/>
              </m:rPr>
              <m:t>s</m:t>
            </m:r>
            <m:r>
              <m:rPr>
                <m:sty m:val="p"/>
              </m:rPr>
              <m:t>s</m:t>
            </m:r>
          </m:sub>
        </m:sSub>
      </m:oMath>
      <w:r>
        <w:t xml:space="preserve">为人工特征的缺失比例，</w:t>
      </w:r>
      <m:oMath>
        <m:sSub>
          <m:e>
            <m:r>
              <m:t>G</m:t>
            </m:r>
          </m:e>
          <m:sub>
            <m:r>
              <m:t>i</m:t>
            </m:r>
            <m:r>
              <m:rPr>
                <m:sty m:val="p"/>
              </m:rPr>
              <m:t>,</m:t>
            </m:r>
            <m:r>
              <m:t>r</m:t>
            </m:r>
          </m:sub>
        </m:sSub>
      </m:oMath>
      <w:r>
        <w:t xml:space="preserve">为电芯</w:t>
      </w:r>
      <m:oMath>
        <m:r>
          <m:t>i</m:t>
        </m:r>
      </m:oMath>
      <w:r>
        <w:t xml:space="preserve">在RPT</w:t>
      </w:r>
      <w:r>
        <w:t xml:space="preserve"> </w:t>
      </w:r>
      <m:oMath>
        <m:r>
          <m:t>r</m:t>
        </m:r>
      </m:oMath>
      <w:r>
        <w:t xml:space="preserve">下的六条工况记录。被剔除的192条记录均因循环计数不是有限值：发布方数据缺少第42次RPT的循环计数，涉及全部到达该RPT的32个电芯（32个完整电芯–RPT组）。其余16,938条记录构成2,823个完整组，覆盖全部64个电芯，SOH范围为72.34%～100%（图1d）。上述阈值均预先设定并记入日志，未根据测试误差调整。</w:t>
      </w:r>
    </w:p>
    <w:p>
      <w:pPr>
        <w:pStyle w:val="BodyText"/>
      </w:pPr>
      <w:r>
        <w:t xml:space="preserve">采用划分种子42构造5个外层测试折：先置乱64个电芯编号，再划分为5个互斥测试集合。在每折的非测试电芯中，以折序号为偏移、步长为5抽取验证电芯，其余电芯用于训练，五折的训练/验证/测试电芯数依次为40/11/13、41/10/13、41/10/13、41/10/13与42/10/12。同一电芯的所有RPT与工况记录整体分配，因为按记录随机划分会高估精度[36]。全部实验采用同一划分，并以MLP主干＋PatchTST补充作为参考配置R0。</w:t>
      </w:r>
    </w:p>
    <w:p>
      <w:pPr>
        <w:pStyle w:val="TableCaption"/>
      </w:pPr>
      <w:r>
        <w:rPr>
          <w:b/>
        </w:rPr>
        <w:t xml:space="preserve">表1　</w:t>
      </w:r>
      <w:r>
        <w:rPr/>
        <w:t xml:space="preserve">数据、输入与实验设计</w:t>
      </w:r>
    </w:p>
    <w:tbl>
      <w:tblPr>
        <w:tblW w:type="pct" w:w="5000"/>
        <w:jc w:val="center"/>
        <w:tblLayout w:type="fixed"/>
        <w:tblCellMar>
          <w:top w:w="15" w:type="dxa"/>
          <w:left w:w="60" w:type="dxa"/>
          <w:bottom w:w="15" w:type="dxa"/>
          <w:right w:w="60" w:type="dxa"/>
        </w:tblCellMar>
        <w:tblCaption w:val="数据、输入与实验设计"/>
      </w:tblPr>
      <w:tblGrid>
        <w:gridCol w:w="1782"/>
        <w:gridCol w:w="613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项目</w:t>
            </w:r>
          </w:p>
        </w:tc>
        <w:tc>
          <w:tcPr>
            <w:tcBorders>
              <w:top w:val="single" w:sz="12" w:space="0" w:color="000000"/>
              <w:bottom w:val="single" w:sz="6" w:space="0" w:color="000000"/>
            </w:tcBorders>
            <w:vAlign w:val="center"/>
          </w:tcPr>
          <w:p>
            <w:pPr>
              <w:pStyle w:val="TableText"/>
              <w:jc w:val="left"/>
            </w:pPr>
            <w:r>
              <w:rPr>
                <w:b/>
                <w:noProof/>
              </w:rPr>
              <w:t xml:space="preserve">设置</w:t>
            </w:r>
          </w:p>
        </w:tc>
      </w:tr>
      <w:tr>
        <w:trPr>
          <w:cantSplit/>
        </w:trPr>
        <w:tc>
          <w:tcPr>
            <w:tcBorders/>
            <w:vAlign w:val="center"/>
          </w:tcPr>
          <w:p>
            <w:pPr>
              <w:pStyle w:val="TableText"/>
              <w:jc w:val="left"/>
            </w:pPr>
            <w:r>
              <w:rPr>
                <w:noProof/>
              </w:rPr>
              <w:t xml:space="preserve">数据</w:t>
            </w:r>
          </w:p>
        </w:tc>
        <w:tc>
          <w:tcPr>
            <w:tcBorders/>
            <w:vAlign w:val="center"/>
          </w:tcPr>
          <w:p>
            <w:pPr>
              <w:pStyle w:val="TableText"/>
              <w:jc w:val="left"/>
            </w:pPr>
            <w:r>
              <w:rPr>
                <w:noProof/>
              </w:rPr>
              <w:t xml:space="preserve">公开UConn-ISU-ILCC LFP/Gr数据集；64个电芯，16,938条记录，2,823个电芯–RPT组</w:t>
            </w:r>
          </w:p>
        </w:tc>
      </w:tr>
      <w:tr>
        <w:trPr>
          <w:cantSplit/>
        </w:trPr>
        <w:tc>
          <w:tcPr>
            <w:tcBorders/>
            <w:vAlign w:val="center"/>
          </w:tcPr>
          <w:p>
            <w:pPr>
              <w:pStyle w:val="TableText"/>
              <w:jc w:val="left"/>
            </w:pPr>
            <w:r>
              <w:rPr>
                <w:noProof/>
              </w:rPr>
              <w:t xml:space="preserve">脉冲工况</w:t>
            </w:r>
          </w:p>
        </w:tc>
        <w:tc>
          <w:tcPr>
            <w:tcBorders/>
            <w:vAlign w:val="center"/>
          </w:tcPr>
          <w:p>
            <w:pPr>
              <w:pStyle w:val="TableText"/>
              <w:jc w:val="left"/>
            </w:pPr>
            <w:r>
              <w:rPr>
                <w:noProof/>
              </w:rPr>
              <w:t xml:space="preserve">名义SOC 20%、50%、90% × 充电、放电；单次脉冲100 s</w:t>
            </w:r>
          </w:p>
        </w:tc>
      </w:tr>
      <w:tr>
        <w:trPr>
          <w:cantSplit/>
        </w:trPr>
        <w:tc>
          <w:tcPr>
            <w:tcBorders/>
            <w:vAlign w:val="center"/>
          </w:tcPr>
          <w:p>
            <w:pPr>
              <w:pStyle w:val="TableText"/>
              <w:jc w:val="left"/>
            </w:pPr>
            <w:r>
              <w:rPr>
                <w:noProof/>
              </w:rPr>
              <w:t xml:space="preserve">波形分支</w:t>
            </w:r>
          </w:p>
        </w:tc>
        <w:tc>
          <w:tcPr>
            <w:tcBorders/>
            <w:vAlign w:val="center"/>
          </w:tcPr>
          <w:p>
            <w:pPr>
              <w:pStyle w:val="TableText"/>
              <w:jc w:val="left"/>
            </w:pPr>
            <w:r>
              <w:rPr>
                <w:noProof/>
              </w:rPr>
              <w:t xml:space="preserve">101点ΔV，逐位置训练折标准化</w:t>
            </w:r>
          </w:p>
        </w:tc>
      </w:tr>
      <w:tr>
        <w:trPr>
          <w:cantSplit/>
        </w:trPr>
        <w:tc>
          <w:tcPr>
            <w:tcBorders/>
            <w:vAlign w:val="center"/>
          </w:tcPr>
          <w:p>
            <w:pPr>
              <w:pStyle w:val="TableText"/>
              <w:jc w:val="left"/>
            </w:pPr>
            <w:r>
              <w:rPr>
                <w:noProof/>
              </w:rPr>
              <w:t xml:space="preserve">主干分支</w:t>
            </w:r>
          </w:p>
        </w:tc>
        <w:tc>
          <w:tcPr>
            <w:tcBorders/>
            <w:vAlign w:val="center"/>
          </w:tcPr>
          <w:p>
            <w:pPr>
              <w:pStyle w:val="TableText"/>
              <w:jc w:val="left"/>
            </w:pPr>
            <w:r>
              <w:rPr>
                <w:noProof/>
              </w:rPr>
              <w:t xml:space="preserve">训练折筛选的50项特征（49项波形衍生量＋DCIR）＋累计循环数</w:t>
            </w:r>
            <w:r>
              <w:rPr>
                <w:i/>
                <w:iCs/>
                <w:noProof/>
              </w:rPr>
              <w:t xml:space="preserve">τ</w:t>
            </w:r>
          </w:p>
        </w:tc>
      </w:tr>
      <w:tr>
        <w:trPr>
          <w:cantSplit/>
        </w:trPr>
        <w:tc>
          <w:tcPr>
            <w:tcBorders/>
            <w:vAlign w:val="center"/>
          </w:tcPr>
          <w:p>
            <w:pPr>
              <w:pStyle w:val="TableText"/>
              <w:jc w:val="left"/>
            </w:pPr>
            <w:r>
              <w:rPr>
                <w:noProof/>
              </w:rPr>
              <w:t xml:space="preserve">排除的输入</w:t>
            </w:r>
          </w:p>
        </w:tc>
        <w:tc>
          <w:tcPr>
            <w:tcBorders/>
            <w:vAlign w:val="center"/>
          </w:tcPr>
          <w:p>
            <w:pPr>
              <w:pStyle w:val="TableText"/>
              <w:jc w:val="left"/>
            </w:pPr>
            <w:r>
              <w:rPr>
                <w:noProof/>
              </w:rPr>
              <w:t xml:space="preserve">库仑计SOC及其偏差（由参考容量派生）；同一RPT的其他记录；历史容量；电芯编号</w:t>
            </w:r>
          </w:p>
        </w:tc>
      </w:tr>
      <w:tr>
        <w:trPr>
          <w:cantSplit/>
        </w:trPr>
        <w:tc>
          <w:tcPr>
            <w:tcBorders/>
            <w:vAlign w:val="center"/>
          </w:tcPr>
          <w:p>
            <w:pPr>
              <w:pStyle w:val="TableText"/>
              <w:jc w:val="left"/>
            </w:pPr>
            <w:r>
              <w:rPr>
                <w:noProof/>
              </w:rPr>
              <w:t xml:space="preserve">验证</w:t>
            </w:r>
          </w:p>
        </w:tc>
        <w:tc>
          <w:tcPr>
            <w:tcBorders/>
            <w:vAlign w:val="center"/>
          </w:tcPr>
          <w:p>
            <w:pPr>
              <w:pStyle w:val="TableText"/>
              <w:jc w:val="left"/>
            </w:pPr>
            <w:r>
              <w:rPr>
                <w:noProof/>
              </w:rPr>
              <w:t xml:space="preserve">5个电芯互斥外层折；初始化种子0、1、2</w:t>
            </w:r>
          </w:p>
        </w:tc>
      </w:tr>
      <w:tr>
        <w:trPr>
          <w:cantSplit/>
        </w:trPr>
        <w:tc>
          <w:tcPr>
            <w:tcBorders/>
            <w:vAlign w:val="center"/>
          </w:tcPr>
          <w:p>
            <w:pPr>
              <w:pStyle w:val="TableText"/>
              <w:jc w:val="left"/>
            </w:pPr>
            <w:r>
              <w:rPr>
                <w:noProof/>
              </w:rPr>
              <w:t xml:space="preserve">编码器比较矩阵</w:t>
            </w:r>
          </w:p>
        </w:tc>
        <w:tc>
          <w:tcPr>
            <w:tcBorders/>
            <w:vAlign w:val="center"/>
          </w:tcPr>
          <w:p>
            <w:pPr>
              <w:pStyle w:val="TableText"/>
              <w:jc w:val="left"/>
            </w:pPr>
            <w:r>
              <w:rPr>
                <w:noProof/>
              </w:rPr>
              <w:t xml:space="preserve">5种波形编码器 × 3种主干编码器 × 5折 × 3种子 = 225次训练</w:t>
            </w:r>
          </w:p>
        </w:tc>
      </w:tr>
      <w:tr>
        <w:trPr>
          <w:cantSplit/>
        </w:trPr>
        <w:tc>
          <w:tcPr>
            <w:tcBorders/>
            <w:vAlign w:val="center"/>
          </w:tcPr>
          <w:p>
            <w:pPr>
              <w:pStyle w:val="TableText"/>
              <w:jc w:val="left"/>
            </w:pPr>
            <w:r>
              <w:rPr>
                <w:noProof/>
              </w:rPr>
              <w:t xml:space="preserve">其他实验</w:t>
            </w:r>
          </w:p>
        </w:tc>
        <w:tc>
          <w:tcPr>
            <w:tcBorders/>
            <w:vAlign w:val="center"/>
          </w:tcPr>
          <w:p>
            <w:pPr>
              <w:pStyle w:val="TableText"/>
              <w:jc w:val="left"/>
            </w:pPr>
            <w:r>
              <w:rPr>
                <w:noProof/>
              </w:rPr>
              <w:t xml:space="preserve">19个神经网络配置 × 15 = 285次训练；30个已有方法复现模型（3.5节）</w:t>
            </w:r>
          </w:p>
        </w:tc>
      </w:tr>
      <w:tr>
        <w:trPr>
          <w:cantSplit/>
        </w:trPr>
        <w:tc>
          <w:tcPr>
            <w:tcBorders>
              <w:bottom w:val="single" w:sz="12" w:space="0" w:color="000000"/>
            </w:tcBorders>
            <w:vAlign w:val="center"/>
          </w:tcPr>
          <w:p>
            <w:pPr>
              <w:pStyle w:val="TableText"/>
              <w:jc w:val="left"/>
            </w:pPr>
            <w:r>
              <w:rPr>
                <w:noProof/>
              </w:rPr>
              <w:t xml:space="preserve">主指标</w:t>
            </w:r>
          </w:p>
        </w:tc>
        <w:tc>
          <w:tcPr>
            <w:tcBorders>
              <w:bottom w:val="single" w:sz="12" w:space="0" w:color="000000"/>
            </w:tcBorders>
            <w:vAlign w:val="center"/>
          </w:tcPr>
          <w:p>
            <w:pPr>
              <w:pStyle w:val="TableText"/>
              <w:jc w:val="left"/>
            </w:pPr>
            <w:r>
              <w:rPr>
                <w:noProof/>
              </w:rPr>
              <w:t xml:space="preserve">同一RPT六工况预测平均后的电芯宏平均RMSE</w:t>
            </w:r>
          </w:p>
        </w:tc>
      </w:tr>
    </w:tbl>
    <w:bookmarkEnd w:id="25"/>
    <w:bookmarkStart w:id="29" w:name="人工特征主干输入"/>
    <w:p>
      <w:pPr>
        <w:pStyle w:val="Heading2"/>
      </w:pPr>
      <w:r>
        <w:t xml:space="preserve">2.3 人工特征主干输入</w:t>
      </w:r>
    </w:p>
    <w:bookmarkStart w:id="26" w:name="候选特征族"/>
    <w:p>
      <w:pPr>
        <w:pStyle w:val="Heading3"/>
      </w:pPr>
      <w:r>
        <w:t xml:space="preserve">2.3.1 候选特征族</w:t>
      </w:r>
    </w:p>
    <w:p>
      <w:pPr>
        <w:pStyle w:val="FirstParagraph"/>
      </w:pPr>
      <w:r>
        <w:t xml:space="preserve">人工特征分支是模型的主干。150项候选特征中，143项由单条脉冲的电压计算，7项描述工况与年龄（表2）。波形衍生特征沿用发布方的脉冲时序，分别作用于30 s小电流段、10 s大电流段、60 s静置段和全序列，分为六族，每项特征都有确定的计算窗口和公式（补充说明S1）。这些特征均为逐项计算：瞬态边界量虽跨越相邻区段，但只比较预先指定的采样点对，并不刻画整个瞬态中的联合形状变化，这也是本文设置波形补充分支的原因（2.4节）。</w:t>
      </w:r>
    </w:p>
    <w:p>
      <w:pPr>
        <w:pStyle w:val="TableCaption"/>
      </w:pPr>
      <w:r>
        <w:rPr>
          <w:b/>
        </w:rPr>
        <w:t xml:space="preserve">表2　</w:t>
      </w:r>
      <w:r>
        <w:rPr/>
        <w:t xml:space="preserve">人工特征候选族及其在第0折训练电芯上的入选情况</w:t>
      </w:r>
    </w:p>
    <w:tbl>
      <w:tblPr>
        <w:tblW w:type="pct" w:w="5000"/>
        <w:jc w:val="center"/>
        <w:tblLayout w:type="fixed"/>
        <w:tblCellMar>
          <w:top w:w="15" w:type="dxa"/>
          <w:left w:w="60" w:type="dxa"/>
          <w:bottom w:w="15" w:type="dxa"/>
          <w:right w:w="60" w:type="dxa"/>
        </w:tblCellMar>
        <w:tblCaption w:val="人工特征候选族及其在第0折训练电芯上的入选情况"/>
      </w:tblPr>
      <w:tblGrid>
        <w:gridCol w:w="1687"/>
        <w:gridCol w:w="908"/>
        <w:gridCol w:w="1687"/>
        <w:gridCol w:w="2726"/>
        <w:gridCol w:w="90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特征族</w:t>
            </w:r>
          </w:p>
        </w:tc>
        <w:tc>
          <w:tcPr>
            <w:tcBorders>
              <w:top w:val="single" w:sz="12" w:space="0" w:color="000000"/>
              <w:bottom w:val="single" w:sz="6" w:space="0" w:color="000000"/>
            </w:tcBorders>
            <w:vAlign w:val="center"/>
          </w:tcPr>
          <w:p>
            <w:pPr>
              <w:pStyle w:val="TableText"/>
              <w:jc w:val="right"/>
            </w:pPr>
            <w:r>
              <w:rPr>
                <w:b/>
                <w:noProof/>
              </w:rPr>
              <w:t xml:space="preserve">候选数</w:t>
            </w:r>
          </w:p>
        </w:tc>
        <w:tc>
          <w:tcPr>
            <w:tcBorders>
              <w:top w:val="single" w:sz="12" w:space="0" w:color="000000"/>
              <w:bottom w:val="single" w:sz="6" w:space="0" w:color="000000"/>
            </w:tcBorders>
            <w:vAlign w:val="center"/>
          </w:tcPr>
          <w:p>
            <w:pPr>
              <w:pStyle w:val="TableText"/>
              <w:jc w:val="left"/>
            </w:pPr>
            <w:r>
              <w:rPr>
                <w:b/>
                <w:noProof/>
              </w:rPr>
              <w:t xml:space="preserve">计算窗口</w:t>
            </w:r>
          </w:p>
        </w:tc>
        <w:tc>
          <w:tcPr>
            <w:tcBorders>
              <w:top w:val="single" w:sz="12" w:space="0" w:color="000000"/>
              <w:bottom w:val="single" w:sz="6" w:space="0" w:color="000000"/>
            </w:tcBorders>
            <w:vAlign w:val="center"/>
          </w:tcPr>
          <w:p>
            <w:pPr>
              <w:pStyle w:val="TableText"/>
              <w:jc w:val="left"/>
            </w:pPr>
            <w:r>
              <w:rPr>
                <w:b/>
                <w:noProof/>
              </w:rPr>
              <w:t xml:space="preserve">刻画内容</w:t>
            </w:r>
          </w:p>
        </w:tc>
        <w:tc>
          <w:tcPr>
            <w:tcBorders>
              <w:top w:val="single" w:sz="12" w:space="0" w:color="000000"/>
              <w:bottom w:val="single" w:sz="6" w:space="0" w:color="000000"/>
            </w:tcBorders>
            <w:vAlign w:val="center"/>
          </w:tcPr>
          <w:p>
            <w:pPr>
              <w:pStyle w:val="TableText"/>
              <w:jc w:val="right"/>
            </w:pPr>
            <w:r>
              <w:rPr>
                <w:b/>
                <w:noProof/>
              </w:rPr>
              <w:t xml:space="preserve">入选数</w:t>
            </w:r>
          </w:p>
        </w:tc>
      </w:tr>
      <w:tr>
        <w:trPr>
          <w:cantSplit/>
        </w:trPr>
        <w:tc>
          <w:tcPr>
            <w:tcBorders/>
            <w:vAlign w:val="center"/>
          </w:tcPr>
          <w:p>
            <w:pPr>
              <w:pStyle w:val="TableText"/>
              <w:jc w:val="left"/>
            </w:pPr>
            <w:r>
              <w:rPr>
                <w:noProof/>
              </w:rPr>
              <w:t xml:space="preserve">分段统计量</w:t>
            </w:r>
          </w:p>
        </w:tc>
        <w:tc>
          <w:tcPr>
            <w:tcBorders/>
            <w:vAlign w:val="center"/>
          </w:tcPr>
          <w:p>
            <w:pPr>
              <w:pStyle w:val="TableText"/>
              <w:jc w:val="right"/>
            </w:pPr>
            <w:r>
              <w:rPr>
                <w:noProof/>
              </w:rPr>
              <w:t xml:space="preserve">45</w:t>
            </w:r>
          </w:p>
        </w:tc>
        <w:tc>
          <w:tcPr>
            <w:tcBorders/>
            <w:vAlign w:val="center"/>
          </w:tcPr>
          <w:p>
            <w:pPr>
              <w:pStyle w:val="TableText"/>
              <w:jc w:val="left"/>
            </w:pPr>
            <w:r>
              <w:rPr>
                <w:noProof/>
              </w:rPr>
              <w:t xml:space="preserve">30 s、10 s、60 s三个区段</w:t>
            </w:r>
          </w:p>
        </w:tc>
        <w:tc>
          <w:tcPr>
            <w:tcBorders/>
            <w:vAlign w:val="center"/>
          </w:tcPr>
          <w:p>
            <w:pPr>
              <w:pStyle w:val="TableText"/>
              <w:jc w:val="left"/>
            </w:pPr>
            <w:r>
              <w:rPr>
                <w:noProof/>
              </w:rPr>
              <w:t xml:space="preserve">电压水平、离散度、形状、熵与线性趋势</w:t>
            </w:r>
          </w:p>
        </w:tc>
        <w:tc>
          <w:tcPr>
            <w:tcBorders/>
            <w:vAlign w:val="center"/>
          </w:tcPr>
          <w:p>
            <w:pPr>
              <w:pStyle w:val="TableText"/>
              <w:jc w:val="right"/>
            </w:pPr>
            <w:r>
              <w:rPr>
                <w:noProof/>
              </w:rPr>
              <w:t xml:space="preserve">9</w:t>
            </w:r>
          </w:p>
        </w:tc>
      </w:tr>
      <w:tr>
        <w:trPr>
          <w:cantSplit/>
        </w:trPr>
        <w:tc>
          <w:tcPr>
            <w:tcBorders/>
            <w:vAlign w:val="center"/>
          </w:tcPr>
          <w:p>
            <w:pPr>
              <w:pStyle w:val="TableText"/>
              <w:jc w:val="left"/>
            </w:pPr>
            <w:r>
              <w:rPr>
                <w:noProof/>
              </w:rPr>
              <w:t xml:space="preserve">全局波形量</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全序列</w:t>
            </w:r>
          </w:p>
        </w:tc>
        <w:tc>
          <w:tcPr>
            <w:tcBorders/>
            <w:vAlign w:val="center"/>
          </w:tcPr>
          <w:p>
            <w:pPr>
              <w:pStyle w:val="TableText"/>
              <w:jc w:val="left"/>
            </w:pPr>
            <w:r>
              <w:rPr>
                <w:noProof/>
              </w:rPr>
              <w:t xml:space="preserve">整体统计量、端点与分位数</w:t>
            </w:r>
          </w:p>
        </w:tc>
        <w:tc>
          <w:tcPr>
            <w:tcBorders/>
            <w:vAlign w:val="center"/>
          </w:tcPr>
          <w:p>
            <w:pPr>
              <w:pStyle w:val="TableText"/>
              <w:jc w:val="right"/>
            </w:pPr>
            <w:r>
              <w:rPr>
                <w:noProof/>
              </w:rPr>
              <w:t xml:space="preserve">7</w:t>
            </w:r>
          </w:p>
        </w:tc>
      </w:tr>
      <w:tr>
        <w:trPr>
          <w:cantSplit/>
        </w:trPr>
        <w:tc>
          <w:tcPr>
            <w:tcBorders/>
            <w:vAlign w:val="center"/>
          </w:tcPr>
          <w:p>
            <w:pPr>
              <w:pStyle w:val="TableText"/>
              <w:jc w:val="left"/>
            </w:pPr>
            <w:r>
              <w:rPr>
                <w:noProof/>
              </w:rPr>
              <w:t xml:space="preserve">差分动力学量</w:t>
            </w:r>
          </w:p>
        </w:tc>
        <w:tc>
          <w:tcPr>
            <w:tcBorders/>
            <w:vAlign w:val="center"/>
          </w:tcPr>
          <w:p>
            <w:pPr>
              <w:pStyle w:val="TableText"/>
              <w:jc w:val="right"/>
            </w:pPr>
            <w:r>
              <w:rPr>
                <w:noProof/>
              </w:rPr>
              <w:t xml:space="preserve">22</w:t>
            </w:r>
          </w:p>
        </w:tc>
        <w:tc>
          <w:tcPr>
            <w:tcBorders/>
            <w:vAlign w:val="center"/>
          </w:tcPr>
          <w:p>
            <w:pPr>
              <w:pStyle w:val="TableText"/>
              <w:jc w:val="left"/>
            </w:pPr>
            <w:r>
              <w:rPr>
                <w:noProof/>
              </w:rPr>
              <w:t xml:space="preserve">一阶、二阶差分</w:t>
            </w:r>
          </w:p>
        </w:tc>
        <w:tc>
          <w:tcPr>
            <w:tcBorders/>
            <w:vAlign w:val="center"/>
          </w:tcPr>
          <w:p>
            <w:pPr>
              <w:pStyle w:val="TableText"/>
              <w:jc w:val="left"/>
            </w:pPr>
            <w:r>
              <w:rPr>
                <w:noProof/>
              </w:rPr>
              <w:t xml:space="preserve">电压变化速率及其变化</w:t>
            </w:r>
          </w:p>
        </w:tc>
        <w:tc>
          <w:tcPr>
            <w:tcBorders/>
            <w:vAlign w:val="center"/>
          </w:tcPr>
          <w:p>
            <w:pPr>
              <w:pStyle w:val="TableText"/>
              <w:jc w:val="right"/>
            </w:pPr>
            <w:r>
              <w:rPr>
                <w:noProof/>
              </w:rPr>
              <w:t xml:space="preserve">14</w:t>
            </w:r>
          </w:p>
        </w:tc>
      </w:tr>
      <w:tr>
        <w:trPr>
          <w:cantSplit/>
        </w:trPr>
        <w:tc>
          <w:tcPr>
            <w:tcBorders/>
            <w:vAlign w:val="center"/>
          </w:tcPr>
          <w:p>
            <w:pPr>
              <w:pStyle w:val="TableText"/>
              <w:jc w:val="left"/>
            </w:pPr>
            <w:r>
              <w:rPr>
                <w:noProof/>
              </w:rPr>
              <w:t xml:space="preserve">瞬态边界量</w:t>
            </w:r>
          </w:p>
        </w:tc>
        <w:tc>
          <w:tcPr>
            <w:tcBorders/>
            <w:vAlign w:val="center"/>
          </w:tcPr>
          <w:p>
            <w:pPr>
              <w:pStyle w:val="TableText"/>
              <w:jc w:val="right"/>
            </w:pPr>
            <w:r>
              <w:rPr>
                <w:noProof/>
              </w:rPr>
              <w:t xml:space="preserve">18</w:t>
            </w:r>
          </w:p>
        </w:tc>
        <w:tc>
          <w:tcPr>
            <w:tcBorders/>
            <w:vAlign w:val="center"/>
          </w:tcPr>
          <w:p>
            <w:pPr>
              <w:pStyle w:val="TableText"/>
              <w:jc w:val="left"/>
            </w:pPr>
            <w:r>
              <w:rPr>
                <w:noProof/>
              </w:rPr>
              <w:t xml:space="preserve">指定采样点对</w:t>
            </w:r>
          </w:p>
        </w:tc>
        <w:tc>
          <w:tcPr>
            <w:tcBorders/>
            <w:vAlign w:val="center"/>
          </w:tcPr>
          <w:p>
            <w:pPr>
              <w:pStyle w:val="TableText"/>
              <w:jc w:val="left"/>
            </w:pPr>
            <w:r>
              <w:rPr>
                <w:noProof/>
              </w:rPr>
              <w:t xml:space="preserve">电流阶跃处跃变、净变化与响应时间</w:t>
            </w:r>
          </w:p>
        </w:tc>
        <w:tc>
          <w:tcPr>
            <w:tcBorders/>
            <w:vAlign w:val="center"/>
          </w:tcPr>
          <w:p>
            <w:pPr>
              <w:pStyle w:val="TableText"/>
              <w:jc w:val="right"/>
            </w:pPr>
            <w:r>
              <w:rPr>
                <w:noProof/>
              </w:rPr>
              <w:t xml:space="preserve">2</w:t>
            </w:r>
          </w:p>
        </w:tc>
      </w:tr>
      <w:tr>
        <w:trPr>
          <w:cantSplit/>
        </w:trPr>
        <w:tc>
          <w:tcPr>
            <w:tcBorders/>
            <w:vAlign w:val="center"/>
          </w:tcPr>
          <w:p>
            <w:pPr>
              <w:pStyle w:val="TableText"/>
              <w:jc w:val="left"/>
            </w:pPr>
            <w:r>
              <w:rPr>
                <w:noProof/>
              </w:rPr>
              <w:t xml:space="preserve">频域与小波量</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去均值加窗的序列</w:t>
            </w:r>
          </w:p>
        </w:tc>
        <w:tc>
          <w:tcPr>
            <w:tcBorders/>
            <w:vAlign w:val="center"/>
          </w:tcPr>
          <w:p>
            <w:pPr>
              <w:pStyle w:val="TableText"/>
              <w:jc w:val="left"/>
            </w:pPr>
            <w:r>
              <w:rPr>
                <w:noProof/>
              </w:rPr>
              <w:t xml:space="preserve">谱线幅值、频带能量、谱形与小波能量</w:t>
            </w:r>
          </w:p>
        </w:tc>
        <w:tc>
          <w:tcPr>
            <w:tcBorders/>
            <w:vAlign w:val="center"/>
          </w:tcPr>
          <w:p>
            <w:pPr>
              <w:pStyle w:val="TableText"/>
              <w:jc w:val="right"/>
            </w:pPr>
            <w:r>
              <w:rPr>
                <w:noProof/>
              </w:rPr>
              <w:t xml:space="preserve">16</w:t>
            </w:r>
          </w:p>
        </w:tc>
      </w:tr>
      <w:tr>
        <w:trPr>
          <w:cantSplit/>
        </w:trPr>
        <w:tc>
          <w:tcPr>
            <w:tcBorders/>
            <w:vAlign w:val="center"/>
          </w:tcPr>
          <w:p>
            <w:pPr>
              <w:pStyle w:val="TableText"/>
              <w:jc w:val="left"/>
            </w:pPr>
            <w:r>
              <w:rPr>
                <w:noProof/>
              </w:rPr>
              <w:t xml:space="preserve">非线性复杂度量</w:t>
            </w:r>
          </w:p>
        </w:tc>
        <w:tc>
          <w:tcPr>
            <w:tcBorders/>
            <w:vAlign w:val="center"/>
          </w:tcPr>
          <w:p>
            <w:pPr>
              <w:pStyle w:val="TableText"/>
              <w:jc w:val="right"/>
            </w:pPr>
            <w:r>
              <w:rPr>
                <w:noProof/>
              </w:rPr>
              <w:t xml:space="preserve">10</w:t>
            </w:r>
          </w:p>
        </w:tc>
        <w:tc>
          <w:tcPr>
            <w:tcBorders/>
            <w:vAlign w:val="center"/>
          </w:tcPr>
          <w:p>
            <w:pPr>
              <w:pStyle w:val="TableText"/>
              <w:jc w:val="left"/>
            </w:pPr>
            <w:r>
              <w:rPr>
                <w:noProof/>
              </w:rPr>
              <w:t xml:space="preserve">全序列</w:t>
            </w:r>
          </w:p>
        </w:tc>
        <w:tc>
          <w:tcPr>
            <w:tcBorders/>
            <w:vAlign w:val="center"/>
          </w:tcPr>
          <w:p>
            <w:pPr>
              <w:pStyle w:val="TableText"/>
              <w:jc w:val="left"/>
            </w:pPr>
            <w:r>
              <w:rPr>
                <w:noProof/>
              </w:rPr>
              <w:t xml:space="preserve">自相关、Hjorth参数、熵与Hurst指数</w:t>
            </w:r>
          </w:p>
        </w:tc>
        <w:tc>
          <w:tcPr>
            <w:tcBorders/>
            <w:vAlign w:val="center"/>
          </w:tcPr>
          <w:p>
            <w:pPr>
              <w:pStyle w:val="TableText"/>
              <w:jc w:val="right"/>
            </w:pPr>
            <w:r>
              <w:rPr>
                <w:noProof/>
              </w:rPr>
              <w:t xml:space="preserve">1</w:t>
            </w:r>
          </w:p>
        </w:tc>
      </w:tr>
      <w:tr>
        <w:trPr>
          <w:cantSplit/>
        </w:trPr>
        <w:tc>
          <w:tcPr>
            <w:tcBorders/>
            <w:vAlign w:val="center"/>
          </w:tcPr>
          <w:p>
            <w:pPr>
              <w:pStyle w:val="TableText"/>
              <w:jc w:val="left"/>
            </w:pPr>
            <w:r>
              <w:rPr>
                <w:noProof/>
              </w:rPr>
              <w:t xml:space="preserve">工况与年龄上下文</w:t>
            </w:r>
          </w:p>
        </w:tc>
        <w:tc>
          <w:tcPr>
            <w:tcBorders/>
            <w:vAlign w:val="center"/>
          </w:tcPr>
          <w:p>
            <w:pPr>
              <w:pStyle w:val="TableText"/>
              <w:jc w:val="right"/>
            </w:pPr>
            <w:r>
              <w:rPr>
                <w:noProof/>
              </w:rPr>
              <w:t xml:space="preserve">7</w:t>
            </w:r>
          </w:p>
        </w:tc>
        <w:tc>
          <w:tcPr>
            <w:tcBorders/>
            <w:vAlign w:val="center"/>
          </w:tcPr>
          <w:p>
            <w:pPr>
              <w:pStyle w:val="TableText"/>
              <w:jc w:val="left"/>
            </w:pPr>
            <w:r>
              <w:rPr>
                <w:noProof/>
              </w:rPr>
              <w:t xml:space="preserve">记录元数据</w:t>
            </w:r>
          </w:p>
        </w:tc>
        <w:tc>
          <w:tcPr>
            <w:tcBorders/>
            <w:vAlign w:val="center"/>
          </w:tcPr>
          <w:p>
            <w:pPr>
              <w:pStyle w:val="TableText"/>
              <w:jc w:val="left"/>
            </w:pPr>
            <w:r>
              <w:rPr>
                <w:noProof/>
              </w:rPr>
              <w:t xml:space="preserve">名义SOC与库仑计SOC、偏差、方向、DCIR、累计循环数、RPT序号</w:t>
            </w:r>
          </w:p>
        </w:tc>
        <w:tc>
          <w:tcPr>
            <w:tcBorders/>
            <w:vAlign w:val="center"/>
          </w:tcPr>
          <w:p>
            <w:pPr>
              <w:pStyle w:val="TableText"/>
              <w:jc w:val="right"/>
            </w:pPr>
            <w:r>
              <w:rPr>
                <w:noProof/>
              </w:rPr>
              <w:t xml:space="preserve">1</w:t>
            </w:r>
            <w:r>
              <w:rPr>
                <w:noProof/>
                <w:vertAlign w:val="superscript"/>
              </w:rPr>
              <w:t xml:space="preserve">a</w:t>
            </w:r>
          </w:p>
        </w:tc>
      </w:tr>
      <w:tr>
        <w:trPr>
          <w:cantSplit/>
        </w:trPr>
        <w:tc>
          <w:tcPr>
            <w:tcBorders>
              <w:bottom w:val="single" w:sz="12" w:space="0" w:color="000000"/>
            </w:tcBorders>
            <w:vAlign w:val="center"/>
          </w:tcPr>
          <w:p>
            <w:pPr>
              <w:pStyle w:val="TableText"/>
              <w:jc w:val="left"/>
            </w:pPr>
            <w:r>
              <w:rPr>
                <w:noProof/>
              </w:rPr>
              <w:t xml:space="preserve">合计</w:t>
            </w:r>
          </w:p>
        </w:tc>
        <w:tc>
          <w:tcPr>
            <w:tcBorders>
              <w:bottom w:val="single" w:sz="12" w:space="0" w:color="000000"/>
            </w:tcBorders>
            <w:vAlign w:val="center"/>
          </w:tcPr>
          <w:p>
            <w:pPr>
              <w:pStyle w:val="TableText"/>
              <w:jc w:val="right"/>
            </w:pPr>
            <w:r>
              <w:rPr>
                <w:noProof/>
              </w:rPr>
              <w:t xml:space="preserve">150</w:t>
            </w: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right"/>
            </w:pPr>
            <w:r>
              <w:rPr>
                <w:noProof/>
              </w:rPr>
              <w:t xml:space="preserve">50</w:t>
            </w:r>
          </w:p>
        </w:tc>
      </w:tr>
    </w:tbl>
    <w:p>
      <w:pPr>
        <w:pStyle w:val="TableNote"/>
      </w:pPr>
      <w:r>
        <w:t xml:space="preserve"/>
      </w:r>
      <w:r>
        <w:t xml:space="preserve"> </w:t>
      </w:r>
      <w:r>
        <w:rPr>
          <w:vertAlign w:val="superscript"/>
        </w:rPr>
        <w:t xml:space="preserve">a</w:t>
      </w:r>
      <w:r>
        <w:t xml:space="preserve"> </w:t>
      </w:r>
      <w:r>
        <w:t xml:space="preserve">匹配工况直流内阻。五折中47项特征在每折均入选，54项至少在一折中入选。库仑计SOC、SOC偏差、累计循环数与RPT序号不参与筛选（2.3.2节）。</w:t>
      </w:r>
    </w:p>
    <w:bookmarkEnd w:id="26"/>
    <w:bookmarkStart w:id="27" w:name="工况上下文与累计循环数"/>
    <w:p>
      <w:pPr>
        <w:pStyle w:val="Heading3"/>
      </w:pPr>
      <w:r>
        <w:t xml:space="preserve">2.3.2 工况上下文与累计循环数</w:t>
      </w:r>
    </w:p>
    <w:p>
      <w:pPr>
        <w:pStyle w:val="FirstParagraph"/>
      </w:pPr>
      <w:r>
        <w:t xml:space="preserve">单条脉冲不包含累计使用信息，其起始SOC又随老化漂移，因此主干另设7项上下文候选：</w:t>
      </w:r>
    </w:p>
    <w:p>
      <w:pPr>
        <w:pStyle w:val="Equation"/>
        <w:tabs>
          <w:tab w:val="center" w:pos="4648"/>
          <w:tab w:val="right" w:pos="9297"/>
        </w:tabs>
      </w:pPr>
      <w:r>
        <w:rPr>
          <w:rFonts w:ascii="Times New Roman" w:hAnsi="Times New Roman" w:cs="Times New Roman"/>
          <w:sz w:val="22"/>
        </w:rPr>
        <w:tab/>
      </w:r>
      <m:oMath>
        <m:d>
          <m:dPr>
            <m:begChr m:val="["/>
            <m:sepChr m:val=""/>
            <m:endChr m:val="]"/>
            <m:grow/>
          </m:dPr>
          <m:e>
            <m:f>
              <m:fPr>
                <m:type m:val="bar"/>
              </m:fPr>
              <m:num>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r>
                  <m:rPr>
                    <m:sty m:val="p"/>
                  </m:rPr>
                  <m:t>−</m:t>
                </m:r>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r>
              <m:rPr>
                <m:sty m:val="p"/>
              </m:rPr>
              <m:t>±</m:t>
            </m:r>
            <m:r>
              <m:t>1</m:t>
            </m:r>
            <m:r>
              <m:rPr>
                <m:sty m:val="p"/>
              </m:rPr>
              <m:t>,</m:t>
            </m:r>
            <m:r>
              <m:t> </m:t>
            </m:r>
            <m:sSub>
              <m:e>
                <m:r>
                  <m:rPr>
                    <m:sty m:val="p"/>
                  </m:rPr>
                  <m:t>D</m:t>
                </m:r>
                <m:r>
                  <m:rPr>
                    <m:sty m:val="p"/>
                  </m:rPr>
                  <m:t>C</m:t>
                </m:r>
                <m:r>
                  <m:rPr>
                    <m:sty m:val="p"/>
                  </m:rPr>
                  <m:t>I</m:t>
                </m:r>
                <m:r>
                  <m:rPr>
                    <m:sty m:val="p"/>
                  </m:rPr>
                  <m:t>R</m:t>
                </m:r>
              </m:e>
              <m:sub>
                <m:r>
                  <m:rPr>
                    <m:sty m:val="p"/>
                  </m:rPr>
                  <m:t>p</m:t>
                </m:r>
                <m:r>
                  <m:rPr>
                    <m:sty m:val="p"/>
                  </m:rPr>
                  <m:t>u</m:t>
                </m:r>
                <m:r>
                  <m:rPr>
                    <m:sty m:val="p"/>
                  </m:rPr>
                  <m:t>l</m:t>
                </m:r>
                <m:r>
                  <m:rPr>
                    <m:sty m:val="p"/>
                  </m:rPr>
                  <m:t>s</m:t>
                </m:r>
                <m:r>
                  <m:rPr>
                    <m:sty m:val="p"/>
                  </m:rPr>
                  <m:t>e</m:t>
                </m:r>
                <m:r>
                  <m:rPr>
                    <m:sty m:val="p"/>
                  </m:rPr>
                  <m:t>,</m:t>
                </m:r>
                <m:r>
                  <m:rPr>
                    <m:sty m:val="p"/>
                  </m:rPr>
                  <m:t>S</m:t>
                </m:r>
                <m:r>
                  <m:rPr>
                    <m:sty m:val="p"/>
                  </m:rPr>
                  <m:t>O</m:t>
                </m:r>
                <m:r>
                  <m:rPr>
                    <m:sty m:val="p"/>
                  </m:rPr>
                  <m:t>C</m:t>
                </m:r>
              </m:sub>
            </m:sSub>
            <m:r>
              <m:rPr>
                <m:sty m:val="p"/>
              </m:rPr>
              <m:t>,</m:t>
            </m:r>
            <m:r>
              <m:t> </m:t>
            </m:r>
            <m:sSub>
              <m:e>
                <m:r>
                  <m:t>n</m:t>
                </m:r>
              </m:e>
              <m:sub>
                <m:r>
                  <m:t>i</m:t>
                </m:r>
                <m:r>
                  <m:rPr>
                    <m:sty m:val="p"/>
                  </m:rPr>
                  <m:t>,</m:t>
                </m:r>
                <m:r>
                  <m:t>r</m:t>
                </m:r>
              </m:sub>
            </m:sSub>
            <m:r>
              <m:rPr>
                <m:sty m:val="p"/>
              </m:rPr>
              <m:t>,</m:t>
            </m:r>
            <m:r>
              <m:t> </m:t>
            </m:r>
            <m:r>
              <m:t>r</m:t>
            </m:r>
          </m:e>
        </m:d>
      </m:oMath>
      <w:r>
        <w:rPr>
          <w:rFonts w:ascii="Times New Roman" w:hAnsi="Times New Roman" w:cs="Times New Roman"/>
          <w:sz w:val="22"/>
        </w:rPr>
        <w:tab/>
        <w:t>(3)</w:t>
      </w:r>
    </w:p>
    <w:p>
      <w:pPr>
        <w:pStyle w:val="BodyText"/>
      </w:pPr>
      <w:r>
        <w:t xml:space="preserve">依次为名义SOC、库仑计SOC、二者偏差、脉冲方向、匹配工况直流内阻、累计循环数与RPT序号。发布方按同一脉冲两级电流之间的电压差计算直流内阻，即</w:t>
      </w:r>
      <m:oMath>
        <m:r>
          <m:t>R</m:t>
        </m:r>
        <m:r>
          <m:rPr>
            <m:sty m:val="p"/>
          </m:rPr>
          <m:t>=</m:t>
        </m:r>
        <m:d>
          <m:dPr>
            <m:begChr m:val="|"/>
            <m:sepChr m:val=""/>
            <m:endChr m:val="|"/>
            <m:grow/>
          </m:dPr>
          <m:e>
            <m:sSub>
              <m:e>
                <m:r>
                  <m:t>V</m:t>
                </m:r>
              </m:e>
              <m:sub>
                <m:r>
                  <m:t>40</m:t>
                </m:r>
              </m:sub>
            </m:sSub>
            <m:r>
              <m:rPr>
                <m:sty m:val="p"/>
              </m:rPr>
              <m:t>−</m:t>
            </m:r>
            <m:sSub>
              <m:e>
                <m:r>
                  <m:t>V</m:t>
                </m:r>
              </m:e>
              <m:sub>
                <m:r>
                  <m:t>30</m:t>
                </m:r>
              </m:sub>
            </m:sSub>
          </m:e>
        </m:d>
        <m:r>
          <m:rPr>
            <m:sty m:val="p"/>
          </m:rPr>
          <m:t>/</m:t>
        </m:r>
        <m:d>
          <m:dPr>
            <m:begChr m:val="("/>
            <m:sepChr m:val=""/>
            <m:endChr m:val=")"/>
            <m:grow/>
          </m:dPr>
          <m:e>
            <m:r>
              <m:t>1.2</m:t>
            </m:r>
            <m:r>
              <m:t> </m:t>
            </m:r>
            <m:r>
              <m:rPr>
                <m:sty m:val="p"/>
              </m:rPr>
              <m:t>A</m:t>
            </m:r>
            <m:r>
              <m:rPr>
                <m:sty m:val="p"/>
              </m:rPr>
              <m:t>−</m:t>
            </m:r>
            <m:r>
              <m:t>0.24</m:t>
            </m:r>
            <m:r>
              <m:t> </m:t>
            </m:r>
            <m:r>
              <m:rPr>
                <m:sty m:val="p"/>
              </m:rPr>
              <m:t>A</m:t>
            </m:r>
          </m:e>
        </m:d>
      </m:oMath>
      <w:r>
        <w:t xml:space="preserve">[31]，其中</w:t>
      </w:r>
      <m:oMath>
        <m:sSub>
          <m:e>
            <m:r>
              <m:t>V</m:t>
            </m:r>
          </m:e>
          <m:sub>
            <m:r>
              <m:t>30</m:t>
            </m:r>
          </m:sub>
        </m:sSub>
      </m:oMath>
      <w:r>
        <w:t xml:space="preserve">与</w:t>
      </w:r>
      <m:oMath>
        <m:sSub>
          <m:e>
            <m:r>
              <m:t>V</m:t>
            </m:r>
          </m:e>
          <m:sub>
            <m:r>
              <m:t>40</m:t>
            </m:r>
          </m:sub>
        </m:sSub>
      </m:oMath>
      <w:r>
        <w:t xml:space="preserve">分别为0.2C段与1C段的末点采样值。该量只依赖单条脉冲，对应第1节所述与功率能力相关的电阻，并参与特征筛选。</w:t>
      </w:r>
    </w:p>
    <w:p>
      <w:pPr>
        <w:pStyle w:val="BodyText"/>
      </w:pPr>
      <w:r>
        <w:t xml:space="preserve">库仑计SOC及其与名义SOC的偏差被剔除。发布方代码以脉冲起点处的累计电量除以同一RPT参考放电测得的容量[31]，而该容量正是式（1）中SOH标签的分子；因此这两项均由标签派生，在不开展完整容量测试时无法获得。名义SOC与脉冲方向保留为候选，但由于每个RPT均包含全部六个工况，二者与SOH的秩相关为零，从未入选；脉冲方向另可由波形输入的符号直接看出。</w:t>
      </w:r>
    </w:p>
    <w:p>
      <w:pPr>
        <w:pStyle w:val="BodyText"/>
      </w:pPr>
      <w:r>
        <w:t xml:space="preserve">累计循环数不参与筛选，而是单独标准化为输入</w:t>
      </w:r>
      <m:oMath>
        <m:r>
          <m:t>τ</m:t>
        </m:r>
      </m:oMath>
      <w:r>
        <w:t xml:space="preserve">（2.5节）；RPT序号予以剔除，以免年龄信息重复。循环数</w:t>
      </w:r>
      <m:oMath>
        <m:sSub>
          <m:e>
            <m:r>
              <m:t>n</m:t>
            </m:r>
          </m:e>
          <m:sub>
            <m:r>
              <m:t>i</m:t>
            </m:r>
            <m:r>
              <m:rPr>
                <m:sty m:val="p"/>
              </m:rPr>
              <m:t>,</m:t>
            </m:r>
            <m:r>
              <m:t>r</m:t>
            </m:r>
          </m:sub>
        </m:sSub>
      </m:oMath>
      <w:r>
        <w:t xml:space="preserve">由相邻RPT之间的循环间隔累加得到。由于第42次RPT的间隔缺失，受影响的32个电芯在其后的494个电芯–RPT点上少计一个间隔（67～118次循环，中位数85次，即寿命的1.3%～2.3%）；图1d与模型采用同一规则。使用</w:t>
      </w:r>
      <m:oMath>
        <m:r>
          <m:t>τ</m:t>
        </m:r>
      </m:oMath>
      <w:r>
        <w:t xml:space="preserve">需要获取电芯的循环记录，这限定了模型的适用范围。</w:t>
      </w:r>
    </w:p>
    <w:bookmarkEnd w:id="27"/>
    <w:bookmarkStart w:id="28" w:name="训练折内特征筛选"/>
    <w:p>
      <w:pPr>
        <w:pStyle w:val="Heading3"/>
      </w:pPr>
      <w:r>
        <w:t xml:space="preserve">2.3.3 训练折内特征筛选</w:t>
      </w:r>
    </w:p>
    <w:p>
      <w:pPr>
        <w:pStyle w:val="FirstParagraph"/>
      </w:pPr>
      <w:r>
        <w:t xml:space="preserve">剔除累计循环数、RPT序号以及两项由标签派生的SOC量后，剩余146项可选特征。每折仅用训练记录计算各特征与SOH的Spearman秩相关：</w:t>
      </w:r>
    </w:p>
    <w:p>
      <w:pPr>
        <w:pStyle w:val="Equation"/>
        <w:tabs>
          <w:tab w:val="center" w:pos="4648"/>
          <w:tab w:val="right" w:pos="9297"/>
        </w:tabs>
      </w:pPr>
      <w:r>
        <w:rPr>
          <w:rFonts w:ascii="Times New Roman" w:hAnsi="Times New Roman" w:cs="Times New Roman"/>
          <w:sz w:val="22"/>
        </w:rPr>
        <w:tab/>
      </w:r>
      <m:oMath>
        <m:sSub>
          <m:e>
            <m:r>
              <m:t>ρ</m:t>
            </m:r>
          </m:e>
          <m:sub>
            <m:r>
              <m:t>j</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r</m:t>
                        </m:r>
                      </m:e>
                      <m:sub>
                        <m:r>
                          <m:t>i</m:t>
                        </m:r>
                        <m:r>
                          <m:t>j</m:t>
                        </m:r>
                      </m:sub>
                    </m:sSub>
                    <m:r>
                      <m:rPr>
                        <m:sty m:val="p"/>
                      </m:rPr>
                      <m:t>−</m:t>
                    </m:r>
                    <m:sSub>
                      <m:e>
                        <m:bar>
                          <m:barPr>
                            <m:pos m:val="top"/>
                          </m:barPr>
                          <m:e>
                            <m:r>
                              <m:t>r</m:t>
                            </m:r>
                          </m:e>
                        </m:bar>
                      </m:e>
                      <m:sub>
                        <m:r>
                          <m:t>j</m:t>
                        </m:r>
                      </m:sub>
                    </m:sSub>
                  </m:e>
                </m:d>
              </m:e>
            </m:nary>
            <m:d>
              <m:dPr>
                <m:begChr m:val="("/>
                <m:sepChr m:val=""/>
                <m:endChr m:val=")"/>
                <m:grow/>
              </m:dPr>
              <m:e>
                <m:sSubSup>
                  <m:e>
                    <m:r>
                      <m:t>r</m:t>
                    </m:r>
                  </m:e>
                  <m:sub>
                    <m:r>
                      <m:t>i</m:t>
                    </m:r>
                  </m:sub>
                  <m:sup>
                    <m:r>
                      <m:t>y</m:t>
                    </m:r>
                  </m:sup>
                </m:sSubSup>
                <m:r>
                  <m:rPr>
                    <m:sty m:val="p"/>
                  </m:rPr>
                  <m:t>−</m:t>
                </m:r>
                <m:sSup>
                  <m:e>
                    <m:bar>
                      <m:barPr>
                        <m:pos m:val="top"/>
                      </m:barPr>
                      <m:e>
                        <m:r>
                          <m:t>r</m:t>
                        </m:r>
                      </m:e>
                    </m:bar>
                  </m:e>
                  <m:sup>
                    <m:r>
                      <m:t>y</m:t>
                    </m:r>
                  </m:sup>
                </m:sSup>
              </m:e>
            </m:d>
          </m:num>
          <m:den>
            <m:rad>
              <m:radPr>
                <m:degHide m:val="on"/>
              </m:radPr>
              <m:deg/>
              <m:e>
                <m:nary>
                  <m:naryPr>
                    <m:chr m:val="∑"/>
                    <m:limLoc m:val="undOvr"/>
                    <m:subHide m:val="off"/>
                    <m:supHide m:val="on"/>
                  </m:naryPr>
                  <m:sub>
                    <m:r>
                      <m:t>i</m:t>
                    </m:r>
                  </m:sub>
                  <m:sup>
                    <m:r>
                      <m:t>​</m:t>
                    </m:r>
                  </m:sup>
                  <m:e>
                    <m:sSup>
                      <m:e>
                        <m:d>
                          <m:dPr>
                            <m:begChr m:val="("/>
                            <m:sepChr m:val=""/>
                            <m:endChr m:val=")"/>
                            <m:grow/>
                          </m:dPr>
                          <m:e>
                            <m:sSub>
                              <m:e>
                                <m:r>
                                  <m:t>r</m:t>
                                </m:r>
                              </m:e>
                              <m:sub>
                                <m:r>
                                  <m:t>i</m:t>
                                </m:r>
                                <m:r>
                                  <m:t>j</m:t>
                                </m:r>
                              </m:sub>
                            </m:sSub>
                            <m:r>
                              <m:rPr>
                                <m:sty m:val="p"/>
                              </m:rPr>
                              <m:t>−</m:t>
                            </m:r>
                            <m:sSub>
                              <m:e>
                                <m:bar>
                                  <m:barPr>
                                    <m:pos m:val="top"/>
                                  </m:barPr>
                                  <m:e>
                                    <m:r>
                                      <m:t>r</m:t>
                                    </m:r>
                                  </m:e>
                                </m:bar>
                              </m:e>
                              <m:sub>
                                <m:r>
                                  <m:t>j</m:t>
                                </m:r>
                              </m:sub>
                            </m:sSub>
                          </m:e>
                        </m:d>
                      </m:e>
                      <m:sup>
                        <m:r>
                          <m:t>2</m:t>
                        </m:r>
                      </m:sup>
                    </m:sSup>
                  </m:e>
                </m:nary>
                <m:nary>
                  <m:naryPr>
                    <m:chr m:val="∑"/>
                    <m:limLoc m:val="undOvr"/>
                    <m:subHide m:val="off"/>
                    <m:supHide m:val="on"/>
                  </m:naryPr>
                  <m:sub>
                    <m:r>
                      <m:t>i</m:t>
                    </m:r>
                  </m:sub>
                  <m:sup>
                    <m:r>
                      <m:t>​</m:t>
                    </m:r>
                  </m:sup>
                  <m:e>
                    <m:sSup>
                      <m:e>
                        <m:d>
                          <m:dPr>
                            <m:begChr m:val="("/>
                            <m:sepChr m:val=""/>
                            <m:endChr m:val=")"/>
                            <m:grow/>
                          </m:dPr>
                          <m:e>
                            <m:sSubSup>
                              <m:e>
                                <m:r>
                                  <m:t>r</m:t>
                                </m:r>
                              </m:e>
                              <m:sub>
                                <m:r>
                                  <m:t>i</m:t>
                                </m:r>
                              </m:sub>
                              <m:sup>
                                <m:r>
                                  <m:t>y</m:t>
                                </m:r>
                              </m:sup>
                            </m:sSubSup>
                            <m:r>
                              <m:rPr>
                                <m:sty m:val="p"/>
                              </m:rPr>
                              <m:t>−</m:t>
                            </m:r>
                            <m:sSup>
                              <m:e>
                                <m:bar>
                                  <m:barPr>
                                    <m:pos m:val="top"/>
                                  </m:barPr>
                                  <m:e>
                                    <m:r>
                                      <m:t>r</m:t>
                                    </m:r>
                                  </m:e>
                                </m:bar>
                              </m:e>
                              <m:sup>
                                <m:r>
                                  <m:t>y</m:t>
                                </m:r>
                              </m:sup>
                            </m:sSup>
                          </m:e>
                        </m:d>
                      </m:e>
                      <m:sup>
                        <m:r>
                          <m:t>2</m:t>
                        </m:r>
                      </m:sup>
                    </m:sSup>
                  </m:e>
                </m:nary>
              </m:e>
            </m:rad>
          </m:den>
        </m:f>
      </m:oMath>
      <w:r>
        <w:rPr>
          <w:rFonts w:ascii="Times New Roman" w:hAnsi="Times New Roman" w:cs="Times New Roman"/>
          <w:sz w:val="22"/>
        </w:rPr>
        <w:tab/>
        <w:t>(4)</w:t>
      </w:r>
    </w:p>
    <w:p>
      <w:pPr>
        <w:pStyle w:val="BodyText"/>
      </w:pPr>
      <w:r>
        <w:t xml:space="preserve">式中，</w:t>
      </w:r>
      <m:oMath>
        <m:sSub>
          <m:e>
            <m:r>
              <m:t>r</m:t>
            </m:r>
          </m:e>
          <m:sub>
            <m:r>
              <m:t>i</m:t>
            </m:r>
            <m:r>
              <m:t>j</m:t>
            </m:r>
          </m:sub>
        </m:sSub>
      </m:oMath>
      <w:r>
        <w:t xml:space="preserve">与</w:t>
      </w:r>
      <m:oMath>
        <m:sSubSup>
          <m:e>
            <m:r>
              <m:t>r</m:t>
            </m:r>
          </m:e>
          <m:sub>
            <m:r>
              <m:t>i</m:t>
            </m:r>
          </m:sub>
          <m:sup>
            <m:r>
              <m:t>y</m:t>
            </m:r>
          </m:sup>
        </m:sSubSup>
      </m:oMath>
      <w:r>
        <w:t xml:space="preserve">分别为特征</w:t>
      </w:r>
      <m:oMath>
        <m:r>
          <m:t>j</m:t>
        </m:r>
      </m:oMath>
      <w:r>
        <w:t xml:space="preserve">与标签的秩。按</w:t>
      </w:r>
      <m:oMath>
        <m:d>
          <m:dPr>
            <m:begChr m:val="|"/>
            <m:sepChr m:val=""/>
            <m:endChr m:val="|"/>
            <m:grow/>
          </m:dPr>
          <m:e>
            <m:sSub>
              <m:e>
                <m:r>
                  <m:t>ρ</m:t>
                </m:r>
              </m:e>
              <m:sub>
                <m:r>
                  <m:t>j</m:t>
                </m:r>
              </m:sub>
            </m:sSub>
          </m:e>
        </m:d>
      </m:oMath>
      <w:r>
        <w:t xml:space="preserve">降序贪心选取特征，若候选特征与任一已选特征的秩相关绝对值达到0.98则跳过：</w:t>
      </w:r>
    </w:p>
    <w:p>
      <w:pPr>
        <w:pStyle w:val="Equation"/>
        <w:tabs>
          <w:tab w:val="center" w:pos="4648"/>
          <w:tab w:val="right" w:pos="9297"/>
        </w:tabs>
      </w:pPr>
      <w:r>
        <w:rPr>
          <w:rFonts w:ascii="Times New Roman" w:hAnsi="Times New Roman" w:cs="Times New Roman"/>
          <w:sz w:val="22"/>
        </w:rPr>
        <w:tab/>
      </w:r>
      <m:oMath>
        <m:r>
          <m:rPr>
            <m:scr m:val="script"/>
            <m:sty m:val="p"/>
          </m:rPr>
          <m:t>S</m:t>
        </m:r>
        <m:r>
          <m:rPr>
            <m:sty m:val="p"/>
          </m:rPr>
          <m:t>←</m:t>
        </m:r>
        <m:r>
          <m:rPr>
            <m:scr m:val="script"/>
            <m:sty m:val="p"/>
          </m:rPr>
          <m:t>S</m:t>
        </m:r>
        <m:r>
          <m:rPr>
            <m:sty m:val="p"/>
          </m:rPr>
          <m:t>∪</m:t>
        </m:r>
        <m:r>
          <m:rPr>
            <m:sty m:val="p"/>
          </m:rPr>
          <m:t>{</m:t>
        </m:r>
        <m:r>
          <m:t>j</m:t>
        </m:r>
        <m:r>
          <m:rPr>
            <m:sty m:val="p"/>
          </m:rPr>
          <m:t>}</m:t>
        </m:r>
        <m:r>
          <m:t> </m:t>
        </m:r>
        <m:r>
          <m:rPr>
            <m:nor/>
          </m:rPr>
          <m:t>if and only if</m:t>
        </m:r>
        <m:r>
          <m:t> </m:t>
        </m:r>
        <m:limLow>
          <m:e>
            <m:r>
              <m:rPr>
                <m:sty m:val="p"/>
              </m:rPr>
              <m:t>max</m:t>
            </m:r>
          </m:e>
          <m:lim>
            <m:r>
              <m:t>i</m:t>
            </m:r>
            <m:r>
              <m:rPr>
                <m:sty m:val="p"/>
              </m:rPr>
              <m:t>∈</m:t>
            </m:r>
            <m:r>
              <m:rPr>
                <m:scr m:val="script"/>
                <m:sty m:val="p"/>
              </m:rPr>
              <m:t>S</m:t>
            </m:r>
          </m:lim>
        </m:limLow>
        <m:d>
          <m:dPr>
            <m:begChr m:val="|"/>
            <m:sepChr m:val=""/>
            <m:endChr m:val="|"/>
            <m:grow/>
          </m:dPr>
          <m:e>
            <m:sSubSup>
              <m:e>
                <m:r>
                  <m:t>ρ</m:t>
                </m:r>
              </m:e>
              <m:sub>
                <m:r>
                  <m:t>j</m:t>
                </m:r>
                <m:r>
                  <m:t>i</m:t>
                </m:r>
              </m:sub>
              <m:sup>
                <m:r>
                  <m:rPr>
                    <m:sty m:val="p"/>
                  </m:rPr>
                  <m:t>r</m:t>
                </m:r>
                <m:r>
                  <m:rPr>
                    <m:sty m:val="p"/>
                  </m:rPr>
                  <m:t>a</m:t>
                </m:r>
                <m:r>
                  <m:rPr>
                    <m:sty m:val="p"/>
                  </m:rPr>
                  <m:t>n</m:t>
                </m:r>
                <m:r>
                  <m:rPr>
                    <m:sty m:val="p"/>
                  </m:rPr>
                  <m:t>k</m:t>
                </m:r>
              </m:sup>
            </m:sSubSup>
          </m:e>
        </m:d>
        <m:r>
          <m:rPr>
            <m:sty m:val="p"/>
          </m:rPr>
          <m:t>&lt;</m:t>
        </m:r>
        <m:r>
          <m:t>0.98</m:t>
        </m:r>
        <m:r>
          <m:t> </m:t>
        </m:r>
        <m:r>
          <m:t> </m:t>
        </m:r>
        <m:r>
          <m:rPr>
            <m:nor/>
          </m:rPr>
          <m:t>and</m:t>
        </m:r>
        <m:r>
          <m:t> </m:t>
        </m:r>
        <m:r>
          <m:t> </m:t>
        </m:r>
        <m:d>
          <m:dPr>
            <m:begChr m:val="|"/>
            <m:sepChr m:val=""/>
            <m:endChr m:val="|"/>
            <m:grow/>
          </m:dPr>
          <m:e>
            <m:r>
              <m:rPr>
                <m:scr m:val="script"/>
                <m:sty m:val="p"/>
              </m:rPr>
              <m:t>S</m:t>
            </m:r>
          </m:e>
        </m:d>
        <m:r>
          <m:rPr>
            <m:sty m:val="p"/>
          </m:rPr>
          <m:t>&lt;</m:t>
        </m:r>
        <m:r>
          <m:t>K</m:t>
        </m:r>
      </m:oMath>
      <w:r>
        <w:rPr>
          <w:rFonts w:ascii="Times New Roman" w:hAnsi="Times New Roman" w:cs="Times New Roman"/>
          <w:sz w:val="22"/>
        </w:rPr>
        <w:tab/>
        <w:t>(5)</w:t>
      </w:r>
    </w:p>
    <w:p>
      <w:pPr>
        <w:pStyle w:val="BodyText"/>
      </w:pPr>
      <w:r>
        <w:t xml:space="preserve">若通过的特征不足</w:t>
      </w:r>
      <m:oMath>
        <m:r>
          <m:t>K</m:t>
        </m:r>
      </m:oMath>
      <w:r>
        <w:t xml:space="preserve">项，则在其余相关系数有限的特征中按</w:t>
      </w:r>
      <m:oMath>
        <m:d>
          <m:dPr>
            <m:begChr m:val="|"/>
            <m:sepChr m:val=""/>
            <m:endChr m:val="|"/>
            <m:grow/>
          </m:dPr>
          <m:e>
            <m:sSub>
              <m:e>
                <m:r>
                  <m:t>ρ</m:t>
                </m:r>
              </m:e>
              <m:sub>
                <m:r>
                  <m:t>j</m:t>
                </m:r>
              </m:sub>
            </m:sSub>
          </m:e>
        </m:d>
      </m:oMath>
      <w:r>
        <w:t xml:space="preserve">降序补足，此时不再施加冗余约束。五折各选出50项特征，其中47项在五折中均入选（并集54项），因此筛选结果对训练电芯的变化较为稳定。第0折中，频域与小波量（16项）和差分动力学量（14项）占主导（表2），直流内阻在每折中均排在第13～14位。主频与85%频谱滚降频率在部分折的训练电芯内为常数而被跳过，因此最多可对144项特征排序。</w:t>
      </w:r>
      <m:oMath>
        <m:r>
          <m:t>K</m:t>
        </m:r>
        <m:r>
          <m:rPr>
            <m:sty m:val="p"/>
          </m:rPr>
          <m:t>=</m:t>
        </m:r>
        <m:r>
          <m:t>50</m:t>
        </m:r>
      </m:oMath>
      <w:r>
        <w:t xml:space="preserve">的取值依据见4.5.3节。</w:t>
      </w:r>
    </w:p>
    <w:bookmarkEnd w:id="28"/>
    <w:bookmarkEnd w:id="29"/>
    <w:bookmarkStart w:id="30" w:name="波形补充输入"/>
    <w:p>
      <w:pPr>
        <w:pStyle w:val="Heading2"/>
      </w:pPr>
      <w:r>
        <w:t xml:space="preserve">2.4 波形补充输入</w:t>
      </w:r>
    </w:p>
    <w:p>
      <w:pPr>
        <w:pStyle w:val="FirstParagraph"/>
      </w:pPr>
      <w:r>
        <w:t xml:space="preserve">波形分支只接收单条脉冲的电压序列，不含工况与年龄信息。序列</w:t>
      </w:r>
      <m:oMath>
        <m:sSub>
          <m:e>
            <m:r>
              <m:t>V</m:t>
            </m:r>
          </m:e>
          <m:sub>
            <m:r>
              <m:t>0</m:t>
            </m:r>
          </m:sub>
        </m:sSub>
        <m:r>
          <m:rPr>
            <m:sty m:val="p"/>
          </m:rPr>
          <m:t>,</m:t>
        </m:r>
        <m:r>
          <m:rPr>
            <m:sty m:val="p"/>
          </m:rPr>
          <m:t>…</m:t>
        </m:r>
        <m:r>
          <m:rPr>
            <m:sty m:val="p"/>
          </m:rPr>
          <m:t>,</m:t>
        </m:r>
        <m:sSub>
          <m:e>
            <m:r>
              <m:t>V</m:t>
            </m:r>
          </m:e>
          <m:sub>
            <m:r>
              <m:t>100</m:t>
            </m:r>
          </m:sub>
        </m:sSub>
      </m:oMath>
      <w:r>
        <w:t xml:space="preserve">相对首点作差：</w:t>
      </w:r>
    </w:p>
    <w:p>
      <w:pPr>
        <w:pStyle w:val="Equation"/>
        <w:tabs>
          <w:tab w:val="center" w:pos="4648"/>
          <w:tab w:val="right" w:pos="9297"/>
        </w:tabs>
      </w:pPr>
      <w:r>
        <w:rPr>
          <w:rFonts w:ascii="Times New Roman" w:hAnsi="Times New Roman" w:cs="Times New Roman"/>
          <w:sz w:val="22"/>
        </w:rPr>
        <w:tab/>
      </w:r>
      <m:oMath>
        <m:r>
          <m:t>Δ</m:t>
        </m:r>
        <m:sSub>
          <m:e>
            <m:r>
              <m:t>v</m:t>
            </m:r>
          </m:e>
          <m:sub>
            <m:r>
              <m:t>t</m:t>
            </m:r>
          </m:sub>
        </m:sSub>
        <m:r>
          <m:rPr>
            <m:sty m:val="p"/>
          </m:rPr>
          <m:t>=</m:t>
        </m:r>
        <m:sSub>
          <m:e>
            <m:r>
              <m:t>V</m:t>
            </m:r>
          </m:e>
          <m:sub>
            <m:r>
              <m:t>t</m:t>
            </m:r>
          </m:sub>
        </m:sSub>
        <m:r>
          <m:rPr>
            <m:sty m:val="p"/>
          </m:rPr>
          <m:t>−</m:t>
        </m:r>
        <m:sSub>
          <m:e>
            <m:r>
              <m:t>V</m:t>
            </m:r>
          </m:e>
          <m:sub>
            <m:r>
              <m:t>0</m:t>
            </m:r>
          </m:sub>
        </m:sSub>
        <m:r>
          <m:rPr>
            <m:sty m:val="p"/>
          </m:rPr>
          <m:t>,</m:t>
        </m:r>
        <m:r>
          <m:t> </m:t>
        </m:r>
        <m:r>
          <m:t>t</m:t>
        </m:r>
        <m:r>
          <m:rPr>
            <m:sty m:val="p"/>
          </m:rPr>
          <m:t>=</m:t>
        </m:r>
        <m:r>
          <m:t>0</m:t>
        </m:r>
        <m:r>
          <m:rPr>
            <m:sty m:val="p"/>
          </m:rPr>
          <m:t>,</m:t>
        </m:r>
        <m:r>
          <m:t>1</m:t>
        </m:r>
        <m:r>
          <m:rPr>
            <m:sty m:val="p"/>
          </m:rPr>
          <m:t>,</m:t>
        </m:r>
        <m:r>
          <m:rPr>
            <m:sty m:val="p"/>
          </m:rPr>
          <m:t>…</m:t>
        </m:r>
        <m:r>
          <m:rPr>
            <m:sty m:val="p"/>
          </m:rPr>
          <m:t>,</m:t>
        </m:r>
        <m:r>
          <m:t>100</m:t>
        </m:r>
      </m:oMath>
      <w:r>
        <w:rPr>
          <w:rFonts w:ascii="Times New Roman" w:hAnsi="Times New Roman" w:cs="Times New Roman"/>
          <w:sz w:val="22"/>
        </w:rPr>
        <w:tab/>
        <w:t>(6)</w:t>
      </w:r>
    </w:p>
    <w:p>
      <w:pPr>
        <w:pStyle w:val="BodyText"/>
      </w:pPr>
      <w:r>
        <w:t xml:space="preserve">该处理去除了起始电压，使序列表示脉冲引起的极化响应，即在平坦的LFP电压平台上仍可测量的、受动力学控制的部分。随后用训练折统计量对每个位置分别标准化：</w:t>
      </w:r>
    </w:p>
    <w:p>
      <w:pPr>
        <w:pStyle w:val="Equation"/>
        <w:tabs>
          <w:tab w:val="center" w:pos="4648"/>
          <w:tab w:val="right" w:pos="9297"/>
        </w:tabs>
      </w:pPr>
      <w:r>
        <w:rPr>
          <w:rFonts w:ascii="Times New Roman" w:hAnsi="Times New Roman" w:cs="Times New Roman"/>
          <w:sz w:val="22"/>
        </w:rPr>
        <w:tab/>
      </w:r>
      <m:oMath>
        <m:sSub>
          <m:e>
            <m:acc>
              <m:accPr>
                <m:chr m:val="̃"/>
              </m:accPr>
              <m:e>
                <m:r>
                  <m:t>v</m:t>
                </m:r>
              </m:e>
            </m:acc>
          </m:e>
          <m:sub>
            <m:r>
              <m:t>t</m:t>
            </m:r>
          </m:sub>
        </m:sSub>
        <m:r>
          <m:rPr>
            <m:sty m:val="p"/>
          </m:rPr>
          <m:t>=</m:t>
        </m:r>
        <m:f>
          <m:fPr>
            <m:type m:val="bar"/>
          </m:fPr>
          <m:num>
            <m:r>
              <m:t>Δ</m:t>
            </m:r>
            <m:sSub>
              <m:e>
                <m:r>
                  <m:t>v</m:t>
                </m:r>
              </m:e>
              <m:sub>
                <m:r>
                  <m:t>t</m:t>
                </m:r>
              </m:sub>
            </m:sSub>
            <m:r>
              <m:rPr>
                <m:sty m:val="p"/>
              </m:rPr>
              <m:t>−</m:t>
            </m:r>
            <m:sSubSup>
              <m:e>
                <m:r>
                  <m:t>μ</m:t>
                </m:r>
              </m:e>
              <m:sub>
                <m:r>
                  <m:t>t</m:t>
                </m:r>
              </m:sub>
              <m:sup>
                <m:r>
                  <m:rPr>
                    <m:sty m:val="p"/>
                  </m:rPr>
                  <m:t>w</m:t>
                </m:r>
              </m:sup>
            </m:sSubSup>
          </m:num>
          <m:den>
            <m:sSubSup>
              <m:e>
                <m:r>
                  <m:t>σ</m:t>
                </m:r>
              </m:e>
              <m:sub>
                <m:r>
                  <m:t>t</m:t>
                </m:r>
              </m:sub>
              <m:sup>
                <m:r>
                  <m:rPr>
                    <m:sty m:val="p"/>
                  </m:rPr>
                  <m:t>w</m:t>
                </m:r>
              </m:sup>
            </m:sSubSup>
          </m:den>
        </m:f>
      </m:oMath>
      <w:r>
        <w:rPr>
          <w:rFonts w:ascii="Times New Roman" w:hAnsi="Times New Roman" w:cs="Times New Roman"/>
          <w:sz w:val="22"/>
        </w:rPr>
        <w:tab/>
        <w:t>(7)</w:t>
      </w:r>
    </w:p>
    <w:p>
      <w:pPr>
        <w:pStyle w:val="BodyText"/>
      </w:pPr>
      <w:r>
        <w:t xml:space="preserve">从而保留全部101点的完整瞬态，由波形编码器学习人工特征未覆盖的区段间形状信息。</w:t>
      </w:r>
    </w:p>
    <w:bookmarkEnd w:id="30"/>
    <w:bookmarkStart w:id="31" w:name="填补标准化与输入信息核查"/>
    <w:p>
      <w:pPr>
        <w:pStyle w:val="Heading2"/>
      </w:pPr>
      <w:r>
        <w:t xml:space="preserve">2.5 填补、标准化与输入信息核查</w:t>
      </w:r>
    </w:p>
    <w:p>
      <w:pPr>
        <w:pStyle w:val="FirstParagraph"/>
      </w:pPr>
      <w:r>
        <w:t xml:space="preserve">缺失值以训练折同列有限值的中位数填补，再进行标准化：</w:t>
      </w:r>
    </w:p>
    <w:p>
      <w:pPr>
        <w:pStyle w:val="Equation"/>
        <w:tabs>
          <w:tab w:val="center" w:pos="4648"/>
          <w:tab w:val="right" w:pos="9297"/>
        </w:tabs>
      </w:pPr>
      <w:r>
        <w:rPr>
          <w:rFonts w:ascii="Times New Roman" w:hAnsi="Times New Roman" w:cs="Times New Roman"/>
          <w:sz w:val="22"/>
        </w:rPr>
        <w:tab/>
      </w:r>
      <m:oMath>
        <m:sSub>
          <m:e>
            <m:r>
              <m:t>m</m:t>
            </m:r>
          </m:e>
          <m:sub>
            <m:r>
              <m:t>j</m:t>
            </m:r>
          </m:sub>
        </m:sSub>
        <m:r>
          <m:rPr>
            <m:sty m:val="p"/>
          </m:rPr>
          <m:t>=</m:t>
        </m:r>
        <m:r>
          <m:rPr>
            <m:sty m:val="p"/>
          </m:rPr>
          <m:t>median</m:t>
        </m:r>
        <m:r>
          <m:rPr>
            <m:sty m:val="p"/>
          </m:rPr>
          <m:t>{</m:t>
        </m:r>
        <m:sSub>
          <m:e>
            <m:r>
              <m:t>x</m:t>
            </m:r>
          </m:e>
          <m:sub>
            <m:r>
              <m:t>i</m:t>
            </m:r>
            <m:r>
              <m:t>j</m:t>
            </m:r>
          </m:sub>
        </m:sSub>
        <m:r>
          <m:rPr>
            <m:sty m:val="p"/>
          </m:rPr>
          <m:t>:</m:t>
        </m:r>
        <m:sSub>
          <m:e>
            <m:r>
              <m:t>x</m:t>
            </m:r>
          </m:e>
          <m:sub>
            <m:r>
              <m:t>i</m:t>
            </m:r>
            <m:r>
              <m:t>j</m:t>
            </m:r>
          </m:sub>
        </m:sSub>
        <m:r>
          <m:rPr>
            <m:sty m:val="p"/>
          </m:rPr>
          <m:t>∈</m:t>
        </m:r>
        <m:r>
          <m:rPr>
            <m:scr m:val="double-struck"/>
            <m:sty m:val="p"/>
          </m:rPr>
          <m:t>R</m:t>
        </m:r>
        <m:r>
          <m:rPr>
            <m:sty m:val="p"/>
          </m:rPr>
          <m:t>}</m:t>
        </m:r>
        <m:r>
          <m:rPr>
            <m:sty m:val="p"/>
          </m:rPr>
          <m:t>,</m:t>
        </m:r>
        <m:r>
          <m:t>  </m:t>
        </m:r>
        <m:sSub>
          <m:e>
            <m:acc>
              <m:accPr>
                <m:chr m:val="̃"/>
              </m:accPr>
              <m:e>
                <m:r>
                  <m:t>x</m:t>
                </m:r>
              </m:e>
            </m:acc>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x</m:t>
                      </m:r>
                    </m:e>
                    <m:sub>
                      <m:r>
                        <m:t>i</m:t>
                      </m:r>
                      <m:r>
                        <m:t>j</m:t>
                      </m:r>
                    </m:sub>
                  </m:sSub>
                  <m:r>
                    <m:rPr>
                      <m:sty m:val="p"/>
                    </m:rPr>
                    <m:t>,</m:t>
                  </m:r>
                </m:e>
                <m:e>
                  <m:sSub>
                    <m:e>
                      <m:r>
                        <m:t>x</m:t>
                      </m:r>
                    </m:e>
                    <m:sub>
                      <m:r>
                        <m:t>i</m:t>
                      </m:r>
                      <m:r>
                        <m:t>j</m:t>
                      </m:r>
                    </m:sub>
                  </m:sSub>
                  <m:r>
                    <m:rPr>
                      <m:sty m:val="p"/>
                    </m:rPr>
                    <m:t>∈</m:t>
                  </m:r>
                  <m:r>
                    <m:rPr>
                      <m:scr m:val="double-struck"/>
                      <m:sty m:val="p"/>
                    </m:rPr>
                    <m:t>R</m:t>
                  </m:r>
                </m:e>
              </m:mr>
              <m:mr>
                <m:e>
                  <m:sSub>
                    <m:e>
                      <m:r>
                        <m:t>m</m:t>
                      </m:r>
                    </m:e>
                    <m:sub>
                      <m:r>
                        <m:t>j</m:t>
                      </m:r>
                    </m:sub>
                  </m:sSub>
                  <m:r>
                    <m:rPr>
                      <m:sty m:val="p"/>
                    </m:rPr>
                    <m:t>,</m:t>
                  </m:r>
                </m:e>
                <m:e>
                  <m:sSub>
                    <m:e>
                      <m:r>
                        <m:t>x</m:t>
                      </m:r>
                    </m:e>
                    <m:sub>
                      <m:r>
                        <m:t>i</m:t>
                      </m:r>
                      <m:r>
                        <m:t>j</m:t>
                      </m:r>
                    </m:sub>
                  </m:sSub>
                  <m:r>
                    <m:rPr>
                      <m:sty m:val="p"/>
                    </m:rPr>
                    <m:t>∉</m:t>
                  </m:r>
                  <m:r>
                    <m:rPr>
                      <m:scr m:val="double-struck"/>
                      <m:sty m:val="p"/>
                    </m:rPr>
                    <m:t>R</m:t>
                  </m:r>
                </m:e>
              </m:mr>
            </m:m>
          </m:e>
        </m:d>
        <m:r>
          <m:rPr>
            <m:sty m:val="p"/>
          </m:rPr>
          <m:t>,</m:t>
        </m:r>
        <m:r>
          <m:t>  </m:t>
        </m:r>
        <m:sSub>
          <m:e>
            <m:r>
              <m:t>z</m:t>
            </m:r>
          </m:e>
          <m:sub>
            <m:r>
              <m:t>i</m:t>
            </m:r>
            <m:r>
              <m:t>j</m:t>
            </m:r>
          </m:sub>
        </m:sSub>
        <m:r>
          <m:rPr>
            <m:sty m:val="p"/>
          </m:rPr>
          <m:t>=</m:t>
        </m:r>
        <m:f>
          <m:fPr>
            <m:type m:val="bar"/>
          </m:fPr>
          <m:num>
            <m:sSub>
              <m:e>
                <m:acc>
                  <m:accPr>
                    <m:chr m:val="̃"/>
                  </m:accPr>
                  <m:e>
                    <m:r>
                      <m:t>x</m:t>
                    </m:r>
                  </m:e>
                </m:acc>
              </m:e>
              <m:sub>
                <m:r>
                  <m:t>i</m:t>
                </m:r>
                <m:r>
                  <m:t>j</m:t>
                </m:r>
              </m:sub>
            </m:sSub>
            <m:r>
              <m:rPr>
                <m:sty m:val="p"/>
              </m:rPr>
              <m:t>−</m:t>
            </m:r>
            <m:sSub>
              <m:e>
                <m:r>
                  <m:t>μ</m:t>
                </m:r>
              </m:e>
              <m:sub>
                <m:r>
                  <m:t>j</m:t>
                </m:r>
              </m:sub>
            </m:sSub>
          </m:num>
          <m:den>
            <m:sSub>
              <m:e>
                <m:r>
                  <m:t>σ</m:t>
                </m:r>
              </m:e>
              <m:sub>
                <m:r>
                  <m:t>j</m:t>
                </m:r>
              </m:sub>
            </m:sSub>
          </m:den>
        </m:f>
      </m:oMath>
      <w:r>
        <w:rPr>
          <w:rFonts w:ascii="Times New Roman" w:hAnsi="Times New Roman" w:cs="Times New Roman"/>
          <w:sz w:val="22"/>
        </w:rPr>
        <w:tab/>
        <w:t>(8)</w:t>
      </w:r>
    </w:p>
    <w:p>
      <w:pPr>
        <w:pStyle w:val="BodyText"/>
      </w:pPr>
      <w:r>
        <w:t xml:space="preserve">累计循环数经标准化后与</w:t>
      </w:r>
      <m:oMath>
        <m:r>
          <m:t>K</m:t>
        </m:r>
      </m:oMath>
      <w:r>
        <w:t xml:space="preserve">项筛选特征拼接：</w:t>
      </w:r>
    </w:p>
    <w:p>
      <w:pPr>
        <w:pStyle w:val="Equation"/>
        <w:tabs>
          <w:tab w:val="center" w:pos="4648"/>
          <w:tab w:val="right" w:pos="9297"/>
        </w:tabs>
      </w:pPr>
      <w:r>
        <w:rPr>
          <w:rFonts w:ascii="Times New Roman" w:hAnsi="Times New Roman" w:cs="Times New Roman"/>
          <w:sz w:val="22"/>
        </w:rPr>
        <w:tab/>
      </w:r>
      <m:oMath>
        <m:sSub>
          <m:e>
            <m:r>
              <m:t>n</m:t>
            </m:r>
          </m:e>
          <m:sub>
            <m:r>
              <m:t>i</m:t>
            </m:r>
            <m:r>
              <m:rPr>
                <m:sty m:val="p"/>
              </m:rPr>
              <m:t>,</m:t>
            </m:r>
            <m:r>
              <m:t>r</m:t>
            </m:r>
          </m:sub>
        </m:sSub>
        <m:r>
          <m:rPr>
            <m:sty m:val="p"/>
          </m:rPr>
          <m:t>=</m:t>
        </m:r>
        <m:nary>
          <m:naryPr>
            <m:chr m:val="∑"/>
            <m:limLoc m:val="undOvr"/>
            <m:subHide m:val="off"/>
            <m:supHide m:val="on"/>
          </m:naryPr>
          <m:sub>
            <m:r>
              <m:t>q</m:t>
            </m:r>
            <m:r>
              <m:rPr>
                <m:sty m:val="p"/>
              </m:rPr>
              <m:t>≤</m:t>
            </m:r>
            <m:r>
              <m:t>r</m:t>
            </m:r>
          </m:sub>
          <m:sup>
            <m:r>
              <m:t>​</m:t>
            </m:r>
          </m:sup>
          <m:e>
            <m:r>
              <m:t>Δ</m:t>
            </m:r>
          </m:e>
        </m:nary>
        <m:sSub>
          <m:e>
            <m:r>
              <m:t>c</m:t>
            </m:r>
          </m:e>
          <m:sub>
            <m:r>
              <m:t>i</m:t>
            </m:r>
            <m:r>
              <m:rPr>
                <m:sty m:val="p"/>
              </m:rPr>
              <m:t>,</m:t>
            </m:r>
            <m:r>
              <m:t>q</m:t>
            </m:r>
          </m:sub>
        </m:sSub>
        <m:r>
          <m:rPr>
            <m:sty m:val="p"/>
          </m:rPr>
          <m:t>,</m:t>
        </m:r>
        <m:r>
          <m:t>  </m:t>
        </m:r>
        <m:r>
          <m:t>τ</m:t>
        </m:r>
        <m:r>
          <m:rPr>
            <m:sty m:val="p"/>
          </m:rPr>
          <m:t>=</m:t>
        </m:r>
        <m:f>
          <m:fPr>
            <m:type m:val="bar"/>
          </m:fPr>
          <m:num>
            <m:sSub>
              <m:e>
                <m:r>
                  <m:t>n</m:t>
                </m:r>
              </m:e>
              <m:sub>
                <m:r>
                  <m:t>i</m:t>
                </m:r>
                <m:r>
                  <m:rPr>
                    <m:sty m:val="p"/>
                  </m:rPr>
                  <m:t>,</m:t>
                </m:r>
                <m:r>
                  <m:t>r</m:t>
                </m:r>
              </m:sub>
            </m:sSub>
            <m:r>
              <m:rPr>
                <m:sty m:val="p"/>
              </m:rPr>
              <m:t>−</m:t>
            </m:r>
            <m:sSub>
              <m:e>
                <m:r>
                  <m:t>μ</m:t>
                </m:r>
              </m:e>
              <m:sub>
                <m:r>
                  <m:t>n</m:t>
                </m:r>
              </m:sub>
            </m:sSub>
          </m:num>
          <m:den>
            <m:sSub>
              <m:e>
                <m:r>
                  <m:t>σ</m:t>
                </m:r>
              </m:e>
              <m:sub>
                <m:r>
                  <m:t>n</m:t>
                </m:r>
              </m:sub>
            </m:sSub>
          </m:den>
        </m:f>
        <m:r>
          <m:rPr>
            <m:sty m:val="p"/>
          </m:rPr>
          <m:t>,</m:t>
        </m:r>
        <m:r>
          <m:t>  </m:t>
        </m:r>
        <m:r>
          <m:rPr>
            <m:sty m:val="b"/>
          </m:rPr>
          <m:t>h</m:t>
        </m:r>
        <m:r>
          <m:rPr>
            <m:sty m:val="p"/>
          </m:rPr>
          <m:t>=</m:t>
        </m:r>
        <m:sSup>
          <m:e>
            <m:d>
              <m:dPr>
                <m:begChr m:val="["/>
                <m:sepChr m:val=""/>
                <m:endChr m:val="]"/>
                <m:grow/>
              </m:dPr>
              <m:e>
                <m:sSub>
                  <m:e>
                    <m:r>
                      <m:t>z</m:t>
                    </m:r>
                  </m:e>
                  <m:sub>
                    <m:r>
                      <m:t>1</m:t>
                    </m:r>
                  </m:sub>
                </m:sSub>
                <m:r>
                  <m:rPr>
                    <m:sty m:val="p"/>
                  </m:rPr>
                  <m:t>,</m:t>
                </m:r>
                <m:r>
                  <m:rPr>
                    <m:sty m:val="p"/>
                  </m:rPr>
                  <m:t>…</m:t>
                </m:r>
                <m:r>
                  <m:rPr>
                    <m:sty m:val="p"/>
                  </m:rPr>
                  <m:t>,</m:t>
                </m:r>
                <m:sSub>
                  <m:e>
                    <m:r>
                      <m:t>z</m:t>
                    </m:r>
                  </m:e>
                  <m:sub>
                    <m:r>
                      <m:t>K</m:t>
                    </m:r>
                  </m:sub>
                </m:sSub>
                <m:r>
                  <m:rPr>
                    <m:sty m:val="p"/>
                  </m:rPr>
                  <m:t>,</m:t>
                </m:r>
                <m:r>
                  <m:t>τ</m:t>
                </m:r>
              </m:e>
            </m:d>
          </m:e>
          <m:sup>
            <m:r>
              <m:rPr>
                <m:sty m:val="p"/>
              </m:rPr>
              <m:t>T</m:t>
            </m:r>
          </m:sup>
        </m:sSup>
        <m:r>
          <m:rPr>
            <m:sty m:val="p"/>
          </m:rPr>
          <m:t>∈</m:t>
        </m:r>
        <m:sSup>
          <m:e>
            <m:r>
              <m:rPr>
                <m:scr m:val="double-struck"/>
                <m:sty m:val="p"/>
              </m:rPr>
              <m:t>R</m:t>
            </m:r>
          </m:e>
          <m:sup>
            <m:r>
              <m:t>K</m:t>
            </m:r>
            <m:r>
              <m:rPr>
                <m:sty m:val="p"/>
              </m:rPr>
              <m:t>+</m:t>
            </m:r>
            <m:r>
              <m:t>1</m:t>
            </m:r>
          </m:sup>
        </m:sSup>
      </m:oMath>
      <w:r>
        <w:rPr>
          <w:rFonts w:ascii="Times New Roman" w:hAnsi="Times New Roman" w:cs="Times New Roman"/>
          <w:sz w:val="22"/>
        </w:rPr>
        <w:tab/>
        <w:t>(9)</w:t>
      </w:r>
    </w:p>
    <w:p>
      <w:pPr>
        <w:pStyle w:val="BodyText"/>
      </w:pPr>
      <w:r>
        <w:t xml:space="preserve">当</w:t>
      </w:r>
      <m:oMath>
        <m:r>
          <m:t>K</m:t>
        </m:r>
        <m:r>
          <m:rPr>
            <m:sty m:val="p"/>
          </m:rPr>
          <m:t>=</m:t>
        </m:r>
        <m:r>
          <m:t>50</m:t>
        </m:r>
      </m:oMath>
      <w:r>
        <w:t xml:space="preserve">时，主干输入为51维。标签先除以100再标准化，预测值经逆变换还原：</w:t>
      </w:r>
    </w:p>
    <w:p>
      <w:pPr>
        <w:pStyle w:val="Equation"/>
        <w:tabs>
          <w:tab w:val="center" w:pos="4648"/>
          <w:tab w:val="right" w:pos="9297"/>
        </w:tabs>
      </w:pPr>
      <w:r>
        <w:rPr>
          <w:rFonts w:ascii="Times New Roman" w:hAnsi="Times New Roman" w:cs="Times New Roman"/>
          <w:sz w:val="22"/>
        </w:rPr>
        <w:tab/>
      </w:r>
      <m:oMath>
        <m:sSup>
          <m:e>
            <m:r>
              <m:t>y</m:t>
            </m:r>
          </m:e>
          <m:sup>
            <m:r>
              <m:rPr>
                <m:nor/>
              </m:rPr>
              <m:t>*</m:t>
            </m:r>
          </m:sup>
        </m:sSup>
        <m:r>
          <m:rPr>
            <m:sty m:val="p"/>
          </m:rPr>
          <m:t>=</m:t>
        </m:r>
        <m:f>
          <m:fPr>
            <m:type m:val="bar"/>
          </m:fPr>
          <m:num>
            <m:r>
              <m:t>y</m:t>
            </m:r>
            <m:r>
              <m:rPr>
                <m:sty m:val="p"/>
              </m:rPr>
              <m:t>/</m:t>
            </m:r>
            <m:r>
              <m:t>100</m:t>
            </m:r>
            <m:r>
              <m:rPr>
                <m:sty m:val="p"/>
              </m:rPr>
              <m:t>−</m:t>
            </m:r>
            <m:sSub>
              <m:e>
                <m:r>
                  <m:t>μ</m:t>
                </m:r>
              </m:e>
              <m:sub>
                <m:r>
                  <m:t>y</m:t>
                </m:r>
              </m:sub>
            </m:sSub>
          </m:num>
          <m:den>
            <m:sSub>
              <m:e>
                <m:r>
                  <m:t>σ</m:t>
                </m:r>
              </m:e>
              <m:sub>
                <m:r>
                  <m:t>y</m:t>
                </m:r>
              </m:sub>
            </m:sSub>
          </m:den>
        </m:f>
        <m:r>
          <m:rPr>
            <m:sty m:val="p"/>
          </m:rPr>
          <m:t>,</m:t>
        </m:r>
        <m:r>
          <m:t>  </m:t>
        </m:r>
        <m:acc>
          <m:accPr>
            <m:chr m:val="̂"/>
          </m:accPr>
          <m:e>
            <m:r>
              <m:t>y</m:t>
            </m:r>
          </m:e>
        </m:acc>
        <m:r>
          <m:rPr>
            <m:sty m:val="p"/>
          </m:rPr>
          <m:t>=</m:t>
        </m:r>
        <m:r>
          <m:t>100</m:t>
        </m:r>
        <m:d>
          <m:dPr>
            <m:begChr m:val="("/>
            <m:sepChr m:val=""/>
            <m:endChr m:val=")"/>
            <m:grow/>
          </m:dPr>
          <m:e>
            <m:sSub>
              <m:e>
                <m:r>
                  <m:t>σ</m:t>
                </m:r>
              </m:e>
              <m:sub>
                <m:r>
                  <m:t>y</m:t>
                </m:r>
              </m:sub>
            </m:sSub>
            <m:sSup>
              <m:e>
                <m:acc>
                  <m:accPr>
                    <m:chr m:val="̂"/>
                  </m:accPr>
                  <m:e>
                    <m:r>
                      <m:t>y</m:t>
                    </m:r>
                  </m:e>
                </m:acc>
              </m:e>
              <m:sup>
                <m:r>
                  <m:rPr>
                    <m:nor/>
                  </m:rPr>
                  <m:t>*</m:t>
                </m:r>
              </m:sup>
            </m:sSup>
            <m:r>
              <m:rPr>
                <m:sty m:val="p"/>
              </m:rPr>
              <m:t>+</m:t>
            </m:r>
            <m:sSub>
              <m:e>
                <m:r>
                  <m:t>μ</m:t>
                </m:r>
              </m:e>
              <m:sub>
                <m:r>
                  <m:t>y</m:t>
                </m:r>
              </m:sub>
            </m:sSub>
          </m:e>
        </m:d>
      </m:oMath>
      <w:r>
        <w:rPr>
          <w:rFonts w:ascii="Times New Roman" w:hAnsi="Times New Roman" w:cs="Times New Roman"/>
          <w:sz w:val="22"/>
        </w:rPr>
        <w:tab/>
        <w:t>(10)</w:t>
      </w:r>
    </w:p>
    <w:p>
      <w:pPr>
        <w:pStyle w:val="BodyText"/>
      </w:pPr>
      <w:r>
        <w:t xml:space="preserve">式（4）、（5）与（7）～（10）中的全部统计量均仅由训练折拟合。除累计循环数外，所有输入均由单条脉冲得到；同一RPT的其他工况记录、历史容量、电芯编号以及由参考容量派生的量均不进入模型（补充表S2）。</w:t>
      </w:r>
    </w:p>
    <w:bookmarkEnd w:id="31"/>
    <w:bookmarkEnd w:id="32"/>
    <w:bookmarkStart w:id="45" w:name="模型与实验设计"/>
    <w:p>
      <w:pPr>
        <w:pStyle w:val="Heading1"/>
      </w:pPr>
      <w:r>
        <w:t xml:space="preserve">3 模型与实验设计</w:t>
      </w:r>
    </w:p>
    <w:bookmarkStart w:id="36" w:name="总体框架"/>
    <w:p>
      <w:pPr>
        <w:pStyle w:val="Heading2"/>
      </w:pPr>
      <w:r>
        <w:t xml:space="preserve">3.1 总体框架</w:t>
      </w:r>
    </w:p>
    <w:p>
      <w:pPr>
        <w:pStyle w:val="FirstParagraph"/>
      </w:pPr>
      <w:r>
        <w:t xml:space="preserve">模型由人工特征主干编码器</w:t>
      </w:r>
      <m:oMath>
        <m:sSub>
          <m:e>
            <m:r>
              <m:t>E</m:t>
            </m:r>
          </m:e>
          <m:sub>
            <m:r>
              <m:rPr>
                <m:sty m:val="p"/>
              </m:rPr>
              <m:t>h</m:t>
            </m:r>
          </m:sub>
        </m:sSub>
      </m:oMath>
      <w:r>
        <w:t xml:space="preserve">、波形补充编码器</w:t>
      </w:r>
      <m:oMath>
        <m:sSub>
          <m:e>
            <m:r>
              <m:t>E</m:t>
            </m:r>
          </m:e>
          <m:sub>
            <m:r>
              <m:rPr>
                <m:sty m:val="p"/>
              </m:rPr>
              <m:t>v</m:t>
            </m:r>
          </m:sub>
        </m:sSub>
      </m:oMath>
      <w:r>
        <w:t xml:space="preserve">和回归头</w:t>
      </w:r>
      <m:oMath>
        <m:r>
          <m:t>g</m:t>
        </m:r>
      </m:oMath>
      <w:r>
        <w:t xml:space="preserve">组成（图2）。主干接收式（9）定义的51维输入</w:t>
      </w:r>
      <m:oMath>
        <m:r>
          <m:rPr>
            <m:sty m:val="b"/>
          </m:rPr>
          <m:t>h</m:t>
        </m:r>
      </m:oMath>
      <w:r>
        <w:t xml:space="preserve">，补充分支接收式（7）定义的</w:t>
      </w:r>
      <m:oMath>
        <m:acc>
          <m:accPr>
            <m:chr m:val="̃"/>
          </m:accPr>
          <m:e>
            <m:r>
              <m:rPr>
                <m:sty m:val="b"/>
              </m:rPr>
              <m:t>v</m:t>
            </m:r>
          </m:e>
        </m:acc>
      </m:oMath>
      <w:r>
        <w:t xml:space="preserve">；两路输入均由同一条脉冲记录导出，其中</w:t>
      </w:r>
      <m:oMath>
        <m:r>
          <m:t>τ</m:t>
        </m:r>
      </m:oMath>
      <w:r>
        <w:t xml:space="preserve">另需该电芯的循环记录。两个编码器各输出32维表征，拼接后映射为标准化SOH：</w:t>
      </w:r>
    </w:p>
    <w:p>
      <w:pPr>
        <w:pStyle w:val="Equation"/>
        <w:tabs>
          <w:tab w:val="center" w:pos="4648"/>
          <w:tab w:val="right" w:pos="9297"/>
        </w:tabs>
      </w:pPr>
      <w:r>
        <w:rPr>
          <w:rFonts w:ascii="Times New Roman" w:hAnsi="Times New Roman" w:cs="Times New Roman"/>
          <w:sz w:val="22"/>
        </w:rPr>
        <w:tab/>
      </w:r>
      <m:oMath>
        <m:sSup>
          <m:e>
            <m:acc>
              <m:accPr>
                <m:chr m:val="̂"/>
              </m:accPr>
              <m:e>
                <m:r>
                  <m:t>y</m:t>
                </m:r>
              </m:e>
            </m:acc>
          </m:e>
          <m:sup>
            <m:r>
              <m:rPr>
                <m:nor/>
              </m:rPr>
              <m:t>*</m:t>
            </m:r>
          </m:sup>
        </m:sSup>
        <m:r>
          <m:rPr>
            <m:sty m:val="p"/>
          </m:rPr>
          <m:t>=</m:t>
        </m:r>
        <m:r>
          <m:t>g</m:t>
        </m:r>
        <m:d>
          <m:dPr>
            <m:begChr m:val="("/>
            <m:sepChr m:val=""/>
            <m:endChr m:val=")"/>
            <m:grow/>
          </m:dPr>
          <m:e>
            <m:d>
              <m:dPr>
                <m:begChr m:val="["/>
                <m:sepChr m:val=""/>
                <m:endChr m:val="]"/>
                <m:grow/>
              </m:dPr>
              <m:e>
                <m:sSub>
                  <m:e>
                    <m:r>
                      <m:t>E</m:t>
                    </m:r>
                  </m:e>
                  <m:sub>
                    <m:r>
                      <m:rPr>
                        <m:sty m:val="p"/>
                      </m:rPr>
                      <m:t>v</m:t>
                    </m:r>
                  </m:sub>
                </m:sSub>
                <m:d>
                  <m:dPr>
                    <m:begChr m:val="("/>
                    <m:sepChr m:val=""/>
                    <m:endChr m:val=")"/>
                    <m:grow/>
                  </m:dPr>
                  <m:e>
                    <m:acc>
                      <m:accPr>
                        <m:chr m:val="̃"/>
                      </m:accPr>
                      <m:e>
                        <m:r>
                          <m:rPr>
                            <m:sty m:val="b"/>
                          </m:rPr>
                          <m:t>v</m:t>
                        </m:r>
                      </m:e>
                    </m:acc>
                  </m:e>
                </m:d>
                <m:r>
                  <m:rPr>
                    <m:sty m:val="p"/>
                  </m:rPr>
                  <m:t>;</m:t>
                </m:r>
                <m:r>
                  <m:t> </m:t>
                </m:r>
                <m:sSub>
                  <m:e>
                    <m:r>
                      <m:t>E</m:t>
                    </m:r>
                  </m:e>
                  <m:sub>
                    <m:r>
                      <m:rPr>
                        <m:sty m:val="p"/>
                      </m:rPr>
                      <m:t>h</m:t>
                    </m:r>
                  </m:sub>
                </m:sSub>
                <m:d>
                  <m:dPr>
                    <m:begChr m:val="("/>
                    <m:sepChr m:val=""/>
                    <m:endChr m:val=")"/>
                    <m:grow/>
                  </m:dPr>
                  <m:e>
                    <m:r>
                      <m:rPr>
                        <m:sty m:val="b"/>
                      </m:rPr>
                      <m:t>h</m:t>
                    </m:r>
                  </m:e>
                </m:d>
              </m:e>
            </m:d>
          </m:e>
        </m:d>
      </m:oMath>
      <w:r>
        <w:rPr>
          <w:rFonts w:ascii="Times New Roman" w:hAnsi="Times New Roman" w:cs="Times New Roman"/>
          <w:sz w:val="22"/>
        </w:rPr>
        <w:tab/>
        <w:t>(11)</w:t>
      </w:r>
    </w:p>
    <w:p>
      <w:pPr>
        <w:pStyle w:val="BodyText"/>
      </w:pPr>
      <w:r>
        <w:t xml:space="preserve">两个分支的差别体现在输入信息上：主干携带由脉冲计算的物理描述量（如直流内阻）和累计使用信息，单独即可完成SOH估计；补充分支只接收电压响应的形状。因此，补充分支以其在主干之上带来的增量来评价（4.2节）。在编码器比较矩阵中，3种主干候选与5种补充候选两两交叉组合，其余部分均保持不变。</w:t>
      </w:r>
    </w:p>
    <w:p>
      <w:pPr>
        <w:pStyle w:val="CaptionedFigure"/>
      </w:pPr>
      <w:r>
        <w:drawing>
          <wp:inline>
            <wp:extent cx="5334000" cy="3656456"/>
            <wp:effectExtent b="0" l="0" r="0" t="0"/>
            <wp:docPr descr="图2 双分支SOH估计模型（R0配置）。左上：人工特征主干；训练折筛选的50项特征与标准化累计循环数τ组成51维输入，经MLP编码为32维表征。左下：波形补充；101点脉冲电压响应经首点作差与逐位置标准化后，划分为24个片段（片段长度P = 9，步长S = 4），由单层PatchTST编码为32维表征。右：两路表征拼接为64维，经回归得到标准化SOH ŷ*，再经逆标准化输出。训练最小化均方误差与正偏导∂ŷ*/∂τ惩罚项之和（λ = 0.1）；该软约束仅在训练中起作用。" title="" id="34" name="Picture"/>
            <a:graphic>
              <a:graphicData uri="http://schemas.openxmlformats.org/drawingml/2006/picture">
                <pic:pic>
                  <pic:nvPicPr>
                    <pic:cNvPr descr="figures/fig2_framework.png" id="35" name="Picture"/>
                    <pic:cNvPicPr>
                      <a:picLocks noChangeArrowheads="1" noChangeAspect="1"/>
                    </pic:cNvPicPr>
                  </pic:nvPicPr>
                  <pic:blipFill>
                    <a:blip r:embed="rId33"/>
                    <a:stretch>
                      <a:fillRect/>
                    </a:stretch>
                  </pic:blipFill>
                  <pic:spPr bwMode="auto">
                    <a:xfrm>
                      <a:off x="0" y="0"/>
                      <a:ext cx="5334000" cy="3656456"/>
                    </a:xfrm>
                    <a:prstGeom prst="rect">
                      <a:avLst/>
                    </a:prstGeom>
                    <a:noFill/>
                    <a:ln w="9525">
                      <a:noFill/>
                      <a:headEnd/>
                      <a:tailEnd/>
                    </a:ln>
                  </pic:spPr>
                </pic:pic>
              </a:graphicData>
            </a:graphic>
          </wp:inline>
        </w:drawing>
      </w:r>
    </w:p>
    <w:p>
      <w:pPr>
        <w:pStyle w:val="ImageCaption"/>
      </w:pPr>
      <w:r>
        <w:rPr>
          <w:b/>
          <w:bCs/>
        </w:rPr>
        <w:t xml:space="preserve">图2</w:t>
      </w:r>
      <w:r>
        <w:t xml:space="preserve"> </w:t>
      </w:r>
      <w:r>
        <w:t xml:space="preserve">双分支SOH估计模型（R0配置）。左上：人工特征主干；训练折筛选的50项特征与标准化累计循环数</w:t>
      </w:r>
      <w:r>
        <w:rPr>
          <w:i/>
          <w:iCs/>
        </w:rPr>
        <w:t xml:space="preserve">τ</w:t>
      </w:r>
      <w:r>
        <w:t xml:space="preserve">组成51维输入，经MLP编码为32维表征。左下：波形补充；101点脉冲电压响应经首点作差与逐位置标准化后，划分为24个片段（片段长度</w:t>
      </w:r>
      <w:r>
        <w:rPr>
          <w:i/>
          <w:iCs/>
        </w:rPr>
        <w:t xml:space="preserve">P</w:t>
      </w:r>
      <w:r>
        <w:t xml:space="preserve"> </w:t>
      </w:r>
      <w:r>
        <w:t xml:space="preserve">= 9，步长</w:t>
      </w:r>
      <w:r>
        <w:rPr>
          <w:i/>
          <w:iCs/>
        </w:rPr>
        <w:t xml:space="preserve">S</w:t>
      </w:r>
      <w:r>
        <w:t xml:space="preserve"> </w:t>
      </w:r>
      <w:r>
        <w:t xml:space="preserve">= 4），由单层PatchTST编码为32维表征。右：两路表征拼接为64维，经回归得到标准化SOH</w:t>
      </w:r>
      <w:r>
        <w:t xml:space="preserve"> </w:t>
      </w:r>
      <w:r>
        <w:rPr>
          <w:i/>
          <w:iCs/>
        </w:rPr>
        <w:t xml:space="preserve">ŷ</w:t>
      </w:r>
      <w:r>
        <w:t xml:space="preserve">*，再经逆标准化输出。训练最小化均方误差与正偏导∂</w:t>
      </w:r>
      <w:r>
        <w:rPr>
          <w:i/>
          <w:iCs/>
        </w:rPr>
        <w:t xml:space="preserve">ŷ</w:t>
      </w:r>
      <w:r>
        <w:t xml:space="preserve">*/∂</w:t>
      </w:r>
      <w:r>
        <w:rPr>
          <w:i/>
          <w:iCs/>
        </w:rPr>
        <w:t xml:space="preserve">τ</w:t>
      </w:r>
      <w:r>
        <w:t xml:space="preserve">惩罚项之和（</w:t>
      </w:r>
      <w:r>
        <w:rPr>
          <w:i/>
          <w:iCs/>
        </w:rPr>
        <w:t xml:space="preserve">λ</w:t>
      </w:r>
      <w:r>
        <w:t xml:space="preserve"> </w:t>
      </w:r>
      <w:r>
        <w:t xml:space="preserve">= 0.1）；该软约束仅在训练中起作用。</w:t>
      </w:r>
    </w:p>
    <w:bookmarkEnd w:id="36"/>
    <w:bookmarkStart w:id="37" w:name="主干编码器"/>
    <w:p>
      <w:pPr>
        <w:pStyle w:val="Heading2"/>
      </w:pPr>
      <w:r>
        <w:t xml:space="preserve">3.2 主干编码器</w:t>
      </w:r>
    </w:p>
    <w:p>
      <w:pPr>
        <w:pStyle w:val="FirstParagraph"/>
      </w:pPr>
      <w:r>
        <w:t xml:space="preserve">本文比较3种主干编码器。MLP将51维输入依次映射为64维与32维，每层后接层归一化和ReLU，第一层后设置0.2的随机失活（5,600个参数）。ResNet与FT-Transformer沿用面向表格数据的参考实现[41]，并在相近参数预算内调整为32维输出：ResNet含2个宽度为28的残差块（5,800个参数）；FT-Transformer将每个输入量映射为宽度20的标记，含1个4头Transformer块和隐藏宽度26的ReGLU前馈层（6,124个参数）；二者的随机失活率均为0.2。三种编码器接收完全相同的输入；</w:t>
      </w:r>
      <m:oMath>
        <m:r>
          <m:t>τ</m:t>
        </m:r>
      </m:oMath>
      <w:r>
        <w:t xml:space="preserve">以独立张量传入后再拼接，以便计算预测对</w:t>
      </w:r>
      <m:oMath>
        <m:r>
          <m:t>τ</m:t>
        </m:r>
      </m:oMath>
      <w:r>
        <w:t xml:space="preserve">的偏导（3.4节）。</w:t>
      </w:r>
    </w:p>
    <w:bookmarkEnd w:id="37"/>
    <w:bookmarkStart w:id="38" w:name="波形编码器与patchtst适配"/>
    <w:p>
      <w:pPr>
        <w:pStyle w:val="Heading2"/>
      </w:pPr>
      <w:r>
        <w:t xml:space="preserve">3.3 波形编码器与PatchTST适配</w:t>
      </w:r>
    </w:p>
    <w:p>
      <w:pPr>
        <w:pStyle w:val="FirstParagraph"/>
      </w:pPr>
      <w:r>
        <w:t xml:space="preserve">5种补充编码器均将101点标准化序列映射为32维表征，末端统一为线性投影、ReLU与0.2随机失活（表3）。卷积神经网络（CNN）含3个卷积层（通道1→16→32→64，卷积核7、5、3，各接批归一化与ReLU，前两层后最大池化），其后为全局平均池化；MLP依次映射101→64→48→32；时间卷积网络（TCN）[38]宽度为24，含3个膨胀率依次为1、2、4的残差块，对完整脉冲使用对称填充，而非严格因果卷积；逐点Transformer（PW-Trans.）[39]将101个采样点各视为一个标记（宽度24，1层，4头），并对全部标记作均值池化。</w:t>
      </w:r>
    </w:p>
    <w:p>
      <w:pPr>
        <w:pStyle w:val="BodyText"/>
      </w:pPr>
      <w:r>
        <w:t xml:space="preserve">PatchTST最初用于长序列时间序列预测[40]，本文沿用其片段化思想。将长度为</w:t>
      </w:r>
      <m:oMath>
        <m:r>
          <m:t>L</m:t>
        </m:r>
        <m:r>
          <m:rPr>
            <m:sty m:val="p"/>
          </m:rPr>
          <m:t>=</m:t>
        </m:r>
        <m:r>
          <m:t>101</m:t>
        </m:r>
      </m:oMath>
      <w:r>
        <w:t xml:space="preserve">的序列按片段长度</w:t>
      </w:r>
      <m:oMath>
        <m:r>
          <m:t>P</m:t>
        </m:r>
      </m:oMath>
      <w:r>
        <w:t xml:space="preserve">、步长</w:t>
      </w:r>
      <m:oMath>
        <m:r>
          <m:t>S</m:t>
        </m:r>
      </m:oMath>
      <w:r>
        <w:t xml:space="preserve">划分为重叠片段，片段数为</w:t>
      </w:r>
    </w:p>
    <w:p>
      <w:pPr>
        <w:pStyle w:val="Equation"/>
        <w:tabs>
          <w:tab w:val="center" w:pos="4648"/>
          <w:tab w:val="right" w:pos="9297"/>
        </w:tabs>
      </w:pPr>
      <w:r>
        <w:rPr>
          <w:rFonts w:ascii="Times New Roman" w:hAnsi="Times New Roman" w:cs="Times New Roman"/>
          <w:sz w:val="22"/>
        </w:rPr>
        <w:tab/>
      </w:r>
      <m:oMath>
        <m:r>
          <m:t>M</m:t>
        </m:r>
        <m:r>
          <m:rPr>
            <m:sty m:val="p"/>
          </m:rPr>
          <m:t>=</m:t>
        </m:r>
        <m:r>
          <m:rPr>
            <m:sty m:val="p"/>
          </m:rPr>
          <m:t>floor</m:t>
        </m:r>
        <m:d>
          <m:dPr>
            <m:begChr m:val="("/>
            <m:sepChr m:val=""/>
            <m:endChr m:val=")"/>
            <m:grow/>
          </m:dPr>
          <m:e>
            <m:f>
              <m:fPr>
                <m:type m:val="bar"/>
              </m:fPr>
              <m:num>
                <m:r>
                  <m:t>L</m:t>
                </m:r>
                <m:r>
                  <m:rPr>
                    <m:sty m:val="p"/>
                  </m:rPr>
                  <m:t>−</m:t>
                </m:r>
                <m:r>
                  <m:t>P</m:t>
                </m:r>
              </m:num>
              <m:den>
                <m:r>
                  <m:t>S</m:t>
                </m:r>
              </m:den>
            </m:f>
          </m:e>
        </m:d>
        <m:r>
          <m:rPr>
            <m:sty m:val="p"/>
          </m:rPr>
          <m:t>+</m:t>
        </m:r>
        <m:r>
          <m:t>1</m:t>
        </m:r>
        <m:r>
          <m:rPr>
            <m:sty m:val="p"/>
          </m:rPr>
          <m:t>,</m:t>
        </m:r>
        <m:r>
          <m:t>  </m:t>
        </m:r>
        <m:sSub>
          <m:e>
            <m:r>
              <m:rPr>
                <m:sty m:val="b"/>
              </m:rPr>
              <m:t>p</m:t>
            </m:r>
          </m:e>
          <m:sub>
            <m:r>
              <m:t>m</m:t>
            </m:r>
          </m:sub>
        </m:sSub>
        <m:r>
          <m:rPr>
            <m:sty m:val="p"/>
          </m:rPr>
          <m:t>=</m:t>
        </m:r>
        <m:sSup>
          <m:e>
            <m:d>
              <m:dPr>
                <m:begChr m:val="("/>
                <m:sepChr m:val=""/>
                <m:endChr m:val=")"/>
                <m:grow/>
              </m:dPr>
              <m:e>
                <m:sSub>
                  <m:e>
                    <m:acc>
                      <m:accPr>
                        <m:chr m:val="̃"/>
                      </m:accPr>
                      <m:e>
                        <m:r>
                          <m:t>v</m:t>
                        </m:r>
                      </m:e>
                    </m:acc>
                  </m:e>
                  <m:sub>
                    <m:d>
                      <m:dPr>
                        <m:begChr m:val="("/>
                        <m:sepChr m:val=""/>
                        <m:endChr m:val=")"/>
                        <m:grow/>
                      </m:dPr>
                      <m:e>
                        <m:r>
                          <m:t>m</m:t>
                        </m:r>
                        <m:r>
                          <m:rPr>
                            <m:sty m:val="p"/>
                          </m:rPr>
                          <m:t>−</m:t>
                        </m:r>
                        <m:r>
                          <m:t>1</m:t>
                        </m:r>
                      </m:e>
                    </m:d>
                    <m:r>
                      <m:t>S</m:t>
                    </m:r>
                  </m:sub>
                </m:sSub>
                <m:r>
                  <m:rPr>
                    <m:sty m:val="p"/>
                  </m:rPr>
                  <m:t>,</m:t>
                </m:r>
                <m:r>
                  <m:t> </m:t>
                </m:r>
                <m:sSub>
                  <m:e>
                    <m:acc>
                      <m:accPr>
                        <m:chr m:val="̃"/>
                      </m:accPr>
                      <m:e>
                        <m:r>
                          <m:t>v</m:t>
                        </m:r>
                      </m:e>
                    </m:acc>
                  </m:e>
                  <m:sub>
                    <m:d>
                      <m:dPr>
                        <m:begChr m:val="("/>
                        <m:sepChr m:val=""/>
                        <m:endChr m:val=")"/>
                        <m:grow/>
                      </m:dPr>
                      <m:e>
                        <m:r>
                          <m:t>m</m:t>
                        </m:r>
                        <m:r>
                          <m:rPr>
                            <m:sty m:val="p"/>
                          </m:rPr>
                          <m:t>−</m:t>
                        </m:r>
                        <m:r>
                          <m:t>1</m:t>
                        </m:r>
                      </m:e>
                    </m:d>
                    <m:r>
                      <m:t>S</m:t>
                    </m:r>
                    <m:r>
                      <m:rPr>
                        <m:sty m:val="p"/>
                      </m:rPr>
                      <m:t>+</m:t>
                    </m:r>
                    <m:r>
                      <m:t>1</m:t>
                    </m:r>
                  </m:sub>
                </m:sSub>
                <m:r>
                  <m:rPr>
                    <m:sty m:val="p"/>
                  </m:rPr>
                  <m:t>,</m:t>
                </m:r>
                <m:r>
                  <m:rPr>
                    <m:sty m:val="p"/>
                  </m:rPr>
                  <m:t>…</m:t>
                </m:r>
                <m:r>
                  <m:rPr>
                    <m:sty m:val="p"/>
                  </m:rPr>
                  <m:t>,</m:t>
                </m:r>
                <m:sSub>
                  <m:e>
                    <m:acc>
                      <m:accPr>
                        <m:chr m:val="̃"/>
                      </m:accPr>
                      <m:e>
                        <m:r>
                          <m:t>v</m:t>
                        </m:r>
                      </m:e>
                    </m:acc>
                  </m:e>
                  <m:sub>
                    <m:d>
                      <m:dPr>
                        <m:begChr m:val="("/>
                        <m:sepChr m:val=""/>
                        <m:endChr m:val=")"/>
                        <m:grow/>
                      </m:dPr>
                      <m:e>
                        <m:r>
                          <m:t>m</m:t>
                        </m:r>
                        <m:r>
                          <m:rPr>
                            <m:sty m:val="p"/>
                          </m:rPr>
                          <m:t>−</m:t>
                        </m:r>
                        <m:r>
                          <m:t>1</m:t>
                        </m:r>
                      </m:e>
                    </m:d>
                    <m:r>
                      <m:t>S</m:t>
                    </m:r>
                    <m:r>
                      <m:rPr>
                        <m:sty m:val="p"/>
                      </m:rPr>
                      <m:t>+</m:t>
                    </m:r>
                    <m:r>
                      <m:t>P</m:t>
                    </m:r>
                    <m:r>
                      <m:rPr>
                        <m:sty m:val="p"/>
                      </m:rPr>
                      <m:t>−</m:t>
                    </m:r>
                    <m:r>
                      <m:t>1</m:t>
                    </m:r>
                  </m:sub>
                </m:sSub>
              </m:e>
            </m:d>
          </m:e>
          <m:sup>
            <m:r>
              <m:rPr>
                <m:sty m:val="p"/>
              </m:rPr>
              <m:t>T</m:t>
            </m:r>
          </m:sup>
        </m:sSup>
        <m:r>
          <m:rPr>
            <m:sty m:val="p"/>
          </m:rPr>
          <m:t>∈</m:t>
        </m:r>
        <m:sSup>
          <m:e>
            <m:r>
              <m:rPr>
                <m:scr m:val="double-struck"/>
                <m:sty m:val="p"/>
              </m:rPr>
              <m:t>R</m:t>
            </m:r>
          </m:e>
          <m:sup>
            <m:r>
              <m:t>P</m:t>
            </m:r>
          </m:sup>
        </m:sSup>
      </m:oMath>
      <w:r>
        <w:rPr>
          <w:rFonts w:ascii="Times New Roman" w:hAnsi="Times New Roman" w:cs="Times New Roman"/>
          <w:sz w:val="22"/>
        </w:rPr>
        <w:tab/>
        <w:t>(12)</w:t>
      </w:r>
    </w:p>
    <w:p>
      <w:pPr>
        <w:pStyle w:val="BodyText"/>
      </w:pPr>
      <w:r>
        <w:t xml:space="preserve">取</w:t>
      </w:r>
      <m:oMath>
        <m:r>
          <m:t>P</m:t>
        </m:r>
        <m:r>
          <m:rPr>
            <m:sty m:val="p"/>
          </m:rPr>
          <m:t>=</m:t>
        </m:r>
        <m:r>
          <m:t>9</m:t>
        </m:r>
      </m:oMath>
      <w:r>
        <w:t xml:space="preserve">、</w:t>
      </w:r>
      <m:oMath>
        <m:r>
          <m:t>S</m:t>
        </m:r>
        <m:r>
          <m:rPr>
            <m:sty m:val="p"/>
          </m:rPr>
          <m:t>=</m:t>
        </m:r>
        <m:r>
          <m:t>4</m:t>
        </m:r>
      </m:oMath>
      <w:r>
        <w:t xml:space="preserve">时，</w:t>
      </w:r>
      <m:oMath>
        <m:r>
          <m:t>M</m:t>
        </m:r>
        <m:r>
          <m:rPr>
            <m:sty m:val="p"/>
          </m:rPr>
          <m:t>=</m:t>
        </m:r>
        <m:r>
          <m:t>24</m:t>
        </m:r>
      </m:oMath>
      <w:r>
        <w:t xml:space="preserve">，最后一个片段恰好结束于第101个采样点，无需补零或截断。每个片段经线性映射升维至</w:t>
      </w:r>
      <m:oMath>
        <m:r>
          <m:t>D</m:t>
        </m:r>
        <m:r>
          <m:rPr>
            <m:sty m:val="p"/>
          </m:rPr>
          <m:t>=</m:t>
        </m:r>
        <m:r>
          <m:t>32</m:t>
        </m:r>
      </m:oMath>
      <w:r>
        <w:t xml:space="preserve">，并叠加可学习的位置嵌入，再由单层后置层归一化Transformer编码层（4头，GELU前馈宽度64，随机失活0.2）建模片段级依赖；随后经层归一化、跨标记均值池化与线性投影得到32维表征（补充说明S2）。片段化先在局部窗口内联合表示相邻采样点，再由注意力建模区段之间的关系，使标记数由101降至24；该分支共10,752个参数。</w:t>
      </w:r>
    </w:p>
    <w:p>
      <w:pPr>
        <w:pStyle w:val="BodyText"/>
      </w:pPr>
      <w:r>
        <w:t xml:space="preserve">相对原始PatchTST[40]，本文针对单条短脉冲的单值回归作了四处改动。（i）以均值池化加线性投影取代展平预测头，使表征维度与片段数无关；若改用展平预测头，该分支参数量将增至34,304（模型总计42,593）。（ii）不采用逐样本实例归一化（RevIN），以保留响应幅值：该幅值随内阻变化，可能携带老化信息。（iii）输入为2.4节所述经首点作差与逐位置标准化的单通道序列，而非原始电压。（iv）只保留单层编码器，不包括多步预测头和自监督预训练。改动（i）～（iii）通过逐项还原的方式加以检验（4.5.2节）。</w:t>
      </w:r>
    </w:p>
    <w:p>
      <w:pPr>
        <w:pStyle w:val="TableCaption"/>
      </w:pPr>
      <w:r>
        <w:rPr>
          <w:b/>
        </w:rPr>
        <w:t xml:space="preserve">表3　</w:t>
      </w:r>
      <w:r>
        <w:rPr/>
        <w:t xml:space="preserve">主干与补充编码器的结构及参数量</w:t>
      </w:r>
    </w:p>
    <w:tbl>
      <w:tblPr>
        <w:tblW w:type="pct" w:w="5000"/>
        <w:jc w:val="center"/>
        <w:tblLayout w:type="fixed"/>
        <w:tblCellMar>
          <w:top w:w="15" w:type="dxa"/>
          <w:left w:w="60" w:type="dxa"/>
          <w:bottom w:w="15" w:type="dxa"/>
          <w:right w:w="60" w:type="dxa"/>
        </w:tblCellMar>
        <w:tblCaption w:val="主干与补充编码器的结构及参数量"/>
      </w:tblPr>
      <w:tblGrid>
        <w:gridCol w:w="1111"/>
        <w:gridCol w:w="1389"/>
        <w:gridCol w:w="4307"/>
        <w:gridCol w:w="111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模块</w:t>
            </w:r>
          </w:p>
        </w:tc>
        <w:tc>
          <w:tcPr>
            <w:tcBorders>
              <w:top w:val="single" w:sz="12" w:space="0" w:color="000000"/>
              <w:bottom w:val="single" w:sz="6" w:space="0" w:color="000000"/>
            </w:tcBorders>
            <w:vAlign w:val="center"/>
          </w:tcPr>
          <w:p>
            <w:pPr>
              <w:pStyle w:val="TableText"/>
              <w:jc w:val="left"/>
            </w:pPr>
            <w:r>
              <w:rPr>
                <w:b/>
                <w:noProof/>
              </w:rPr>
              <w:t xml:space="preserve">编码器</w:t>
            </w:r>
          </w:p>
        </w:tc>
        <w:tc>
          <w:tcPr>
            <w:tcBorders>
              <w:top w:val="single" w:sz="12" w:space="0" w:color="000000"/>
              <w:bottom w:val="single" w:sz="6" w:space="0" w:color="000000"/>
            </w:tcBorders>
            <w:vAlign w:val="center"/>
          </w:tcPr>
          <w:p>
            <w:pPr>
              <w:pStyle w:val="TableText"/>
              <w:jc w:val="left"/>
            </w:pPr>
            <w:r>
              <w:rPr>
                <w:b/>
                <w:noProof/>
              </w:rPr>
              <w:t xml:space="preserve">主要设置</w:t>
            </w:r>
          </w:p>
        </w:tc>
        <w:tc>
          <w:tcPr>
            <w:tcBorders>
              <w:top w:val="single" w:sz="12" w:space="0" w:color="000000"/>
              <w:bottom w:val="single" w:sz="6" w:space="0" w:color="000000"/>
            </w:tcBorders>
            <w:vAlign w:val="center"/>
          </w:tcPr>
          <w:p>
            <w:pPr>
              <w:pStyle w:val="TableText"/>
              <w:jc w:val="right"/>
            </w:pPr>
            <w:r>
              <w:rPr>
                <w:b/>
                <w:noProof/>
              </w:rPr>
              <w:t xml:space="preserve">参数量</w:t>
            </w:r>
          </w:p>
        </w:tc>
      </w:tr>
      <w:tr>
        <w:trPr>
          <w:cantSplit/>
        </w:trPr>
        <w:tc>
          <w:tcPr>
            <w:tcBorders/>
            <w:vAlign w:val="center"/>
          </w:tcPr>
          <w:p>
            <w:pPr>
              <w:pStyle w:val="TableText"/>
              <w:jc w:val="left"/>
            </w:pPr>
            <w:r>
              <w:rPr>
                <w:noProof/>
              </w:rPr>
              <w:t xml:space="preserve">人工特征主干</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51→64→32；层归一化，ReLU；第1层后随机失活0.2</w:t>
            </w:r>
          </w:p>
        </w:tc>
        <w:tc>
          <w:tcPr>
            <w:tcBorders/>
            <w:vAlign w:val="center"/>
          </w:tcPr>
          <w:p>
            <w:pPr>
              <w:pStyle w:val="TableText"/>
              <w:jc w:val="right"/>
            </w:pPr>
            <w:r>
              <w:rPr>
                <w:noProof/>
              </w:rPr>
              <w:t xml:space="preserve">5,600</w:t>
            </w:r>
          </w:p>
        </w:tc>
      </w:tr>
      <w:tr>
        <w:trPr>
          <w:cantSplit/>
        </w:trPr>
        <w:tc>
          <w:tcPr>
            <w:tcBorders/>
            <w:vAlign w:val="center"/>
          </w:tcPr>
          <w:p>
            <w:pPr>
              <w:pStyle w:val="TableText"/>
              <w:jc w:val="left"/>
            </w:pPr>
            <w:r>
              <w:rPr>
                <w:noProof/>
              </w:rPr>
              <w:t xml:space="preserve">人工特征主干</w:t>
            </w:r>
          </w:p>
        </w:tc>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2个残差块；宽度28；隐藏宽度28</w:t>
            </w:r>
          </w:p>
        </w:tc>
        <w:tc>
          <w:tcPr>
            <w:tcBorders/>
            <w:vAlign w:val="center"/>
          </w:tcPr>
          <w:p>
            <w:pPr>
              <w:pStyle w:val="TableText"/>
              <w:jc w:val="right"/>
            </w:pPr>
            <w:r>
              <w:rPr>
                <w:noProof/>
              </w:rPr>
              <w:t xml:space="preserve">5,800</w:t>
            </w:r>
          </w:p>
        </w:tc>
      </w:tr>
      <w:tr>
        <w:trPr>
          <w:cantSplit/>
        </w:trPr>
        <w:tc>
          <w:tcPr>
            <w:tcBorders/>
            <w:vAlign w:val="center"/>
          </w:tcPr>
          <w:p>
            <w:pPr>
              <w:pStyle w:val="TableText"/>
              <w:jc w:val="left"/>
            </w:pPr>
            <w:r>
              <w:rPr>
                <w:noProof/>
              </w:rPr>
              <w:t xml:space="preserve">人工特征主干</w:t>
            </w:r>
          </w:p>
        </w:tc>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1个块；标记宽度20；4头；ReGLU宽度26</w:t>
            </w:r>
          </w:p>
        </w:tc>
        <w:tc>
          <w:tcPr>
            <w:tcBorders/>
            <w:vAlign w:val="center"/>
          </w:tcPr>
          <w:p>
            <w:pPr>
              <w:pStyle w:val="TableText"/>
              <w:jc w:val="right"/>
            </w:pPr>
            <w:r>
              <w:rPr>
                <w:noProof/>
              </w:rPr>
              <w:t xml:space="preserve">6,124</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通道1→16→32→64；卷积核7、5、3；池化后投影</w:t>
            </w:r>
          </w:p>
        </w:tc>
        <w:tc>
          <w:tcPr>
            <w:tcBorders/>
            <w:vAlign w:val="center"/>
          </w:tcPr>
          <w:p>
            <w:pPr>
              <w:pStyle w:val="TableText"/>
              <w:jc w:val="right"/>
            </w:pPr>
            <w:r>
              <w:rPr>
                <w:noProof/>
              </w:rPr>
              <w:t xml:space="preserve">11,232</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101→64→48→32；层归一化，ReLU，随机失活</w:t>
            </w:r>
          </w:p>
        </w:tc>
        <w:tc>
          <w:tcPr>
            <w:tcBorders/>
            <w:vAlign w:val="center"/>
          </w:tcPr>
          <w:p>
            <w:pPr>
              <w:pStyle w:val="TableText"/>
              <w:jc w:val="right"/>
            </w:pPr>
            <w:r>
              <w:rPr>
                <w:noProof/>
              </w:rPr>
              <w:t xml:space="preserve">11,440</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宽度24；3个残差块；膨胀率1、2、4；对称填充</w:t>
            </w:r>
          </w:p>
        </w:tc>
        <w:tc>
          <w:tcPr>
            <w:tcBorders/>
            <w:vAlign w:val="center"/>
          </w:tcPr>
          <w:p>
            <w:pPr>
              <w:pStyle w:val="TableText"/>
              <w:jc w:val="right"/>
            </w:pPr>
            <w:r>
              <w:rPr>
                <w:noProof/>
              </w:rPr>
              <w:t xml:space="preserve">11,744</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逐点Transformer</w:t>
            </w:r>
          </w:p>
        </w:tc>
        <w:tc>
          <w:tcPr>
            <w:tcBorders/>
            <w:vAlign w:val="center"/>
          </w:tcPr>
          <w:p>
            <w:pPr>
              <w:pStyle w:val="TableText"/>
              <w:jc w:val="left"/>
            </w:pPr>
            <w:r>
              <w:rPr>
                <w:noProof/>
              </w:rPr>
              <w:t xml:space="preserve">101个标记；宽度24；4头；1层；前馈宽48</w:t>
            </w:r>
          </w:p>
        </w:tc>
        <w:tc>
          <w:tcPr>
            <w:tcBorders/>
            <w:vAlign w:val="center"/>
          </w:tcPr>
          <w:p>
            <w:pPr>
              <w:pStyle w:val="TableText"/>
              <w:jc w:val="right"/>
            </w:pPr>
            <w:r>
              <w:rPr>
                <w:noProof/>
              </w:rPr>
              <w:t xml:space="preserve">8,192</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PatchTST</w:t>
            </w:r>
          </w:p>
        </w:tc>
        <w:tc>
          <w:tcPr>
            <w:tcBorders/>
            <w:vAlign w:val="center"/>
          </w:tcPr>
          <w:p>
            <w:pPr>
              <w:pStyle w:val="TableText"/>
              <w:jc w:val="left"/>
            </w:pPr>
            <w:r>
              <w:rPr>
                <w:noProof/>
              </w:rPr>
              <w:t xml:space="preserve">24个片段；宽度32；4头；1层；前馈宽64；均值池化投影</w:t>
            </w:r>
          </w:p>
        </w:tc>
        <w:tc>
          <w:tcPr>
            <w:tcBorders/>
            <w:vAlign w:val="center"/>
          </w:tcPr>
          <w:p>
            <w:pPr>
              <w:pStyle w:val="TableText"/>
              <w:jc w:val="right"/>
            </w:pPr>
            <w:r>
              <w:rPr>
                <w:noProof/>
              </w:rPr>
              <w:t xml:space="preserve">10,752</w:t>
            </w:r>
          </w:p>
        </w:tc>
      </w:tr>
      <w:tr>
        <w:trPr>
          <w:cantSplit/>
        </w:trPr>
        <w:tc>
          <w:tcPr>
            <w:tcBorders>
              <w:bottom w:val="single" w:sz="12" w:space="0" w:color="000000"/>
            </w:tcBorders>
            <w:vAlign w:val="center"/>
          </w:tcPr>
          <w:p>
            <w:pPr>
              <w:pStyle w:val="TableText"/>
              <w:jc w:val="left"/>
            </w:pPr>
            <w:r>
              <w:rPr>
                <w:noProof/>
              </w:rPr>
              <w:t xml:space="preserve">回归头</w:t>
            </w:r>
          </w:p>
        </w:tc>
        <w:tc>
          <w:tcPr>
            <w:tcBorders>
              <w:bottom w:val="single" w:sz="12" w:space="0" w:color="000000"/>
            </w:tcBorders>
            <w:vAlign w:val="center"/>
          </w:tcPr>
          <w:p>
            <w:pPr>
              <w:pStyle w:val="TableText"/>
              <w:jc w:val="left"/>
            </w:pPr>
            <w:r>
              <w:rPr>
                <w:noProof/>
              </w:rPr>
              <w:t xml:space="preserve">MLP</w:t>
            </w:r>
          </w:p>
        </w:tc>
        <w:tc>
          <w:tcPr>
            <w:tcBorders>
              <w:bottom w:val="single" w:sz="12" w:space="0" w:color="000000"/>
            </w:tcBorders>
            <w:vAlign w:val="center"/>
          </w:tcPr>
          <w:p>
            <w:pPr>
              <w:pStyle w:val="TableText"/>
              <w:jc w:val="left"/>
            </w:pPr>
            <w:r>
              <w:rPr>
                <w:noProof/>
              </w:rPr>
              <w:t xml:space="preserve">两路拼接（2 × 32）；64→32→16→1</w:t>
            </w:r>
          </w:p>
        </w:tc>
        <w:tc>
          <w:tcPr>
            <w:tcBorders>
              <w:bottom w:val="single" w:sz="12" w:space="0" w:color="000000"/>
            </w:tcBorders>
            <w:vAlign w:val="center"/>
          </w:tcPr>
          <w:p>
            <w:pPr>
              <w:pStyle w:val="TableText"/>
              <w:jc w:val="right"/>
            </w:pPr>
            <w:r>
              <w:rPr>
                <w:noProof/>
              </w:rPr>
              <w:t xml:space="preserve">2,689</w:t>
            </w:r>
          </w:p>
        </w:tc>
      </w:tr>
    </w:tbl>
    <w:p>
      <w:pPr>
        <w:pStyle w:val="TableNote"/>
      </w:pPr>
      <w:r>
        <w:t xml:space="preserve">组合的总参数量为主干、补充与回归头三部分之和：15种组合在16,481～20,557之间，R0为19,041。</w:t>
      </w:r>
    </w:p>
    <w:bookmarkEnd w:id="38"/>
    <w:bookmarkStart w:id="39" w:name="回归头损失函数与训练设置"/>
    <w:p>
      <w:pPr>
        <w:pStyle w:val="Heading2"/>
      </w:pPr>
      <w:r>
        <w:t xml:space="preserve">3.4 回归头、损失函数与训练设置</w:t>
      </w:r>
    </w:p>
    <w:p>
      <w:pPr>
        <w:pStyle w:val="FirstParagraph"/>
      </w:pPr>
      <w:r>
        <w:t xml:space="preserve">回归头将64维拼接向量经64→32→16→1的全连接层映射，第一层后接层归一化、ReLU和0.2随机失活，第二层后接ReLU（2,689个参数）。因此，R0共有5,600 + 10,752 + 2,689 = 19,041个参数；全部15种组合的参数预算相近（16,481～20,557），从而限制了模型规模对比较结果的影响。线性层权重采用Xavier均匀初始化，偏置置零。</w:t>
      </w:r>
    </w:p>
    <w:p>
      <w:pPr>
        <w:pStyle w:val="BodyText"/>
      </w:pPr>
      <w:r>
        <w:t xml:space="preserve">训练目标由标准化SOH的均方误差和关于</w:t>
      </w:r>
      <m:oMath>
        <m:r>
          <m:t>τ</m:t>
        </m:r>
      </m:oMath>
      <w:r>
        <w:t xml:space="preserve">的正偏导惩罚组成：</w:t>
      </w:r>
    </w:p>
    <w:p>
      <w:pPr>
        <w:pStyle w:val="Equation"/>
        <w:tabs>
          <w:tab w:val="center" w:pos="4648"/>
          <w:tab w:val="right" w:pos="9297"/>
        </w:tabs>
      </w:pPr>
      <w:r>
        <w:rPr>
          <w:rFonts w:ascii="Times New Roman" w:hAnsi="Times New Roman" w:cs="Times New Roman"/>
          <w:sz w:val="22"/>
        </w:rPr>
        <w:tab/>
      </w:r>
      <m:oMath>
        <m:r>
          <m:rPr>
            <m:scr m:val="script"/>
            <m:sty m:val="p"/>
          </m:rPr>
          <m:t>L</m:t>
        </m:r>
        <m:r>
          <m:rPr>
            <m:sty m:val="p"/>
          </m:rPr>
          <m:t>=</m:t>
        </m:r>
        <m:r>
          <m:rPr>
            <m:sty m:val="p"/>
          </m:rPr>
          <m:t>M</m:t>
        </m:r>
        <m:r>
          <m:rPr>
            <m:sty m:val="p"/>
          </m:rPr>
          <m:t>S</m:t>
        </m:r>
        <m:r>
          <m:rPr>
            <m:sty m:val="p"/>
          </m:rPr>
          <m:t>E</m:t>
        </m:r>
        <m:d>
          <m:dPr>
            <m:begChr m:val="("/>
            <m:sepChr m:val=""/>
            <m:endChr m:val=")"/>
            <m:grow/>
          </m:dPr>
          <m:e>
            <m:sSup>
              <m:e>
                <m:acc>
                  <m:accPr>
                    <m:chr m:val="̂"/>
                  </m:accPr>
                  <m:e>
                    <m:r>
                      <m:t>y</m:t>
                    </m:r>
                  </m:e>
                </m:acc>
              </m:e>
              <m:sup>
                <m:r>
                  <m:rPr>
                    <m:nor/>
                  </m:rPr>
                  <m:t>*</m:t>
                </m:r>
              </m:sup>
            </m:sSup>
            <m:r>
              <m:rPr>
                <m:sty m:val="p"/>
              </m:rPr>
              <m:t>,</m:t>
            </m:r>
            <m:sSup>
              <m:e>
                <m:r>
                  <m:t>y</m:t>
                </m:r>
              </m:e>
              <m:sup>
                <m:r>
                  <m:rPr>
                    <m:nor/>
                  </m:rPr>
                  <m:t>*</m:t>
                </m:r>
              </m:sup>
            </m:sSup>
          </m:e>
        </m:d>
        <m:r>
          <m:rPr>
            <m:sty m:val="p"/>
          </m:rPr>
          <m:t>+</m:t>
        </m:r>
        <m:f>
          <m:fPr>
            <m:type m:val="bar"/>
          </m:fPr>
          <m:num>
            <m:r>
              <m:t>λ</m:t>
            </m:r>
          </m:num>
          <m:den>
            <m:r>
              <m:t>B</m:t>
            </m:r>
          </m:den>
        </m:f>
        <m:nary>
          <m:naryPr>
            <m:chr m:val="∑"/>
            <m:limLoc m:val="undOvr"/>
            <m:subHide m:val="off"/>
            <m:supHide m:val="off"/>
          </m:naryPr>
          <m:sub>
            <m:r>
              <m:t>b</m:t>
            </m:r>
            <m:r>
              <m:rPr>
                <m:sty m:val="p"/>
              </m:rPr>
              <m:t>=</m:t>
            </m:r>
            <m:r>
              <m:t>1</m:t>
            </m:r>
          </m:sub>
          <m:sup>
            <m:r>
              <m:t>B</m:t>
            </m:r>
          </m:sup>
          <m:e>
            <m:sSubSup>
              <m:e>
                <m:d>
                  <m:dPr>
                    <m:begChr m:val="["/>
                    <m:sepChr m:val=""/>
                    <m:endChr m:val="]"/>
                    <m:grow/>
                  </m:dPr>
                  <m:e>
                    <m:r>
                      <m:rPr>
                        <m:sty m:val="p"/>
                      </m:rPr>
                      <m:t>∂</m:t>
                    </m:r>
                    <m:sSubSup>
                      <m:e>
                        <m:acc>
                          <m:accPr>
                            <m:chr m:val="̂"/>
                          </m:accPr>
                          <m:e>
                            <m:r>
                              <m:t>y</m:t>
                            </m:r>
                          </m:e>
                        </m:acc>
                      </m:e>
                      <m:sub>
                        <m:r>
                          <m:t>b</m:t>
                        </m:r>
                      </m:sub>
                      <m:sup>
                        <m:r>
                          <m:rPr>
                            <m:nor/>
                          </m:rPr>
                          <m:t>*</m:t>
                        </m:r>
                      </m:sup>
                    </m:sSubSup>
                    <m:r>
                      <m:rPr>
                        <m:sty m:val="p"/>
                      </m:rPr>
                      <m:t>/</m:t>
                    </m:r>
                    <m:r>
                      <m:rPr>
                        <m:sty m:val="p"/>
                      </m:rPr>
                      <m:t>∂</m:t>
                    </m:r>
                    <m:sSub>
                      <m:e>
                        <m:r>
                          <m:t>τ</m:t>
                        </m:r>
                      </m:e>
                      <m:sub>
                        <m:r>
                          <m:t>b</m:t>
                        </m:r>
                      </m:sub>
                    </m:sSub>
                  </m:e>
                </m:d>
              </m:e>
              <m:sub>
                <m:r>
                  <m:rPr>
                    <m:nor/>
                  </m:rPr>
                  <m:t>+</m:t>
                </m:r>
              </m:sub>
              <m:sup>
                <m:r>
                  <m:t>2</m:t>
                </m:r>
              </m:sup>
            </m:sSubSup>
          </m:e>
        </m:nary>
      </m:oMath>
      <w:r>
        <w:rPr>
          <w:rFonts w:ascii="Times New Roman" w:hAnsi="Times New Roman" w:cs="Times New Roman"/>
          <w:sz w:val="22"/>
        </w:rPr>
        <w:tab/>
        <w:t>(13)</w:t>
      </w:r>
    </w:p>
    <w:p>
      <w:pPr>
        <w:pStyle w:val="BodyText"/>
      </w:pPr>
      <w:r>
        <w:t xml:space="preserve">式中，</w:t>
      </w:r>
      <m:oMath>
        <m:r>
          <m:t>B</m:t>
        </m:r>
      </m:oMath>
      <w:r>
        <w:t xml:space="preserve">为小批量大小，</w:t>
      </w:r>
      <m:oMath>
        <m:sSub>
          <m:e>
            <m:d>
              <m:dPr>
                <m:begChr m:val="["/>
                <m:sepChr m:val=""/>
                <m:endChr m:val="]"/>
                <m:grow/>
              </m:dPr>
              <m:e>
                <m:r>
                  <m:t>x</m:t>
                </m:r>
              </m:e>
            </m:d>
          </m:e>
          <m:sub>
            <m:r>
              <m:rPr>
                <m:nor/>
              </m:rPr>
              <m:t>+</m:t>
            </m:r>
          </m:sub>
        </m:sSub>
        <m:r>
          <m:rPr>
            <m:sty m:val="p"/>
          </m:rPr>
          <m:t>=</m:t>
        </m:r>
        <m:r>
          <m:rPr>
            <m:sty m:val="p"/>
          </m:rPr>
          <m:t>max</m:t>
        </m:r>
        <m:d>
          <m:dPr>
            <m:begChr m:val="("/>
            <m:sepChr m:val=""/>
            <m:endChr m:val=")"/>
            <m:grow/>
          </m:dPr>
          <m:e>
            <m:r>
              <m:t>0</m:t>
            </m:r>
            <m:r>
              <m:rPr>
                <m:sty m:val="p"/>
              </m:rPr>
              <m:t>,</m:t>
            </m:r>
            <m:r>
              <m:t>x</m:t>
            </m:r>
          </m:e>
        </m:d>
      </m:oMath>
      <w:r>
        <w:t xml:space="preserve">，</w:t>
      </w:r>
      <m:oMath>
        <m:r>
          <m:t>λ</m:t>
        </m:r>
        <m:r>
          <m:rPr>
            <m:sty m:val="p"/>
          </m:rPr>
          <m:t>=</m:t>
        </m:r>
        <m:r>
          <m:t>0.1</m:t>
        </m:r>
      </m:oMath>
      <w:r>
        <w:t xml:space="preserve">。该项抑制其余输入固定时预测随</w:t>
      </w:r>
      <m:oMath>
        <m:r>
          <m:t>τ</m:t>
        </m:r>
      </m:oMath>
      <w:r>
        <w:t xml:space="preserve">增加而上升的倾向，以不依赖机理退化模型的方式引入“容量随循环衰减”的先验。由于电压响应和人工特征也随老化改变，偏导非正并不能保证沿实测轨迹的预测单调，因此该惩罚属于软约束，其在轨迹层面的效果在4.5.1节检验。</w:t>
      </w:r>
    </w:p>
    <w:p>
      <w:pPr>
        <w:pStyle w:val="BodyText"/>
      </w:pPr>
      <w:r>
        <w:t xml:space="preserve">全部神经网络采用AdamW优化器（学习率10</w:t>
      </w:r>
      <w:r>
        <w:rPr>
          <w:vertAlign w:val="superscript"/>
        </w:rPr>
        <w:t xml:space="preserve">−3</w:t>
      </w:r>
      <w:r>
        <w:t xml:space="preserve">，权重衰减10</w:t>
      </w:r>
      <w:r>
        <w:rPr>
          <w:vertAlign w:val="superscript"/>
        </w:rPr>
        <w:t xml:space="preserve">−4</w:t>
      </w:r>
      <w:r>
        <w:t xml:space="preserve">），批量大小256，最多100轮，梯度范数裁剪阈值5。ReduceLROnPlateau调度（耐心5轮，衰减因子0.5）、耐心15轮的早停以及最佳轮次选择均以验证电芯上的电芯宏平均均方根误差（RMSE）为监测指标。每个配置在5个外层折上分别以初始化种子0、1、2训练；小批量打乱使用独立的随机数发生器（种子 + 10,000），并启用确定性CUDA内核，因此每次运行均可逐位复现。训练在NVIDIA GeForce RTX 5060 Laptop GPU上完成；完整流程见补充算法S1。</w:t>
      </w:r>
    </w:p>
    <w:bookmarkEnd w:id="39"/>
    <w:bookmarkStart w:id="43" w:name="消融配置与对照模型"/>
    <w:p>
      <w:pPr>
        <w:pStyle w:val="Heading2"/>
      </w:pPr>
      <w:r>
        <w:t xml:space="preserve">3.5 消融配置与对照模型</w:t>
      </w:r>
    </w:p>
    <w:bookmarkStart w:id="40" w:name="r0的消融与敏感性配置"/>
    <w:p>
      <w:pPr>
        <w:pStyle w:val="Heading3"/>
      </w:pPr>
      <w:r>
        <w:t xml:space="preserve">3.5.1 R0的消融与敏感性配置</w:t>
      </w:r>
    </w:p>
    <w:p>
      <w:pPr>
        <w:pStyle w:val="FirstParagraph"/>
      </w:pPr>
      <w:r>
        <w:t xml:space="preserve">分支消融检验两个分支各自的必要性（补充表S3）。A2只保留主干（含</w:t>
      </w:r>
      <m:oMath>
        <m:r>
          <m:t>τ</m:t>
        </m:r>
      </m:oMath>
      <w:r>
        <w:t xml:space="preserve">与单调惩罚），其32维表征进入32→32→16→1的回归头（7,265个参数），是评价波形增量的直接参照。A1只保留PatchTST分支，并将直流内阻与</w:t>
      </w:r>
      <m:oMath>
        <m:r>
          <m:t>τ</m:t>
        </m:r>
      </m:oMath>
      <w:r>
        <w:t xml:space="preserve">直接拼接至34→32→16→1的回归头（12,481个参数）。因素消融去掉单调惩罚（</w:t>
      </w:r>
      <m:oMath>
        <m:r>
          <m:t>λ</m:t>
        </m:r>
        <m:r>
          <m:rPr>
            <m:sty m:val="p"/>
          </m:rPr>
          <m:t>=</m:t>
        </m:r>
        <m:r>
          <m:t>0</m:t>
        </m:r>
      </m:oMath>
      <w:r>
        <w:t xml:space="preserve">，A3），并在此基础上进一步去掉</w:t>
      </w:r>
      <m:oMath>
        <m:r>
          <m:t>τ</m:t>
        </m:r>
      </m:oMath>
      <w:r>
        <w:t xml:space="preserve">（A4，主干输入为50维）。片段参数在2 × 2网格上比较：P1（5, 2）、P2（5, 4）、P3（9, 2）与R0（9, 4）。适配消融每次只将3.3节的一处改动还原：D1改用展平预测头，D2在分片前加入带可学习仿射参数的RevIN，D3以原始电压代替</w:t>
      </w:r>
      <m:oMath>
        <m:r>
          <m:t>Δ</m:t>
        </m:r>
        <m:r>
          <m:t>v</m:t>
        </m:r>
      </m:oMath>
      <w:r>
        <w:t xml:space="preserve">（保留逐位置标准化）。最后，人工特征数量</w:t>
      </w:r>
      <m:oMath>
        <m:r>
          <m:t>K</m:t>
        </m:r>
      </m:oMath>
      <w:r>
        <w:t xml:space="preserve">在{10, 20, 30, 50, 75, 100, 144}上变化，其中144为可排序候选特征的数量。</w:t>
      </w:r>
    </w:p>
    <w:bookmarkEnd w:id="40"/>
    <w:bookmarkStart w:id="41" w:name="已有脉冲模型的复现"/>
    <w:p>
      <w:pPr>
        <w:pStyle w:val="Heading3"/>
      </w:pPr>
      <w:r>
        <w:t xml:space="preserve">3.5.2 已有脉冲模型的复现</w:t>
      </w:r>
    </w:p>
    <w:p>
      <w:pPr>
        <w:pStyle w:val="FirstParagraph"/>
      </w:pPr>
      <w:r>
        <w:t xml:space="preserve">本文按Nowacki等[28]公开代码的默认设置，在本文的电芯划分与评价指标下复现其只用原始脉冲的模型：输入为101点</w:t>
      </w:r>
      <m:oMath>
        <m:r>
          <m:t>Δ</m:t>
        </m:r>
        <m:r>
          <m:t>v</m:t>
        </m:r>
      </m:oMath>
      <w:r>
        <w:t xml:space="preserve">，输入与目标均以训练集统计量标准化；网络为含5个隐层、每层100个tanh神经元的MLP，采用Adam优化器训练（学习率0.0015，批量50，最多500轮，按训练损失早停，耐心5轮）。每个脉冲方向训练一个模型，覆盖全部SOC；原模型为多输出模型，本文只保留其SOH输出（共30个模型）。</w:t>
      </w:r>
    </w:p>
    <w:bookmarkEnd w:id="41"/>
    <w:bookmarkStart w:id="42" w:name="泛化性稳健性与部署实验"/>
    <w:p>
      <w:pPr>
        <w:pStyle w:val="Heading3"/>
      </w:pPr>
      <w:r>
        <w:t xml:space="preserve">3.5.3 泛化性、稳健性与部署实验</w:t>
      </w:r>
    </w:p>
    <w:p>
      <w:pPr>
        <w:pStyle w:val="FirstParagraph"/>
      </w:pPr>
      <w:r>
        <w:t xml:space="preserve">另设五项实验考察模型的适用范围。（i）未见循环工况：11个循环工况组依次留出（留一工况组验证），验证电芯从其余工况组中抽取。（ii）独立化学体系：UConn-ILCC NMC/Gr数据集[31]（44个电芯，11种循环工况）采用相同的100 s脉冲协议；为保持可比，只使用20%、50%和90%三个名义SOC，得到1,336个电芯–RPT组共8,016条记录（SOH 41.2～100%），并以5折电芯互斥划分（种子42）运行原实现的完全相同流程；由于直流内阻在NMC上未进入任何一折所选的50项特征，A1按其定义将直流内阻单独加入输入。针对内阻较高的NMC电芯，仅将式（2）中的电压单步跳变上限和极差上限分别放宽至0.3 V和0.8 V，放宽后未剔除任何记录。（iii）稳健性：在已训练模型固定的条件下，对测试电芯的循环数施加±10%的偏差；另在特征提取前向全部电压加入σ</w:t>
      </w:r>
      <w:r>
        <w:rPr>
          <w:vertAlign w:val="subscript"/>
        </w:rPr>
        <w:t xml:space="preserve">noise</w:t>
      </w:r>
      <w:r>
        <w:t xml:space="preserve"> </w:t>
      </w:r>
      <w:r>
        <w:t xml:space="preserve">= 1或2 mV的零均值高斯噪声，且每个模型均在含噪数据上重新训练（匹配噪声）。（iv）在全部工况组合上，将每次RPT参与平均的脉冲数从1个变化到6个。（v）以积分梯度[50]将R0的预测归因到各波形采样点，并以参数量、浮点运算次数（FLOPs）和单线程CPU时延量化部署开销。除（ii）外，上述实验基于该实验协议的独立CPU复现实现完成。在原始5折划分下，复现实现得到的R0和A2的RMSE分别为1.427和1.474个百分点（原实现分别为1.377和1.500个百分点），4.6节的全部比较均在复现实现内部进行（补充说明S4）。</w:t>
      </w:r>
    </w:p>
    <w:bookmarkEnd w:id="42"/>
    <w:bookmarkEnd w:id="43"/>
    <w:bookmarkStart w:id="44" w:name="评价指标与统计检验"/>
    <w:p>
      <w:pPr>
        <w:pStyle w:val="Heading2"/>
      </w:pPr>
      <w:r>
        <w:t xml:space="preserve">3.6 评价指标与统计检验</w:t>
      </w:r>
    </w:p>
    <w:p>
      <w:pPr>
        <w:pStyle w:val="FirstParagraph"/>
      </w:pPr>
      <w:r>
        <w:t xml:space="preserve">同一RPT的六条工况记录共用一个容量标签，不能作为独立样本处理。对电芯</w:t>
      </w:r>
      <m:oMath>
        <m:r>
          <m:t>i</m:t>
        </m:r>
      </m:oMath>
      <w:r>
        <w:t xml:space="preserve">、RPT</w:t>
      </w:r>
      <w:r>
        <w:t xml:space="preserve"> </w:t>
      </w:r>
      <m:oMath>
        <m:r>
          <m:t>r</m:t>
        </m:r>
      </m:oMath>
      <w:r>
        <w:t xml:space="preserve">和初始化</w:t>
      </w:r>
      <m:oMath>
        <m:r>
          <m:t>s</m:t>
        </m:r>
      </m:oMath>
      <w:r>
        <w:t xml:space="preserve">，先将六个工况的预测平均为</w:t>
      </w:r>
      <m:oMath>
        <m:sSub>
          <m:e>
            <m:bar>
              <m:barPr>
                <m:pos m:val="top"/>
              </m:barPr>
              <m:e>
                <m:r>
                  <m:t>y</m:t>
                </m:r>
              </m:e>
            </m:bar>
          </m:e>
          <m:sub>
            <m:r>
              <m:t>i</m:t>
            </m:r>
            <m:r>
              <m:t>r</m:t>
            </m:r>
            <m:r>
              <m:t>s</m:t>
            </m:r>
          </m:sub>
        </m:sSub>
      </m:oMath>
      <w:r>
        <w:t xml:space="preserve">；再计算每个电芯跨其全部RPT的RMSE，并对种子和电芯取平均：</w:t>
      </w:r>
    </w:p>
    <w:p>
      <w:pPr>
        <w:pStyle w:val="Equation"/>
        <w:tabs>
          <w:tab w:val="center" w:pos="4648"/>
          <w:tab w:val="right" w:pos="9297"/>
        </w:tabs>
      </w:pPr>
      <w:r>
        <w:rPr>
          <w:rFonts w:ascii="Times New Roman" w:hAnsi="Times New Roman" w:cs="Times New Roman"/>
          <w:sz w:val="22"/>
        </w:rPr>
        <w:tab/>
      </w:r>
      <m:oMath>
        <m:sSub>
          <m:e>
            <m:r>
              <m:t>e</m:t>
            </m:r>
          </m:e>
          <m:sub>
            <m:r>
              <m:t>i</m:t>
            </m:r>
            <m:r>
              <m:t>s</m:t>
            </m:r>
          </m:sub>
        </m:sSub>
        <m:r>
          <m:rPr>
            <m:sty m:val="p"/>
          </m:rPr>
          <m:t>=</m:t>
        </m:r>
        <m:rad>
          <m:radPr>
            <m:degHide m:val="on"/>
          </m:radPr>
          <m:deg/>
          <m:e>
            <m:f>
              <m:fPr>
                <m:type m:val="bar"/>
              </m:fPr>
              <m:num>
                <m:r>
                  <m:t>1</m:t>
                </m:r>
              </m:num>
              <m:den>
                <m:sSub>
                  <m:e>
                    <m:r>
                      <m:t>R</m:t>
                    </m:r>
                  </m:e>
                  <m:sub>
                    <m:r>
                      <m:t>i</m:t>
                    </m:r>
                  </m:sub>
                </m:sSub>
              </m:den>
            </m:f>
            <m:nary>
              <m:naryPr>
                <m:chr m:val="∑"/>
                <m:limLoc m:val="undOvr"/>
                <m:subHide m:val="off"/>
                <m:supHide m:val="off"/>
              </m:naryPr>
              <m:sub>
                <m:r>
                  <m:t>r</m:t>
                </m:r>
                <m:r>
                  <m:rPr>
                    <m:sty m:val="p"/>
                  </m:rPr>
                  <m:t>=</m:t>
                </m:r>
                <m:r>
                  <m:t>1</m:t>
                </m:r>
              </m:sub>
              <m:sup>
                <m:sSub>
                  <m:e>
                    <m:r>
                      <m:t>R</m:t>
                    </m:r>
                  </m:e>
                  <m:sub>
                    <m:r>
                      <m:t>i</m:t>
                    </m:r>
                  </m:sub>
                </m:sSub>
              </m:sup>
              <m:e>
                <m:sSup>
                  <m:e>
                    <m:d>
                      <m:dPr>
                        <m:begChr m:val="("/>
                        <m:sepChr m:val=""/>
                        <m:endChr m:val=")"/>
                        <m:grow/>
                      </m:dPr>
                      <m:e>
                        <m:sSub>
                          <m:e>
                            <m:bar>
                              <m:barPr>
                                <m:pos m:val="top"/>
                              </m:barPr>
                              <m:e>
                                <m:r>
                                  <m:t>y</m:t>
                                </m:r>
                              </m:e>
                            </m:bar>
                          </m:e>
                          <m:sub>
                            <m:r>
                              <m:t>i</m:t>
                            </m:r>
                            <m:r>
                              <m:t>r</m:t>
                            </m:r>
                            <m:r>
                              <m:t>s</m:t>
                            </m:r>
                          </m:sub>
                        </m:sSub>
                        <m:r>
                          <m:rPr>
                            <m:sty m:val="p"/>
                          </m:rPr>
                          <m:t>−</m:t>
                        </m:r>
                        <m:sSub>
                          <m:e>
                            <m:r>
                              <m:t>y</m:t>
                            </m:r>
                          </m:e>
                          <m:sub>
                            <m:r>
                              <m:t>i</m:t>
                            </m:r>
                            <m:r>
                              <m:t>r</m:t>
                            </m:r>
                          </m:sub>
                        </m:sSub>
                      </m:e>
                    </m:d>
                  </m:e>
                  <m:sup>
                    <m:r>
                      <m:t>2</m:t>
                    </m:r>
                  </m:sup>
                </m:sSup>
              </m:e>
            </m:nary>
          </m:e>
        </m:rad>
        <m:r>
          <m:rPr>
            <m:sty m:val="p"/>
          </m:rPr>
          <m:t>,</m:t>
        </m:r>
        <m:r>
          <m:t>  </m:t>
        </m:r>
        <m:r>
          <m:rPr>
            <m:sty m:val="p"/>
          </m:rPr>
          <m:t>R</m:t>
        </m:r>
        <m:r>
          <m:rPr>
            <m:sty m:val="p"/>
          </m:rPr>
          <m:t>M</m:t>
        </m:r>
        <m:r>
          <m:rPr>
            <m:sty m:val="p"/>
          </m:rPr>
          <m:t>S</m:t>
        </m:r>
        <m:r>
          <m:rPr>
            <m:sty m:val="p"/>
          </m:rPr>
          <m:t>E</m:t>
        </m:r>
        <m:r>
          <m:rPr>
            <m:sty m:val="p"/>
          </m:rPr>
          <m:t>=</m:t>
        </m:r>
        <m:f>
          <m:fPr>
            <m:type m:val="bar"/>
          </m:fPr>
          <m:num>
            <m:r>
              <m:t>1</m:t>
            </m:r>
          </m:num>
          <m:den>
            <m:r>
              <m:t>N</m:t>
            </m:r>
            <m:r>
              <m:t>S</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S</m:t>
                </m:r>
              </m:sup>
              <m:e>
                <m:sSub>
                  <m:e>
                    <m:r>
                      <m:t>e</m:t>
                    </m:r>
                  </m:e>
                  <m:sub>
                    <m:r>
                      <m:t>i</m:t>
                    </m:r>
                    <m:r>
                      <m:t>s</m:t>
                    </m:r>
                  </m:sub>
                </m:sSub>
              </m:e>
            </m:nary>
          </m:e>
        </m:nary>
      </m:oMath>
      <w:r>
        <w:rPr>
          <w:rFonts w:ascii="Times New Roman" w:hAnsi="Times New Roman" w:cs="Times New Roman"/>
          <w:sz w:val="22"/>
        </w:rPr>
        <w:tab/>
        <w:t>(14)</w:t>
      </w:r>
    </w:p>
    <w:p>
      <w:pPr>
        <w:pStyle w:val="BodyText"/>
      </w:pPr>
      <w:r>
        <w:t xml:space="preserve">式中，</w:t>
      </w:r>
      <m:oMath>
        <m:sSub>
          <m:e>
            <m:r>
              <m:t>R</m:t>
            </m:r>
          </m:e>
          <m:sub>
            <m:r>
              <m:t>i</m:t>
            </m:r>
          </m:sub>
        </m:sSub>
      </m:oMath>
      <w:r>
        <w:t xml:space="preserve">为电芯</w:t>
      </w:r>
      <m:oMath>
        <m:r>
          <m:t>i</m:t>
        </m:r>
      </m:oMath>
      <w:r>
        <w:t xml:space="preserve">的RPT数，</w:t>
      </w:r>
      <m:oMath>
        <m:r>
          <m:t>N</m:t>
        </m:r>
        <m:r>
          <m:rPr>
            <m:sty m:val="p"/>
          </m:rPr>
          <m:t>=</m:t>
        </m:r>
        <m:r>
          <m:t>64</m:t>
        </m:r>
      </m:oMath>
      <w:r>
        <w:t xml:space="preserve">，</w:t>
      </w:r>
      <m:oMath>
        <m:r>
          <m:t>S</m:t>
        </m:r>
        <m:r>
          <m:rPr>
            <m:sty m:val="p"/>
          </m:rPr>
          <m:t>=</m:t>
        </m:r>
        <m:r>
          <m:t>3</m:t>
        </m:r>
      </m:oMath>
      <w:r>
        <w:t xml:space="preserve">。平均绝对误差（MAE）按相同方式聚合，误差单位统一为SOH百分点（pp）。不确定性采用5,000次按外层折分层的电芯自助重采样估计，并保持同一电芯在不同模型间的配对关系。配对差定义为ΔRMSE = RMSE</w:t>
      </w:r>
      <w:r>
        <w:rPr>
          <w:vertAlign w:val="subscript"/>
        </w:rPr>
        <w:t xml:space="preserve">候选</w:t>
      </w:r>
      <w:r>
        <w:t xml:space="preserve"> </w:t>
      </w:r>
      <w:r>
        <w:t xml:space="preserve">− RMSE</w:t>
      </w:r>
      <w:r>
        <w:rPr>
          <w:vertAlign w:val="subscript"/>
        </w:rPr>
        <w:t xml:space="preserve">参照</w:t>
      </w:r>
      <w:r>
        <w:t xml:space="preserve">，负值表示候选模型更优；</w:t>
      </w:r>
      <w:r>
        <w:rPr>
          <w:i/>
          <w:iCs/>
        </w:rPr>
        <w:t xml:space="preserve">p</w:t>
      </w:r>
      <w:r>
        <w:t xml:space="preserve">值来自5,000次双侧配对符号翻转随机化检验。在7个预先规定的检验族内实施Holm校正，显著性水平α = 0.05（补充说明S3）；分层分析、偏差分析、边际效应分析与事后分析均为描述性分析。区间估计以固定的数据划分和已训练模型为条件。</w:t>
      </w:r>
    </w:p>
    <w:bookmarkEnd w:id="44"/>
    <w:bookmarkEnd w:id="45"/>
    <w:bookmarkStart w:id="71" w:name="结果与讨论"/>
    <w:p>
      <w:pPr>
        <w:pStyle w:val="Heading1"/>
      </w:pPr>
      <w:r>
        <w:t xml:space="preserve">4 结果与讨论</w:t>
      </w:r>
    </w:p>
    <w:p>
      <w:pPr>
        <w:pStyle w:val="FirstParagraph"/>
      </w:pPr>
      <w:r>
        <w:t xml:space="preserve">除特别说明外，RMSE和MAE均按式（14）计算，区间均为95%折分层电芯bootstrap区间，</w:t>
      </w:r>
      <w:r>
        <w:t xml:space="preserve">“</w:t>
      </w:r>
      <w:r>
        <w:t xml:space="preserve">改善电芯</w:t>
      </w:r>
      <w:r>
        <w:t xml:space="preserve">”</w:t>
      </w:r>
      <w:r>
        <w:t xml:space="preserve">指配对比较中误差更低的电芯数。</w:t>
      </w:r>
    </w:p>
    <w:bookmarkStart w:id="49" w:name="编码器组合与组合依赖"/>
    <w:p>
      <w:pPr>
        <w:pStyle w:val="Heading2"/>
      </w:pPr>
      <w:r>
        <w:t xml:space="preserve">4.1 编码器组合与组合依赖</w:t>
      </w:r>
    </w:p>
    <w:p>
      <w:pPr>
        <w:pStyle w:val="FirstParagraph"/>
      </w:pPr>
      <w:r>
        <w:t xml:space="preserve">在15种编码器组合中，R0（MLP主干＋PatchTST补充）的RMSE最低，为1.377个百分点（1.247～1.513），MAE为1.141个百分点（表4、图3a）。相对MLP主干＋CNN补充组合，R0的RMSE降低0.131个百分点（−0.160～−0.101；Holm校正后</w:t>
      </w:r>
      <w:r>
        <w:rPr>
          <w:i/>
          <w:iCs/>
        </w:rPr>
        <w:t xml:space="preserve">p</w:t>
      </w:r>
      <w:r>
        <w:t xml:space="preserve"> </w:t>
      </w:r>
      <w:r>
        <w:t xml:space="preserve">= 0.003），降幅为8.7%，64个电芯中51个改善。排名第二的ResNet主干＋MLP补充为1.397个百分点，比R0高0.020个百分点；由于并未对全部组合作两两检验，本文不将最低观测均值解释为显著优于所有候选。R0在验证电芯上同样排名第一（1.310个百分点），且验证与测试的前三名组合及其次序一致；在五个测试折中，R0的名次依次为第8、1、1、1和3。</w:t>
      </w:r>
    </w:p>
    <w:p>
      <w:pPr>
        <w:pStyle w:val="BodyText"/>
      </w:pPr>
      <w:r>
        <w:t xml:space="preserve">在单因子层面，FT-Transformer主干的误差相对MLP平均升高0.147个百分点（0.107～0.191），而ResNet与MLP之间未检出差异；各波形编码器的平均效应较小（相对CNN为−0.041～−0.011个百分点）。然而，补充编码器的排序取决于主干（图3b）。PatchTST在MLP主干下误差最低，在ResNet与FT-Transformer主干下却排末位；后两种主干分别以MLP补充和逐点Transformer补充的误差最低。以MLP主干＋CNN补充为双参照，8个差中差均为正（ResNet一侧为0.061～0.140个百分点，FT-Transformer一侧为0.098～0.174个百分点；未校正</w:t>
      </w:r>
      <w:r>
        <w:rPr>
          <w:i/>
          <w:iCs/>
        </w:rPr>
        <w:t xml:space="preserve">p</w:t>
      </w:r>
      <w:r>
        <w:t xml:space="preserve"> </w:t>
      </w:r>
      <w:r>
        <w:t xml:space="preserve">≤ 0.0022），说明补充编码器相对CNN的优势在更换主干后缩小或反转。</w:t>
      </w:r>
    </w:p>
    <w:p>
      <w:pPr>
        <w:pStyle w:val="BodyText"/>
      </w:pPr>
      <w:r>
        <w:t xml:space="preserve">对3 × 5组合的RMSE表作平方和分解，主干、补充编码器及二者的组合依赖分别占组合间差异的84.4%、3.8%和11.8%（图3c）。去掉FT-Transformer一行后，三者分别为0.1%、52.3%和47.6%；因此，表面上的“主干占主导”反映的是FT-Transformer的较高误差，而组合依赖项在两种情况下均不可忽略。由此，编码器应依据受控比较证据按组合选择，而非依据架构复杂度；这与BMS对轻量、可解释模型的偏好相一致[18,27]，也支持选用MLP主干与PatchTST补充的组合。</w:t>
      </w:r>
    </w:p>
    <w:p>
      <w:pPr>
        <w:pStyle w:val="CaptionedFigure"/>
      </w:pPr>
      <w:r>
        <w:drawing>
          <wp:inline>
            <wp:extent cx="5334000" cy="3569804"/>
            <wp:effectExtent b="0" l="0" r="0" t="0"/>
            <wp:docPr descr="图3 编码器比较矩阵的主效应与组合依赖。(a) 15种组合的电芯宏平均RMSE；发散色标以只含主干的模型A2（1.500个百分点）为中点，蓝色表示误差更低，红色表示更高；方框标出R0。(b) 交互作用图；折线不平行表示存在组合依赖；虚线为A2。(c) 主干、补充编码器及组合依赖在组合间平方和中所占的比例：全部15种组合（95%区间：73.1～90.2%、1.9～8.1%、7.3～20.2%）及去掉FT-Transformer后（0.0～4.6%、40.4～65.0%、34.1～58.4%），区间来自5,000次折分层电芯bootstrap。数值为225次训练的种子平均电芯指标。" title="" id="47" name="Picture"/>
            <a:graphic>
              <a:graphicData uri="http://schemas.openxmlformats.org/drawingml/2006/picture">
                <pic:pic>
                  <pic:nvPicPr>
                    <pic:cNvPr descr="figures/fig3_matrix.png" id="48" name="Picture"/>
                    <pic:cNvPicPr>
                      <a:picLocks noChangeArrowheads="1" noChangeAspect="1"/>
                    </pic:cNvPicPr>
                  </pic:nvPicPr>
                  <pic:blipFill>
                    <a:blip r:embed="rId46"/>
                    <a:stretch>
                      <a:fillRect/>
                    </a:stretch>
                  </pic:blipFill>
                  <pic:spPr bwMode="auto">
                    <a:xfrm>
                      <a:off x="0" y="0"/>
                      <a:ext cx="5334000" cy="3569804"/>
                    </a:xfrm>
                    <a:prstGeom prst="rect">
                      <a:avLst/>
                    </a:prstGeom>
                    <a:noFill/>
                    <a:ln w="9525">
                      <a:noFill/>
                      <a:headEnd/>
                      <a:tailEnd/>
                    </a:ln>
                  </pic:spPr>
                </pic:pic>
              </a:graphicData>
            </a:graphic>
          </wp:inline>
        </w:drawing>
      </w:r>
    </w:p>
    <w:p>
      <w:pPr>
        <w:pStyle w:val="ImageCaption"/>
      </w:pPr>
      <w:r>
        <w:rPr>
          <w:b/>
          <w:bCs/>
        </w:rPr>
        <w:t xml:space="preserve">图3</w:t>
      </w:r>
      <w:r>
        <w:t xml:space="preserve"> </w:t>
      </w:r>
      <w:r>
        <w:t xml:space="preserve">编码器比较矩阵的主效应与组合依赖。(a) 15种组合的电芯宏平均RMSE；发散色标以只含主干的模型A2（1.500个百分点）为中点，蓝色表示误差更低，红色表示更高；方框标出R0。(b) 交互作用图；折线不平行表示存在组合依赖；虚线为A2。(c) 主干、补充编码器及组合依赖在组合间平方和中所占的比例：全部15种组合（95%区间：73.1～90.2%、1.9～8.1%、7.3～20.2%）及去掉FT-Transformer后（0.0～4.6%、40.4～65.0%、34.1～58.4%），区间来自5,000次折分层电芯bootstrap。数值为225次训练的种子平均电芯指标。</w:t>
      </w:r>
    </w:p>
    <w:p>
      <w:pPr>
        <w:pStyle w:val="TableCaption"/>
      </w:pPr>
      <w:r>
        <w:rPr>
          <w:b/>
        </w:rPr>
        <w:t xml:space="preserve">表4　</w:t>
      </w:r>
      <w:r>
        <w:rPr/>
        <w:t xml:space="preserve">全部15种编码器组合的误差（SOH百分点）</w:t>
      </w:r>
    </w:p>
    <w:tbl>
      <w:tblPr>
        <w:tblW w:type="pct" w:w="5000"/>
        <w:jc w:val="center"/>
        <w:tblLayout w:type="fixed"/>
        <w:tblCellMar>
          <w:top w:w="15" w:type="dxa"/>
          <w:left w:w="60" w:type="dxa"/>
          <w:bottom w:w="15" w:type="dxa"/>
          <w:right w:w="60" w:type="dxa"/>
        </w:tblCellMar>
        <w:tblCaption w:val="全部15种编码器组合的误差（SOH百分点）"/>
      </w:tblPr>
      <w:tblGrid>
        <w:gridCol w:w="1303"/>
        <w:gridCol w:w="1002"/>
        <w:gridCol w:w="501"/>
        <w:gridCol w:w="701"/>
        <w:gridCol w:w="1102"/>
        <w:gridCol w:w="701"/>
        <w:gridCol w:w="1102"/>
        <w:gridCol w:w="802"/>
        <w:gridCol w:w="70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人工特征主干</w:t>
            </w:r>
          </w:p>
        </w:tc>
        <w:tc>
          <w:tcPr>
            <w:tcBorders>
              <w:top w:val="single" w:sz="12" w:space="0" w:color="000000"/>
              <w:bottom w:val="single" w:sz="6" w:space="0" w:color="000000"/>
            </w:tcBorders>
            <w:vAlign w:val="center"/>
          </w:tcPr>
          <w:p>
            <w:pPr>
              <w:pStyle w:val="TableText"/>
              <w:jc w:val="left"/>
            </w:pPr>
            <w:r>
              <w:rPr>
                <w:b/>
                <w:noProof/>
              </w:rPr>
              <w:t xml:space="preserve">波形补充</w:t>
            </w:r>
          </w:p>
        </w:tc>
        <w:tc>
          <w:tcPr>
            <w:tcBorders>
              <w:top w:val="single" w:sz="12" w:space="0" w:color="000000"/>
              <w:bottom w:val="single" w:sz="6" w:space="0" w:color="000000"/>
            </w:tcBorders>
            <w:vAlign w:val="center"/>
          </w:tcPr>
          <w:p>
            <w:pPr>
              <w:pStyle w:val="TableText"/>
              <w:jc w:val="right"/>
            </w:pPr>
            <w:r>
              <w:rPr>
                <w:b/>
                <w:noProof/>
              </w:rPr>
              <w:t xml:space="preserve">排名</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验证RMSE（排名）</w:t>
            </w:r>
          </w:p>
        </w:tc>
        <w:tc>
          <w:tcPr>
            <w:tcBorders>
              <w:top w:val="single" w:sz="12" w:space="0" w:color="000000"/>
              <w:bottom w:val="single" w:sz="6" w:space="0" w:color="000000"/>
            </w:tcBorders>
            <w:vAlign w:val="center"/>
          </w:tcPr>
          <w:p>
            <w:pPr>
              <w:pStyle w:val="TableText"/>
              <w:jc w:val="right"/>
            </w:pPr>
            <w:r>
              <w:rPr>
                <w:b/>
                <w:noProof/>
              </w:rPr>
              <w:t xml:space="preserve">ΔRMSE</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w:t>
            </w:r>
          </w:p>
        </w:tc>
        <w:tc>
          <w:tcPr>
            <w:tcBorders/>
            <w:vAlign w:val="center"/>
          </w:tcPr>
          <w:p>
            <w:pPr>
              <w:pStyle w:val="TableText"/>
              <w:jc w:val="right"/>
            </w:pPr>
            <w:r>
              <w:rPr>
                <w:b/>
                <w:bCs/>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1.310（1）</w:t>
            </w:r>
          </w:p>
        </w:tc>
        <w:tc>
          <w:tcPr>
            <w:tcBorders/>
            <w:vAlign w:val="center"/>
          </w:tcPr>
          <w:p>
            <w:pPr>
              <w:pStyle w:val="TableText"/>
              <w:jc w:val="right"/>
            </w:pPr>
            <w:r>
              <w:rPr>
                <w:noProof/>
              </w:rPr>
              <w:t xml:space="preserve">−0.131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1.408</w:t>
            </w:r>
          </w:p>
        </w:tc>
        <w:tc>
          <w:tcPr>
            <w:tcBorders/>
            <w:vAlign w:val="center"/>
          </w:tcPr>
          <w:p>
            <w:pPr>
              <w:pStyle w:val="TableText"/>
              <w:jc w:val="left"/>
            </w:pPr>
            <w:r>
              <w:rPr>
                <w:noProof/>
              </w:rPr>
              <w:t xml:space="preserve">1.271～1.553</w:t>
            </w:r>
          </w:p>
        </w:tc>
        <w:tc>
          <w:tcPr>
            <w:tcBorders/>
            <w:vAlign w:val="center"/>
          </w:tcPr>
          <w:p>
            <w:pPr>
              <w:pStyle w:val="TableText"/>
              <w:jc w:val="right"/>
            </w:pPr>
            <w:r>
              <w:rPr>
                <w:noProof/>
              </w:rPr>
              <w:t xml:space="preserve">1.154</w:t>
            </w:r>
          </w:p>
        </w:tc>
        <w:tc>
          <w:tcPr>
            <w:tcBorders/>
            <w:vAlign w:val="center"/>
          </w:tcPr>
          <w:p>
            <w:pPr>
              <w:pStyle w:val="TableText"/>
              <w:jc w:val="left"/>
            </w:pPr>
            <w:r>
              <w:rPr>
                <w:noProof/>
              </w:rPr>
              <w:t xml:space="preserve">1.321（3）</w:t>
            </w:r>
          </w:p>
        </w:tc>
        <w:tc>
          <w:tcPr>
            <w:tcBorders/>
            <w:vAlign w:val="center"/>
          </w:tcPr>
          <w:p>
            <w:pPr>
              <w:pStyle w:val="TableText"/>
              <w:jc w:val="right"/>
            </w:pPr>
            <w:r>
              <w:rPr>
                <w:noProof/>
              </w:rPr>
              <w:t xml:space="preserve">−0.100</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1.411</w:t>
            </w:r>
          </w:p>
        </w:tc>
        <w:tc>
          <w:tcPr>
            <w:tcBorders/>
            <w:vAlign w:val="center"/>
          </w:tcPr>
          <w:p>
            <w:pPr>
              <w:pStyle w:val="TableText"/>
              <w:jc w:val="left"/>
            </w:pPr>
            <w:r>
              <w:rPr>
                <w:noProof/>
              </w:rPr>
              <w:t xml:space="preserve">1.276～1.546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1.341（5）</w:t>
            </w:r>
          </w:p>
        </w:tc>
        <w:tc>
          <w:tcPr>
            <w:tcBorders/>
            <w:vAlign w:val="center"/>
          </w:tcPr>
          <w:p>
            <w:pPr>
              <w:pStyle w:val="TableText"/>
              <w:jc w:val="right"/>
            </w:pPr>
            <w:r>
              <w:rPr>
                <w:noProof/>
              </w:rPr>
              <w:t xml:space="preserve">−0.098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1.294～1.585</w:t>
            </w:r>
          </w:p>
        </w:tc>
        <w:tc>
          <w:tcPr>
            <w:tcBorders/>
            <w:vAlign w:val="center"/>
          </w:tcPr>
          <w:p>
            <w:pPr>
              <w:pStyle w:val="TableText"/>
              <w:jc w:val="right"/>
            </w:pPr>
            <w:r>
              <w:rPr>
                <w:noProof/>
              </w:rPr>
              <w:t xml:space="preserve">1.175</w:t>
            </w:r>
          </w:p>
        </w:tc>
        <w:tc>
          <w:tcPr>
            <w:tcBorders/>
            <w:vAlign w:val="center"/>
          </w:tcPr>
          <w:p>
            <w:pPr>
              <w:pStyle w:val="TableText"/>
              <w:jc w:val="left"/>
            </w:pPr>
            <w:r>
              <w:rPr>
                <w:noProof/>
              </w:rPr>
              <w:t xml:space="preserve">1.356（8）</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1.509</w:t>
            </w:r>
          </w:p>
        </w:tc>
        <w:tc>
          <w:tcPr>
            <w:tcBorders/>
            <w:vAlign w:val="center"/>
          </w:tcPr>
          <w:p>
            <w:pPr>
              <w:pStyle w:val="TableText"/>
              <w:jc w:val="left"/>
            </w:pPr>
            <w:r>
              <w:rPr>
                <w:noProof/>
              </w:rPr>
              <w:t xml:space="preserve">1.368～1.655</w:t>
            </w:r>
          </w:p>
        </w:tc>
        <w:tc>
          <w:tcPr>
            <w:tcBorders/>
            <w:vAlign w:val="center"/>
          </w:tcPr>
          <w:p>
            <w:pPr>
              <w:pStyle w:val="TableText"/>
              <w:jc w:val="right"/>
            </w:pPr>
            <w:r>
              <w:rPr>
                <w:noProof/>
              </w:rPr>
              <w:t xml:space="preserve">1.249</w:t>
            </w:r>
          </w:p>
        </w:tc>
        <w:tc>
          <w:tcPr>
            <w:tcBorders/>
            <w:vAlign w:val="center"/>
          </w:tcPr>
          <w:p>
            <w:pPr>
              <w:pStyle w:val="TableText"/>
              <w:jc w:val="left"/>
            </w:pPr>
            <w:r>
              <w:rPr>
                <w:noProof/>
              </w:rPr>
              <w:t xml:space="preserve">1.408（10）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1.397</w:t>
            </w:r>
          </w:p>
        </w:tc>
        <w:tc>
          <w:tcPr>
            <w:tcBorders/>
            <w:vAlign w:val="center"/>
          </w:tcPr>
          <w:p>
            <w:pPr>
              <w:pStyle w:val="TableText"/>
              <w:jc w:val="left"/>
            </w:pPr>
            <w:r>
              <w:rPr>
                <w:noProof/>
              </w:rPr>
              <w:t xml:space="preserve">1.258～1.548</w:t>
            </w:r>
          </w:p>
        </w:tc>
        <w:tc>
          <w:tcPr>
            <w:tcBorders/>
            <w:vAlign w:val="center"/>
          </w:tcPr>
          <w:p>
            <w:pPr>
              <w:pStyle w:val="TableText"/>
              <w:jc w:val="right"/>
            </w:pPr>
            <w:r>
              <w:rPr>
                <w:noProof/>
              </w:rPr>
              <w:t xml:space="preserve">1.152</w:t>
            </w:r>
          </w:p>
        </w:tc>
        <w:tc>
          <w:tcPr>
            <w:tcBorders/>
            <w:vAlign w:val="center"/>
          </w:tcPr>
          <w:p>
            <w:pPr>
              <w:pStyle w:val="TableText"/>
              <w:jc w:val="left"/>
            </w:pPr>
            <w:r>
              <w:rPr>
                <w:noProof/>
              </w:rPr>
              <w:t xml:space="preserve">1.312（2）</w:t>
            </w:r>
          </w:p>
        </w:tc>
        <w:tc>
          <w:tcPr>
            <w:tcBorders/>
            <w:vAlign w:val="center"/>
          </w:tcPr>
          <w:p>
            <w:pPr>
              <w:pStyle w:val="TableText"/>
              <w:jc w:val="right"/>
            </w:pPr>
            <w:r>
              <w:rPr>
                <w:noProof/>
              </w:rPr>
              <w:t xml:space="preserve">−0.111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1.433</w:t>
            </w:r>
          </w:p>
        </w:tc>
        <w:tc>
          <w:tcPr>
            <w:tcBorders/>
            <w:vAlign w:val="center"/>
          </w:tcPr>
          <w:p>
            <w:pPr>
              <w:pStyle w:val="TableText"/>
              <w:jc w:val="left"/>
            </w:pPr>
            <w:r>
              <w:rPr>
                <w:noProof/>
              </w:rPr>
              <w:t xml:space="preserve">1.296～1.581</w:t>
            </w:r>
          </w:p>
        </w:tc>
        <w:tc>
          <w:tcPr>
            <w:tcBorders/>
            <w:vAlign w:val="center"/>
          </w:tcPr>
          <w:p>
            <w:pPr>
              <w:pStyle w:val="TableText"/>
              <w:jc w:val="right"/>
            </w:pPr>
            <w:r>
              <w:rPr>
                <w:noProof/>
              </w:rPr>
              <w:t xml:space="preserve">1.186</w:t>
            </w:r>
          </w:p>
        </w:tc>
        <w:tc>
          <w:tcPr>
            <w:tcBorders/>
            <w:vAlign w:val="center"/>
          </w:tcPr>
          <w:p>
            <w:pPr>
              <w:pStyle w:val="TableText"/>
              <w:jc w:val="left"/>
            </w:pPr>
            <w:r>
              <w:rPr>
                <w:noProof/>
              </w:rPr>
              <w:t xml:space="preserve">1.332（4）</w:t>
            </w:r>
          </w:p>
        </w:tc>
        <w:tc>
          <w:tcPr>
            <w:tcBorders/>
            <w:vAlign w:val="center"/>
          </w:tcPr>
          <w:p>
            <w:pPr>
              <w:pStyle w:val="TableText"/>
              <w:jc w:val="right"/>
            </w:pPr>
            <w:r>
              <w:rPr>
                <w:noProof/>
              </w:rPr>
              <w:t xml:space="preserve">−0.075</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1.304～1.578</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1.367（9）</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1.441</w:t>
            </w:r>
          </w:p>
        </w:tc>
        <w:tc>
          <w:tcPr>
            <w:tcBorders/>
            <w:vAlign w:val="center"/>
          </w:tcPr>
          <w:p>
            <w:pPr>
              <w:pStyle w:val="TableText"/>
              <w:jc w:val="left"/>
            </w:pPr>
            <w:r>
              <w:rPr>
                <w:noProof/>
              </w:rPr>
              <w:t xml:space="preserve">1.303～1.583</w:t>
            </w:r>
          </w:p>
        </w:tc>
        <w:tc>
          <w:tcPr>
            <w:tcBorders/>
            <w:vAlign w:val="center"/>
          </w:tcPr>
          <w:p>
            <w:pPr>
              <w:pStyle w:val="TableText"/>
              <w:jc w:val="right"/>
            </w:pPr>
            <w:r>
              <w:rPr>
                <w:noProof/>
              </w:rPr>
              <w:t xml:space="preserve">1.199</w:t>
            </w:r>
          </w:p>
        </w:tc>
        <w:tc>
          <w:tcPr>
            <w:tcBorders/>
            <w:vAlign w:val="center"/>
          </w:tcPr>
          <w:p>
            <w:pPr>
              <w:pStyle w:val="TableText"/>
              <w:jc w:val="left"/>
            </w:pPr>
            <w:r>
              <w:rPr>
                <w:noProof/>
              </w:rPr>
              <w:t xml:space="preserve">1.355（7）</w:t>
            </w:r>
          </w:p>
        </w:tc>
        <w:tc>
          <w:tcPr>
            <w:tcBorders/>
            <w:vAlign w:val="center"/>
          </w:tcPr>
          <w:p>
            <w:pPr>
              <w:pStyle w:val="TableText"/>
              <w:jc w:val="right"/>
            </w:pPr>
            <w:r>
              <w:rPr>
                <w:noProof/>
              </w:rPr>
              <w:t xml:space="preserve">−0.068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1.445</w:t>
            </w:r>
          </w:p>
        </w:tc>
        <w:tc>
          <w:tcPr>
            <w:tcBorders/>
            <w:vAlign w:val="center"/>
          </w:tcPr>
          <w:p>
            <w:pPr>
              <w:pStyle w:val="TableText"/>
              <w:jc w:val="left"/>
            </w:pPr>
            <w:r>
              <w:rPr>
                <w:noProof/>
              </w:rPr>
              <w:t xml:space="preserve">1.309～1.592</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1.352（6）</w:t>
            </w:r>
          </w:p>
        </w:tc>
        <w:tc>
          <w:tcPr>
            <w:tcBorders/>
            <w:vAlign w:val="center"/>
          </w:tcPr>
          <w:p>
            <w:pPr>
              <w:pStyle w:val="TableText"/>
              <w:jc w:val="right"/>
            </w:pPr>
            <w:r>
              <w:rPr>
                <w:noProof/>
              </w:rPr>
              <w:t xml:space="preserve">−0.064</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1.406～1.709</w:t>
            </w:r>
          </w:p>
        </w:tc>
        <w:tc>
          <w:tcPr>
            <w:tcBorders/>
            <w:vAlign w:val="center"/>
          </w:tcPr>
          <w:p>
            <w:pPr>
              <w:pStyle w:val="TableText"/>
              <w:jc w:val="right"/>
            </w:pPr>
            <w:r>
              <w:rPr>
                <w:noProof/>
              </w:rPr>
              <w:t xml:space="preserve">1.303</w:t>
            </w:r>
          </w:p>
        </w:tc>
        <w:tc>
          <w:tcPr>
            <w:tcBorders/>
            <w:vAlign w:val="center"/>
          </w:tcPr>
          <w:p>
            <w:pPr>
              <w:pStyle w:val="TableText"/>
              <w:jc w:val="left"/>
            </w:pPr>
            <w:r>
              <w:rPr>
                <w:noProof/>
              </w:rPr>
              <w:t xml:space="preserve">1.495（12）</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0.103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12</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1.404～1.710</w:t>
            </w:r>
          </w:p>
        </w:tc>
        <w:tc>
          <w:tcPr>
            <w:tcBorders/>
            <w:vAlign w:val="center"/>
          </w:tcPr>
          <w:p>
            <w:pPr>
              <w:pStyle w:val="TableText"/>
              <w:jc w:val="right"/>
            </w:pPr>
            <w:r>
              <w:rPr>
                <w:noProof/>
              </w:rPr>
              <w:t xml:space="preserve">1.305</w:t>
            </w:r>
          </w:p>
        </w:tc>
        <w:tc>
          <w:tcPr>
            <w:tcBorders/>
            <w:vAlign w:val="center"/>
          </w:tcPr>
          <w:p>
            <w:pPr>
              <w:pStyle w:val="TableText"/>
              <w:jc w:val="left"/>
            </w:pPr>
            <w:r>
              <w:rPr>
                <w:noProof/>
              </w:rPr>
              <w:t xml:space="preserve">1.482（11）</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0.093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13</w:t>
            </w:r>
          </w:p>
        </w:tc>
        <w:tc>
          <w:tcPr>
            <w:tcBorders/>
            <w:vAlign w:val="center"/>
          </w:tcPr>
          <w:p>
            <w:pPr>
              <w:pStyle w:val="TableText"/>
              <w:jc w:val="right"/>
            </w:pPr>
            <w:r>
              <w:rPr>
                <w:noProof/>
              </w:rPr>
              <w:t xml:space="preserve">1.573</w:t>
            </w:r>
          </w:p>
        </w:tc>
        <w:tc>
          <w:tcPr>
            <w:tcBorders/>
            <w:vAlign w:val="center"/>
          </w:tcPr>
          <w:p>
            <w:pPr>
              <w:pStyle w:val="TableText"/>
              <w:jc w:val="left"/>
            </w:pPr>
            <w:r>
              <w:rPr>
                <w:noProof/>
              </w:rPr>
              <w:t xml:space="preserve">1.420～1.731</w:t>
            </w:r>
          </w:p>
        </w:tc>
        <w:tc>
          <w:tcPr>
            <w:tcBorders/>
            <w:vAlign w:val="center"/>
          </w:tcPr>
          <w:p>
            <w:pPr>
              <w:pStyle w:val="TableText"/>
              <w:jc w:val="right"/>
            </w:pPr>
            <w:r>
              <w:rPr>
                <w:noProof/>
              </w:rPr>
              <w:t xml:space="preserve">1.315</w:t>
            </w:r>
          </w:p>
        </w:tc>
        <w:tc>
          <w:tcPr>
            <w:tcBorders/>
            <w:vAlign w:val="center"/>
          </w:tcPr>
          <w:p>
            <w:pPr>
              <w:pStyle w:val="TableText"/>
              <w:jc w:val="left"/>
            </w:pPr>
            <w:r>
              <w:rPr>
                <w:noProof/>
              </w:rPr>
              <w:t xml:space="preserve">1.495（13）</w:t>
            </w:r>
          </w:p>
        </w:tc>
        <w:tc>
          <w:tcPr>
            <w:tcBorders/>
            <w:vAlign w:val="center"/>
          </w:tcPr>
          <w:p>
            <w:pPr>
              <w:pStyle w:val="TableText"/>
              <w:jc w:val="right"/>
            </w:pPr>
            <w:r>
              <w:rPr>
                <w:noProof/>
              </w:rPr>
              <w:t xml:space="preserve">+0.065</w:t>
            </w:r>
          </w:p>
        </w:tc>
        <w:tc>
          <w:tcPr>
            <w:tcBorders/>
            <w:vAlign w:val="center"/>
          </w:tcPr>
          <w:p>
            <w:pPr>
              <w:pStyle w:val="TableText"/>
              <w:jc w:val="right"/>
            </w:pPr>
            <w:r>
              <w:rPr>
                <w:noProof/>
              </w:rPr>
              <w:t xml:space="preserve">0.038</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w:t>
            </w:r>
          </w:p>
        </w:tc>
        <w:tc>
          <w:tcPr>
            <w:tcBorders/>
            <w:vAlign w:val="center"/>
          </w:tcPr>
          <w:p>
            <w:pPr>
              <w:pStyle w:val="TableText"/>
              <w:jc w:val="right"/>
            </w:pPr>
            <w:r>
              <w:rPr>
                <w:noProof/>
              </w:rPr>
              <w:t xml:space="preserve">1.597</w:t>
            </w:r>
          </w:p>
        </w:tc>
        <w:tc>
          <w:tcPr>
            <w:tcBorders/>
            <w:vAlign w:val="center"/>
          </w:tcPr>
          <w:p>
            <w:pPr>
              <w:pStyle w:val="TableText"/>
              <w:jc w:val="left"/>
            </w:pPr>
            <w:r>
              <w:rPr>
                <w:noProof/>
              </w:rPr>
              <w:t xml:space="preserve">1.448～1.758</w:t>
            </w:r>
          </w:p>
        </w:tc>
        <w:tc>
          <w:tcPr>
            <w:tcBorders/>
            <w:vAlign w:val="center"/>
          </w:tcPr>
          <w:p>
            <w:pPr>
              <w:pStyle w:val="TableText"/>
              <w:jc w:val="right"/>
            </w:pPr>
            <w:r>
              <w:rPr>
                <w:noProof/>
              </w:rPr>
              <w:t xml:space="preserve">1.333</w:t>
            </w:r>
          </w:p>
        </w:tc>
        <w:tc>
          <w:tcPr>
            <w:tcBorders/>
            <w:vAlign w:val="center"/>
          </w:tcPr>
          <w:p>
            <w:pPr>
              <w:pStyle w:val="TableText"/>
              <w:jc w:val="left"/>
            </w:pPr>
            <w:r>
              <w:rPr>
                <w:noProof/>
              </w:rPr>
              <w:t xml:space="preserve">1.518（14）</w:t>
            </w:r>
          </w:p>
        </w:tc>
        <w:tc>
          <w:tcPr>
            <w:tcBorders/>
            <w:vAlign w:val="center"/>
          </w:tcPr>
          <w:p>
            <w:pPr>
              <w:pStyle w:val="TableText"/>
              <w:jc w:val="right"/>
            </w:pPr>
            <w:r>
              <w:rPr>
                <w:noProof/>
              </w:rPr>
              <w:t xml:space="preserve">+0.089</w:t>
            </w:r>
          </w:p>
        </w:tc>
        <w:tc>
          <w:tcPr>
            <w:tcBorders/>
            <w:vAlign w:val="center"/>
          </w:tcPr>
          <w:p>
            <w:pPr>
              <w:pStyle w:val="TableText"/>
              <w:jc w:val="right"/>
            </w:pPr>
            <w:r>
              <w:rPr>
                <w:noProof/>
              </w:rPr>
              <w:t xml:space="preserve">0.003</w:t>
            </w:r>
          </w:p>
        </w:tc>
      </w:tr>
      <w:tr>
        <w:trPr>
          <w:cantSplit/>
        </w:trPr>
        <w:tc>
          <w:tcPr>
            <w:tcBorders>
              <w:bottom w:val="single" w:sz="12" w:space="0" w:color="000000"/>
            </w:tcBorders>
            <w:vAlign w:val="center"/>
          </w:tcPr>
          <w:p>
            <w:pPr>
              <w:pStyle w:val="TableText"/>
              <w:jc w:val="left"/>
            </w:pPr>
            <w:r>
              <w:rPr>
                <w:noProof/>
              </w:rPr>
              <w:t xml:space="preserve">FT-Transformer</w:t>
            </w:r>
          </w:p>
        </w:tc>
        <w:tc>
          <w:tcPr>
            <w:tcBorders>
              <w:bottom w:val="single" w:sz="12" w:space="0" w:color="000000"/>
            </w:tcBorders>
            <w:vAlign w:val="center"/>
          </w:tcPr>
          <w:p>
            <w:pPr>
              <w:pStyle w:val="TableText"/>
              <w:jc w:val="left"/>
            </w:pPr>
            <w:r>
              <w:rPr>
                <w:noProof/>
              </w:rPr>
              <w:t xml:space="preserve">PatchTST</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1.598</w:t>
            </w:r>
          </w:p>
        </w:tc>
        <w:tc>
          <w:tcPr>
            <w:tcBorders>
              <w:bottom w:val="single" w:sz="12" w:space="0" w:color="000000"/>
            </w:tcBorders>
            <w:vAlign w:val="center"/>
          </w:tcPr>
          <w:p>
            <w:pPr>
              <w:pStyle w:val="TableText"/>
              <w:jc w:val="left"/>
            </w:pPr>
            <w:r>
              <w:rPr>
                <w:noProof/>
              </w:rPr>
              <w:t xml:space="preserve">1.446～1.757</w:t>
            </w:r>
          </w:p>
        </w:tc>
        <w:tc>
          <w:tcPr>
            <w:tcBorders>
              <w:bottom w:val="single" w:sz="12" w:space="0" w:color="000000"/>
            </w:tcBorders>
            <w:vAlign w:val="center"/>
          </w:tcPr>
          <w:p>
            <w:pPr>
              <w:pStyle w:val="TableText"/>
              <w:jc w:val="right"/>
            </w:pPr>
            <w:r>
              <w:rPr>
                <w:noProof/>
              </w:rPr>
              <w:t xml:space="preserve">1.340</w:t>
            </w:r>
          </w:p>
        </w:tc>
        <w:tc>
          <w:tcPr>
            <w:tcBorders>
              <w:bottom w:val="single" w:sz="12" w:space="0" w:color="000000"/>
            </w:tcBorders>
            <w:vAlign w:val="center"/>
          </w:tcPr>
          <w:p>
            <w:pPr>
              <w:pStyle w:val="TableText"/>
              <w:jc w:val="left"/>
            </w:pPr>
            <w:r>
              <w:rPr>
                <w:noProof/>
              </w:rPr>
              <w:t xml:space="preserve">1.525（15）</w:t>
            </w:r>
          </w:p>
        </w:tc>
        <w:tc>
          <w:tcPr>
            <w:tcBorders>
              <w:bottom w:val="single" w:sz="12" w:space="0" w:color="000000"/>
            </w:tcBorders>
            <w:vAlign w:val="center"/>
          </w:tcPr>
          <w:p>
            <w:pPr>
              <w:pStyle w:val="TableText"/>
              <w:jc w:val="right"/>
            </w:pPr>
            <w:r>
              <w:rPr>
                <w:noProof/>
              </w:rPr>
              <w:t xml:space="preserve">+0.089</w:t>
            </w:r>
          </w:p>
        </w:tc>
        <w:tc>
          <w:tcPr>
            <w:tcBorders>
              <w:bottom w:val="single" w:sz="12" w:space="0" w:color="000000"/>
            </w:tcBorders>
            <w:vAlign w:val="center"/>
          </w:tcPr>
          <w:p>
            <w:pPr>
              <w:pStyle w:val="TableText"/>
              <w:jc w:val="right"/>
            </w:pPr>
            <w:r>
              <w:rPr>
                <w:noProof/>
              </w:rPr>
              <w:t xml:space="preserve">0.003</w:t>
            </w:r>
          </w:p>
        </w:tc>
      </w:tr>
    </w:tbl>
    <w:p>
      <w:pPr>
        <w:pStyle w:val="TableNote"/>
      </w:pPr>
      <w:r>
        <w:t xml:space="preserve"/>
      </w:r>
      <w:r>
        <w:t xml:space="preserve"> </w:t>
      </w:r>
      <w:r>
        <w:rPr>
          <w:vertAlign w:val="superscript"/>
        </w:rPr>
        <w:t xml:space="preserve">a</w:t>
      </w:r>
      <w:r>
        <w:t xml:space="preserve"> </w:t>
      </w:r>
      <w:r>
        <w:t xml:space="preserve">该组合减MLP主干＋CNN补充组合，负值表示误差更低。Holm</w:t>
      </w:r>
      <w:r>
        <w:t xml:space="preserve"> </w:t>
      </w:r>
      <w:r>
        <w:rPr>
          <w:i/>
          <w:iCs/>
        </w:rPr>
        <w:t xml:space="preserve">p</w:t>
      </w:r>
      <w:r>
        <w:t xml:space="preserve">值对应14个组合相对MLP主干＋CNN补充的比较，不对应组合之间的两两比较。验证RMSE为15次运行在验证电芯上最优轮次误差的均值。</w:t>
      </w:r>
    </w:p>
    <w:bookmarkEnd w:id="49"/>
    <w:bookmarkStart w:id="53" w:name="人工特征主干之上的波形增量"/>
    <w:p>
      <w:pPr>
        <w:pStyle w:val="Heading2"/>
      </w:pPr>
      <w:r>
        <w:t xml:space="preserve">4.2 人工特征主干之上的波形增量</w:t>
      </w:r>
    </w:p>
    <w:p>
      <w:pPr>
        <w:pStyle w:val="FirstParagraph"/>
      </w:pPr>
      <w:r>
        <w:t xml:space="preserve">在MLP主干之上加入PatchTST分支，可降低同一批测试电芯上的误差（表5、图4a）。R0相对A2降低0.123个百分点（−0.141～−0.103；Holm校正后</w:t>
      </w:r>
      <w:r>
        <w:rPr>
          <w:i/>
          <w:iCs/>
        </w:rPr>
        <w:t xml:space="preserve">p</w:t>
      </w:r>
      <w:r>
        <w:t xml:space="preserve"> </w:t>
      </w:r>
      <w:r>
        <w:t xml:space="preserve">&lt; 0.001），64个电芯中58个改善，配对效应量</w:t>
      </w:r>
      <w:r>
        <w:rPr>
          <w:i/>
          <w:iCs/>
        </w:rPr>
        <w:t xml:space="preserve">d</w:t>
      </w:r>
      <w:r>
        <w:rPr>
          <w:vertAlign w:val="subscript"/>
        </w:rPr>
        <w:t xml:space="preserve">z</w:t>
      </w:r>
      <w:r>
        <w:t xml:space="preserve"> </w:t>
      </w:r>
      <w:r>
        <w:t xml:space="preserve">= −1.55。相对不含人工特征主干的A1，R0降低0.117个百分点（−0.187～−0.033；Holm校正后</w:t>
      </w:r>
      <w:r>
        <w:rPr>
          <w:i/>
          <w:iCs/>
        </w:rPr>
        <w:t xml:space="preserve">p</w:t>
      </w:r>
      <w:r>
        <w:t xml:space="preserve"> </w:t>
      </w:r>
      <w:r>
        <w:t xml:space="preserve">= 0.002），64个电芯中50个改善，但电芯间差异更大（</w:t>
      </w:r>
      <w:r>
        <w:rPr>
          <w:i/>
          <w:iCs/>
        </w:rPr>
        <w:t xml:space="preserve">d</w:t>
      </w:r>
      <w:r>
        <w:rPr>
          <w:vertAlign w:val="subscript"/>
        </w:rPr>
        <w:t xml:space="preserve">z</w:t>
      </w:r>
      <w:r>
        <w:t xml:space="preserve"> </w:t>
      </w:r>
      <w:r>
        <w:t xml:space="preserve">= −0.36，图4b）。A1与A2之间未检出差异（−0.006个百分点，−0.091～0.065；</w:t>
      </w:r>
      <w:r>
        <w:rPr>
          <w:i/>
          <w:iCs/>
        </w:rPr>
        <w:t xml:space="preserve">p</w:t>
      </w:r>
      <w:r>
        <w:t xml:space="preserve"> </w:t>
      </w:r>
      <w:r>
        <w:t xml:space="preserve">= 0.91）；由于A1仍含匹配工况直流内阻与</w:t>
      </w:r>
      <m:oMath>
        <m:r>
          <m:t>τ</m:t>
        </m:r>
      </m:oMath>
      <w:r>
        <w:t xml:space="preserve">，这并非纯波形与纯人工特征的比较。因此，两种表征在平均意义上是互补的。</w:t>
      </w:r>
    </w:p>
    <w:p>
      <w:pPr>
        <w:pStyle w:val="TableCaption"/>
      </w:pPr>
      <w:r>
        <w:rPr>
          <w:b/>
        </w:rPr>
        <w:t xml:space="preserve">表5　</w:t>
      </w:r>
      <w:r>
        <w:rPr/>
        <w:t xml:space="preserve">人工特征主干、波形补充、累计循环数与单调惩罚的消融结果（SOH百分点）</w:t>
      </w:r>
    </w:p>
    <w:tbl>
      <w:tblPr>
        <w:tblW w:type="pct" w:w="5000"/>
        <w:jc w:val="center"/>
        <w:tblLayout w:type="fixed"/>
        <w:tblCellMar>
          <w:top w:w="15" w:type="dxa"/>
          <w:left w:w="60" w:type="dxa"/>
          <w:bottom w:w="15" w:type="dxa"/>
          <w:right w:w="60" w:type="dxa"/>
        </w:tblCellMar>
        <w:tblCaption w:val="人工特征主干、波形补充、累计循环数与单调惩罚的消融结果（SOH百分点）"/>
      </w:tblPr>
      <w:tblGrid>
        <w:gridCol w:w="609"/>
        <w:gridCol w:w="2001"/>
        <w:gridCol w:w="609"/>
        <w:gridCol w:w="609"/>
        <w:gridCol w:w="783"/>
        <w:gridCol w:w="696"/>
        <w:gridCol w:w="1218"/>
        <w:gridCol w:w="609"/>
        <w:gridCol w:w="78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配置</w:t>
            </w:r>
          </w:p>
        </w:tc>
        <w:tc>
          <w:tcPr>
            <w:tcBorders>
              <w:top w:val="single" w:sz="12" w:space="0" w:color="000000"/>
              <w:bottom w:val="single" w:sz="6" w:space="0" w:color="000000"/>
            </w:tcBorders>
            <w:vAlign w:val="center"/>
          </w:tcPr>
          <w:p>
            <w:pPr>
              <w:pStyle w:val="TableText"/>
              <w:jc w:val="left"/>
            </w:pPr>
            <w:r>
              <w:rPr>
                <w:b/>
                <w:noProof/>
              </w:rPr>
              <w:t xml:space="preserve">输入与约束</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对比</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人工特征主干＋</w:t>
            </w:r>
            <w:r>
              <w:rPr>
                <w:i/>
                <w:iCs/>
                <w:noProof/>
              </w:rPr>
              <w:t xml:space="preserve">τ</w:t>
            </w:r>
            <w:r>
              <w:rPr>
                <w:noProof/>
              </w:rPr>
              <w:t xml:space="preserve">，</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1.244</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人工特征主干＋PatchTST＋</w:t>
            </w:r>
            <w:r>
              <w:rPr>
                <w:i/>
                <w:iCs/>
                <w:noProof/>
              </w:rPr>
              <w:t xml:space="preserve">τ</w:t>
            </w:r>
            <w:r>
              <w:rPr>
                <w:noProof/>
              </w:rPr>
              <w:t xml:space="preserve">，</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R0 − A2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PatchTST＋DCIR＋</w:t>
            </w:r>
            <w:r>
              <w:rPr>
                <w:i/>
                <w:iCs/>
                <w:noProof/>
              </w:rPr>
              <w:t xml:space="preserve">τ</w:t>
            </w:r>
            <w:r>
              <w:rPr>
                <w:noProof/>
              </w:rPr>
              <w:t xml:space="preserve">，</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1.259</w:t>
            </w:r>
          </w:p>
        </w:tc>
        <w:tc>
          <w:tcPr>
            <w:tcBorders/>
            <w:vAlign w:val="center"/>
          </w:tcPr>
          <w:p>
            <w:pPr>
              <w:pStyle w:val="TableText"/>
              <w:jc w:val="left"/>
            </w:pPr>
            <w:r>
              <w:rPr>
                <w:noProof/>
              </w:rPr>
              <w:t xml:space="preserve">R0 − A1</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−0.187～−0.033</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同R0，</w:t>
            </w:r>
            <w:r>
              <w:rPr>
                <w:i/>
                <w:iCs/>
                <w:noProof/>
              </w:rPr>
              <w:t xml:space="preserve">λ</w:t>
            </w:r>
            <w:r>
              <w:rPr>
                <w:noProof/>
              </w:rPr>
              <w:t xml:space="preserve"> </w:t>
            </w:r>
            <w:r>
              <w:rPr>
                <w:noProof/>
              </w:rPr>
              <w:t xml:space="preserve">= 0</w:t>
            </w:r>
          </w:p>
        </w:tc>
        <w:tc>
          <w:tcPr>
            <w:tcBorders/>
            <w:vAlign w:val="center"/>
          </w:tcPr>
          <w:p>
            <w:pPr>
              <w:pStyle w:val="TableText"/>
              <w:jc w:val="right"/>
            </w:pPr>
            <w:r>
              <w:rPr>
                <w:noProof/>
              </w:rPr>
              <w:t xml:space="preserve">1.406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R0 − A3</w:t>
            </w:r>
          </w:p>
        </w:tc>
        <w:tc>
          <w:tcPr>
            <w:tcBorders/>
            <w:vAlign w:val="center"/>
          </w:tcPr>
          <w:p>
            <w:pPr>
              <w:pStyle w:val="TableText"/>
              <w:jc w:val="right"/>
            </w:pPr>
            <w:r>
              <w:rPr>
                <w:noProof/>
              </w:rPr>
              <w:t xml:space="preserve">−0.028</w:t>
            </w:r>
          </w:p>
        </w:tc>
        <w:tc>
          <w:tcPr>
            <w:tcBorders/>
            <w:vAlign w:val="center"/>
          </w:tcPr>
          <w:p>
            <w:pPr>
              <w:pStyle w:val="TableText"/>
              <w:jc w:val="left"/>
            </w:pPr>
            <w:r>
              <w:rPr>
                <w:noProof/>
              </w:rPr>
              <w:t xml:space="preserve">−0.038～−0.018</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bottom w:val="single" w:sz="12" w:space="0" w:color="000000"/>
            </w:tcBorders>
            <w:vAlign w:val="center"/>
          </w:tcPr>
          <w:p>
            <w:pPr>
              <w:pStyle w:val="TableText"/>
              <w:jc w:val="left"/>
            </w:pPr>
            <w:r>
              <w:rPr>
                <w:noProof/>
              </w:rPr>
              <w:t xml:space="preserve">A4</w:t>
            </w:r>
          </w:p>
        </w:tc>
        <w:tc>
          <w:tcPr>
            <w:tcBorders>
              <w:bottom w:val="single" w:sz="12" w:space="0" w:color="000000"/>
            </w:tcBorders>
            <w:vAlign w:val="center"/>
          </w:tcPr>
          <w:p>
            <w:pPr>
              <w:pStyle w:val="TableText"/>
              <w:jc w:val="left"/>
            </w:pPr>
            <w:r>
              <w:rPr>
                <w:noProof/>
              </w:rPr>
              <w:t xml:space="preserve">同A3，去掉</w:t>
            </w:r>
            <w:r>
              <w:rPr>
                <w:i/>
                <w:iCs/>
                <w:noProof/>
              </w:rPr>
              <w:t xml:space="preserve">τ</w:t>
            </w:r>
          </w:p>
        </w:tc>
        <w:tc>
          <w:tcPr>
            <w:tcBorders>
              <w:bottom w:val="single" w:sz="12" w:space="0" w:color="000000"/>
            </w:tcBorders>
            <w:vAlign w:val="center"/>
          </w:tcPr>
          <w:p>
            <w:pPr>
              <w:pStyle w:val="TableText"/>
              <w:jc w:val="right"/>
            </w:pPr>
            <w:r>
              <w:rPr>
                <w:noProof/>
              </w:rPr>
              <w:t xml:space="preserve">1.983</w:t>
            </w:r>
          </w:p>
        </w:tc>
        <w:tc>
          <w:tcPr>
            <w:tcBorders>
              <w:bottom w:val="single" w:sz="12" w:space="0" w:color="000000"/>
            </w:tcBorders>
            <w:vAlign w:val="center"/>
          </w:tcPr>
          <w:p>
            <w:pPr>
              <w:pStyle w:val="TableText"/>
              <w:jc w:val="right"/>
            </w:pPr>
            <w:r>
              <w:rPr>
                <w:noProof/>
              </w:rPr>
              <w:t xml:space="preserve">1.718</w:t>
            </w:r>
          </w:p>
        </w:tc>
        <w:tc>
          <w:tcPr>
            <w:tcBorders>
              <w:bottom w:val="single" w:sz="12" w:space="0" w:color="000000"/>
            </w:tcBorders>
            <w:vAlign w:val="center"/>
          </w:tcPr>
          <w:p>
            <w:pPr>
              <w:pStyle w:val="TableText"/>
              <w:jc w:val="left"/>
            </w:pPr>
            <w:r>
              <w:rPr>
                <w:noProof/>
              </w:rPr>
              <w:t xml:space="preserve">A3 − A4</w:t>
            </w:r>
          </w:p>
        </w:tc>
        <w:tc>
          <w:tcPr>
            <w:tcBorders>
              <w:bottom w:val="single" w:sz="12" w:space="0" w:color="000000"/>
            </w:tcBorders>
            <w:vAlign w:val="center"/>
          </w:tcPr>
          <w:p>
            <w:pPr>
              <w:pStyle w:val="TableText"/>
              <w:jc w:val="right"/>
            </w:pPr>
            <w:r>
              <w:rPr>
                <w:noProof/>
              </w:rPr>
              <w:t xml:space="preserve">−0.578</w:t>
            </w:r>
          </w:p>
        </w:tc>
        <w:tc>
          <w:tcPr>
            <w:tcBorders>
              <w:bottom w:val="single" w:sz="12" w:space="0" w:color="000000"/>
            </w:tcBorders>
            <w:vAlign w:val="center"/>
          </w:tcPr>
          <w:p>
            <w:pPr>
              <w:pStyle w:val="TableText"/>
              <w:jc w:val="left"/>
            </w:pPr>
            <w:r>
              <w:rPr>
                <w:noProof/>
              </w:rPr>
              <w:t xml:space="preserve">−0.731～−0.421</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52/64</w:t>
            </w:r>
          </w:p>
        </w:tc>
      </w:tr>
    </w:tbl>
    <w:p>
      <w:pPr>
        <w:pStyle w:val="TableNote"/>
      </w:pPr>
      <w:r>
        <w:t xml:space="preserve">ΔRMSE为各对比中前者减后者；改善电芯为前者误差更低的电芯数。四项对比为预先规定的确证性检验，并在这四项内实施Holm校正。</w:t>
      </w:r>
    </w:p>
    <w:p>
      <w:pPr>
        <w:pStyle w:val="BodyText"/>
      </w:pPr>
      <w:r>
        <w:t xml:space="preserve">这种增量并非所有波形编码器都能实现（表6、图4c）。固定MLP主干后，加入PatchTST、MLP、逐点Transformer和TCN补充可使RMSE分别降低0.123、0.092、0.089和0.063个百分点（Holm校正后</w:t>
      </w:r>
      <w:r>
        <w:rPr>
          <w:i/>
          <w:iCs/>
        </w:rPr>
        <w:t xml:space="preserve">p</w:t>
      </w:r>
      <w:r>
        <w:t xml:space="preserve">均 &lt; 0.001），而加入CNN补充的变化为+0.009个百分点（−0.012～0.028；Holm校正后</w:t>
      </w:r>
      <w:r>
        <w:rPr>
          <w:i/>
          <w:iCs/>
        </w:rPr>
        <w:t xml:space="preserve">p</w:t>
      </w:r>
      <w:r>
        <w:t xml:space="preserve"> </w:t>
      </w:r>
      <w:r>
        <w:t xml:space="preserve">= 0.491）。PatchTST的观测降幅最大，与其在4.1节中的排名一致。</w:t>
      </w:r>
    </w:p>
    <w:p>
      <w:pPr>
        <w:pStyle w:val="TableCaption"/>
      </w:pPr>
      <w:r>
        <w:rPr>
          <w:b/>
        </w:rPr>
        <w:t xml:space="preserve">表6　</w:t>
      </w:r>
      <w:r>
        <w:rPr/>
        <w:t xml:space="preserve">各波形补充相对MLP主干A2的增量（SOH百分点）</w:t>
      </w:r>
    </w:p>
    <w:tbl>
      <w:tblPr>
        <w:tblW w:type="pct" w:w="5000"/>
        <w:jc w:val="center"/>
        <w:tblLayout w:type="fixed"/>
        <w:tblCellMar>
          <w:top w:w="15" w:type="dxa"/>
          <w:left w:w="60" w:type="dxa"/>
          <w:bottom w:w="15" w:type="dxa"/>
          <w:right w:w="60" w:type="dxa"/>
        </w:tblCellMar>
        <w:tblCaption w:val="各波形补充相对MLP主干A2的增量（SOH百分点）"/>
      </w:tblPr>
      <w:tblGrid>
        <w:gridCol w:w="1084"/>
        <w:gridCol w:w="976"/>
        <w:gridCol w:w="867"/>
        <w:gridCol w:w="1518"/>
        <w:gridCol w:w="976"/>
        <w:gridCol w:w="759"/>
        <w:gridCol w:w="976"/>
        <w:gridCol w:w="75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波形补充</w:t>
            </w:r>
          </w:p>
        </w:tc>
        <w:tc>
          <w:tcPr>
            <w:tcBorders>
              <w:top w:val="single" w:sz="12" w:space="0" w:color="000000"/>
              <w:bottom w:val="single" w:sz="6" w:space="0" w:color="000000"/>
            </w:tcBorders>
            <w:vAlign w:val="center"/>
          </w:tcPr>
          <w:p>
            <w:pPr>
              <w:pStyle w:val="TableText"/>
              <w:jc w:val="right"/>
            </w:pPr>
            <w:r>
              <w:rPr>
                <w:b/>
                <w:noProof/>
              </w:rPr>
              <w:t xml:space="preserve">双分支RMSE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相对变化</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c>
          <w:tcPr>
            <w:tcBorders>
              <w:top w:val="single" w:sz="12" w:space="0" w:color="000000"/>
              <w:bottom w:val="single" w:sz="6" w:space="0" w:color="000000"/>
            </w:tcBorders>
            <w:vAlign w:val="center"/>
          </w:tcPr>
          <w:p>
            <w:pPr>
              <w:pStyle w:val="TableText"/>
              <w:jc w:val="right"/>
            </w:pPr>
            <w:r>
              <w:rPr>
                <w:b/>
                <w:i/>
                <w:iCs/>
                <w:noProof/>
              </w:rPr>
              <w:t xml:space="preserve">d</w:t>
            </w:r>
            <w:r>
              <w:rPr>
                <w:b/>
                <w:noProof/>
                <w:vertAlign w:val="subscript"/>
              </w:rPr>
              <w:t xml:space="preserve">z</w:t>
            </w:r>
          </w:p>
        </w:tc>
      </w:tr>
      <w:tr>
        <w:trPr>
          <w:cantSplit/>
        </w:trPr>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−0.141～−0.104</w:t>
            </w:r>
          </w:p>
        </w:tc>
        <w:tc>
          <w:tcPr>
            <w:tcBorders/>
            <w:vAlign w:val="center"/>
          </w:tcPr>
          <w:p>
            <w:pPr>
              <w:pStyle w:val="TableText"/>
              <w:jc w:val="right"/>
            </w:pPr>
            <w:r>
              <w:rPr>
                <w:noProof/>
              </w:rPr>
              <w:t xml:space="preserve">−8.2%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c>
          <w:tcPr>
            <w:tcBorders/>
            <w:vAlign w:val="center"/>
          </w:tcPr>
          <w:p>
            <w:pPr>
              <w:pStyle w:val="TableText"/>
              <w:jc w:val="right"/>
            </w:pPr>
            <w:r>
              <w:rPr>
                <w:noProof/>
              </w:rPr>
              <w:t xml:space="preserve">−1.55</w:t>
            </w:r>
          </w:p>
        </w:tc>
      </w:tr>
      <w:tr>
        <w:trPr>
          <w:cantSplit/>
        </w:trPr>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1.408</w:t>
            </w:r>
          </w:p>
        </w:tc>
        <w:tc>
          <w:tcPr>
            <w:tcBorders/>
            <w:vAlign w:val="center"/>
          </w:tcPr>
          <w:p>
            <w:pPr>
              <w:pStyle w:val="TableText"/>
              <w:jc w:val="right"/>
            </w:pPr>
            <w:r>
              <w:rPr>
                <w:noProof/>
              </w:rPr>
              <w:t xml:space="preserve">−0.092</w:t>
            </w:r>
          </w:p>
        </w:tc>
        <w:tc>
          <w:tcPr>
            <w:tcBorders/>
            <w:vAlign w:val="center"/>
          </w:tcPr>
          <w:p>
            <w:pPr>
              <w:pStyle w:val="TableText"/>
              <w:jc w:val="left"/>
            </w:pPr>
            <w:r>
              <w:rPr>
                <w:noProof/>
              </w:rPr>
              <w:t xml:space="preserve">−0.109～−0.074</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55/64</w:t>
            </w:r>
          </w:p>
        </w:tc>
        <w:tc>
          <w:tcPr>
            <w:tcBorders/>
            <w:vAlign w:val="center"/>
          </w:tcPr>
          <w:p>
            <w:pPr>
              <w:pStyle w:val="TableText"/>
              <w:jc w:val="right"/>
            </w:pPr>
            <w:r>
              <w:rPr>
                <w:noProof/>
              </w:rPr>
              <w:t xml:space="preserve">−1.14</w:t>
            </w:r>
          </w:p>
        </w:tc>
      </w:tr>
      <w:tr>
        <w:trPr>
          <w:cantSplit/>
        </w:trPr>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1.411</w:t>
            </w:r>
          </w:p>
        </w:tc>
        <w:tc>
          <w:tcPr>
            <w:tcBorders/>
            <w:vAlign w:val="center"/>
          </w:tcPr>
          <w:p>
            <w:pPr>
              <w:pStyle w:val="TableText"/>
              <w:jc w:val="right"/>
            </w:pPr>
            <w:r>
              <w:rPr>
                <w:noProof/>
              </w:rPr>
              <w:t xml:space="preserve">−0.089</w:t>
            </w:r>
          </w:p>
        </w:tc>
        <w:tc>
          <w:tcPr>
            <w:tcBorders/>
            <w:vAlign w:val="center"/>
          </w:tcPr>
          <w:p>
            <w:pPr>
              <w:pStyle w:val="TableText"/>
              <w:jc w:val="left"/>
            </w:pPr>
            <w:r>
              <w:rPr>
                <w:noProof/>
              </w:rPr>
              <w:t xml:space="preserve">−0.109～−0.070</w:t>
            </w:r>
          </w:p>
        </w:tc>
        <w:tc>
          <w:tcPr>
            <w:tcBorders/>
            <w:vAlign w:val="center"/>
          </w:tcPr>
          <w:p>
            <w:pPr>
              <w:pStyle w:val="TableText"/>
              <w:jc w:val="right"/>
            </w:pPr>
            <w:r>
              <w:rPr>
                <w:noProof/>
              </w:rPr>
              <w:t xml:space="preserve">−5.9%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54/64</w:t>
            </w:r>
          </w:p>
        </w:tc>
        <w:tc>
          <w:tcPr>
            <w:tcBorders/>
            <w:vAlign w:val="center"/>
          </w:tcPr>
          <w:p>
            <w:pPr>
              <w:pStyle w:val="TableText"/>
              <w:jc w:val="right"/>
            </w:pPr>
            <w:r>
              <w:rPr>
                <w:noProof/>
              </w:rPr>
              <w:t xml:space="preserve">−0.97</w:t>
            </w:r>
          </w:p>
        </w:tc>
      </w:tr>
      <w:tr>
        <w:trPr>
          <w:cantSplit/>
        </w:trPr>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1.437</w:t>
            </w:r>
          </w:p>
        </w:tc>
        <w:tc>
          <w:tcPr>
            <w:tcBorders/>
            <w:vAlign w:val="center"/>
          </w:tcPr>
          <w:p>
            <w:pPr>
              <w:pStyle w:val="TableText"/>
              <w:jc w:val="right"/>
            </w:pPr>
            <w:r>
              <w:rPr>
                <w:noProof/>
              </w:rPr>
              <w:t xml:space="preserve">−0.063</w:t>
            </w:r>
          </w:p>
        </w:tc>
        <w:tc>
          <w:tcPr>
            <w:tcBorders/>
            <w:vAlign w:val="center"/>
          </w:tcPr>
          <w:p>
            <w:pPr>
              <w:pStyle w:val="TableText"/>
              <w:jc w:val="left"/>
            </w:pPr>
            <w:r>
              <w:rPr>
                <w:noProof/>
              </w:rPr>
              <w:t xml:space="preserve">−0.089～−0.037</w:t>
            </w:r>
          </w:p>
        </w:tc>
        <w:tc>
          <w:tcPr>
            <w:tcBorders/>
            <w:vAlign w:val="center"/>
          </w:tcPr>
          <w:p>
            <w:pPr>
              <w:pStyle w:val="TableText"/>
              <w:jc w:val="right"/>
            </w:pPr>
            <w:r>
              <w:rPr>
                <w:noProof/>
              </w:rPr>
              <w:t xml:space="preserve">−4.2%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45/64</w:t>
            </w:r>
          </w:p>
        </w:tc>
        <w:tc>
          <w:tcPr>
            <w:tcBorders/>
            <w:vAlign w:val="center"/>
          </w:tcPr>
          <w:p>
            <w:pPr>
              <w:pStyle w:val="TableText"/>
              <w:jc w:val="right"/>
            </w:pPr>
            <w:r>
              <w:rPr>
                <w:noProof/>
              </w:rPr>
              <w:t xml:space="preserve">−0.56</w:t>
            </w:r>
          </w:p>
        </w:tc>
      </w:tr>
      <w:tr>
        <w:trPr>
          <w:cantSplit/>
        </w:trPr>
        <w:tc>
          <w:tcPr>
            <w:tcBorders>
              <w:bottom w:val="single" w:sz="12" w:space="0" w:color="000000"/>
            </w:tcBorders>
            <w:vAlign w:val="center"/>
          </w:tcPr>
          <w:p>
            <w:pPr>
              <w:pStyle w:val="TableText"/>
              <w:jc w:val="left"/>
            </w:pPr>
            <w:r>
              <w:rPr>
                <w:noProof/>
              </w:rPr>
              <w:t xml:space="preserve">CNN</w:t>
            </w:r>
          </w:p>
        </w:tc>
        <w:tc>
          <w:tcPr>
            <w:tcBorders>
              <w:bottom w:val="single" w:sz="12" w:space="0" w:color="000000"/>
            </w:tcBorders>
            <w:vAlign w:val="center"/>
          </w:tcPr>
          <w:p>
            <w:pPr>
              <w:pStyle w:val="TableText"/>
              <w:jc w:val="right"/>
            </w:pPr>
            <w:r>
              <w:rPr>
                <w:noProof/>
              </w:rPr>
              <w:t xml:space="preserve">1.509</w:t>
            </w:r>
          </w:p>
        </w:tc>
        <w:tc>
          <w:tcPr>
            <w:tcBorders>
              <w:bottom w:val="single" w:sz="12" w:space="0" w:color="000000"/>
            </w:tcBorders>
            <w:vAlign w:val="center"/>
          </w:tcPr>
          <w:p>
            <w:pPr>
              <w:pStyle w:val="TableText"/>
              <w:jc w:val="right"/>
            </w:pPr>
            <w:r>
              <w:rPr>
                <w:noProof/>
              </w:rPr>
              <w:t xml:space="preserve">+0.009</w:t>
            </w:r>
          </w:p>
        </w:tc>
        <w:tc>
          <w:tcPr>
            <w:tcBorders>
              <w:bottom w:val="single" w:sz="12" w:space="0" w:color="000000"/>
            </w:tcBorders>
            <w:vAlign w:val="center"/>
          </w:tcPr>
          <w:p>
            <w:pPr>
              <w:pStyle w:val="TableText"/>
              <w:jc w:val="left"/>
            </w:pPr>
            <w:r>
              <w:rPr>
                <w:noProof/>
              </w:rPr>
              <w:t xml:space="preserve">−0.012～0.028</w:t>
            </w:r>
          </w:p>
        </w:tc>
        <w:tc>
          <w:tcPr>
            <w:tcBorders>
              <w:bottom w:val="single" w:sz="12" w:space="0" w:color="000000"/>
            </w:tcBorders>
            <w:vAlign w:val="center"/>
          </w:tcPr>
          <w:p>
            <w:pPr>
              <w:pStyle w:val="TableText"/>
              <w:jc w:val="right"/>
            </w:pPr>
            <w:r>
              <w:rPr>
                <w:noProof/>
              </w:rPr>
              <w:t xml:space="preserve">+0.6%</w:t>
            </w:r>
          </w:p>
        </w:tc>
        <w:tc>
          <w:tcPr>
            <w:tcBorders>
              <w:bottom w:val="single" w:sz="12" w:space="0" w:color="000000"/>
            </w:tcBorders>
            <w:vAlign w:val="center"/>
          </w:tcPr>
          <w:p>
            <w:pPr>
              <w:pStyle w:val="TableText"/>
              <w:jc w:val="right"/>
            </w:pPr>
            <w:r>
              <w:rPr>
                <w:noProof/>
              </w:rPr>
              <w:t xml:space="preserve">0.491</w:t>
            </w:r>
          </w:p>
        </w:tc>
        <w:tc>
          <w:tcPr>
            <w:tcBorders>
              <w:bottom w:val="single" w:sz="12" w:space="0" w:color="000000"/>
            </w:tcBorders>
            <w:vAlign w:val="center"/>
          </w:tcPr>
          <w:p>
            <w:pPr>
              <w:pStyle w:val="TableText"/>
              <w:jc w:val="right"/>
            </w:pPr>
            <w:r>
              <w:rPr>
                <w:noProof/>
              </w:rPr>
              <w:t xml:space="preserve">28/64</w:t>
            </w:r>
          </w:p>
        </w:tc>
        <w:tc>
          <w:tcPr>
            <w:tcBorders>
              <w:bottom w:val="single" w:sz="12" w:space="0" w:color="000000"/>
            </w:tcBorders>
            <w:vAlign w:val="center"/>
          </w:tcPr>
          <w:p>
            <w:pPr>
              <w:pStyle w:val="TableText"/>
              <w:jc w:val="right"/>
            </w:pPr>
            <w:r>
              <w:rPr>
                <w:noProof/>
              </w:rPr>
              <w:t xml:space="preserve">+0.09</w:t>
            </w:r>
          </w:p>
        </w:tc>
      </w:tr>
    </w:tbl>
    <w:p>
      <w:pPr>
        <w:pStyle w:val="TableNote"/>
      </w:pPr>
      <w:r>
        <w:t xml:space="preserve">ΔRMSE为双分支模型减A2（1.500个百分点）；</w:t>
      </w:r>
      <w:r>
        <w:rPr>
          <w:i/>
          <w:iCs/>
        </w:rPr>
        <w:t xml:space="preserve">d</w:t>
      </w:r>
      <w:r>
        <w:rPr>
          <w:vertAlign w:val="subscript"/>
        </w:rPr>
        <w:t xml:space="preserve">z</w:t>
      </w:r>
      <w:r>
        <w:t xml:space="preserve">为逐电芯差值均值除以其标准差。Holm校正覆盖这五项比较。</w:t>
      </w:r>
    </w:p>
    <w:p>
      <w:pPr>
        <w:pStyle w:val="CaptionedFigure"/>
      </w:pPr>
      <w:r>
        <w:drawing>
          <wp:inline>
            <wp:extent cx="5334000" cy="3319762"/>
            <wp:effectExtent b="0" l="0" r="0" t="0"/>
            <wp:docPr descr="图4 人工特征主干与波形补充的作用。(a) 64个测试电芯的逐电芯RMSE差R0 − A2（种子平均），按升序排列；蓝色柱表示R0误差更低，红色柱表示更高；虚线与灰带为平均差及其95%区间。(b) 同(a)，为R0 − A1；最右侧一柱为电芯3。(c) 左：MLP主干加入各补充后误差降低（蓝）或升高（红）的电芯数，以及A1相对A2的情况（虚线下方）；浅色表示差异不显著。右：64个配对差的小提琴图与箱线图（箱体为四分位距，线为中位数，须线延伸至1.5倍四分位距，菱形为均值）；超出坐标范围的一个值（A1 − A2，−1.72个百分点，电芯3）标于左侧边缘。" title="" id="51" name="Picture"/>
            <a:graphic>
              <a:graphicData uri="http://schemas.openxmlformats.org/drawingml/2006/picture">
                <pic:pic>
                  <pic:nvPicPr>
                    <pic:cNvPr descr="figures/fig4_increment.png" id="52" name="Picture"/>
                    <pic:cNvPicPr>
                      <a:picLocks noChangeArrowheads="1" noChangeAspect="1"/>
                    </pic:cNvPicPr>
                  </pic:nvPicPr>
                  <pic:blipFill>
                    <a:blip r:embed="rId50"/>
                    <a:stretch>
                      <a:fillRect/>
                    </a:stretch>
                  </pic:blipFill>
                  <pic:spPr bwMode="auto">
                    <a:xfrm>
                      <a:off x="0" y="0"/>
                      <a:ext cx="5334000" cy="3319762"/>
                    </a:xfrm>
                    <a:prstGeom prst="rect">
                      <a:avLst/>
                    </a:prstGeom>
                    <a:noFill/>
                    <a:ln w="9525">
                      <a:noFill/>
                      <a:headEnd/>
                      <a:tailEnd/>
                    </a:ln>
                  </pic:spPr>
                </pic:pic>
              </a:graphicData>
            </a:graphic>
          </wp:inline>
        </w:drawing>
      </w:r>
    </w:p>
    <w:p>
      <w:pPr>
        <w:pStyle w:val="ImageCaption"/>
      </w:pPr>
      <w:r>
        <w:rPr>
          <w:b/>
          <w:bCs/>
        </w:rPr>
        <w:t xml:space="preserve">图4</w:t>
      </w:r>
      <w:r>
        <w:t xml:space="preserve"> </w:t>
      </w:r>
      <w:r>
        <w:t xml:space="preserve">人工特征主干与波形补充的作用。(a) 64个测试电芯的逐电芯RMSE差R0 − A2（种子平均），按升序排列；蓝色柱表示R0误差更低，红色柱表示更高；虚线与灰带为平均差及其95%区间。(b) 同(a)，为R0 − A1；最右侧一柱为电芯3。(c) 左：MLP主干加入各补充后误差降低（蓝）或升高（红）的电芯数，以及A1相对A2的情况（虚线下方）；浅色表示差异不显著。右：64个配对差的小提琴图与箱线图（箱体为四分位距，线为中位数，须线延伸至1.5倍四分位距，菱形为均值）；超出坐标范围的一个值（A1 − A2，−1.72个百分点，电芯3）标于左侧边缘。</w:t>
      </w:r>
    </w:p>
    <w:bookmarkEnd w:id="53"/>
    <w:bookmarkStart w:id="57" w:name="波形增量的分布与偏差修正"/>
    <w:p>
      <w:pPr>
        <w:pStyle w:val="Heading2"/>
      </w:pPr>
      <w:r>
        <w:t xml:space="preserve">4.3 波形增量的分布与偏差修正</w:t>
      </w:r>
    </w:p>
    <w:p>
      <w:pPr>
        <w:pStyle w:val="FirstParagraph"/>
      </w:pPr>
      <w:r>
        <w:t xml:space="preserve">波形增量在不同SOH区间的幅度不同，但在六个脉冲工况中方向一致（补充表S4、图5b）。SOH低于80%时，R0相对A2的误差降低0.413个百分点（17.2%，62/64个电芯改善）；SOH在95%以上时降低0.148个百分点（15.5%，61/64）；90～95%区间的增益最小（0.027个百分点，36/64）。六个工况的降幅为0.085～0.139个百分点；在384个电芯–工况单元中，313个（81.5%）误差降低，29个电芯在全部六个工况下均改善，11个循环工况组的平均差均为负（−0.029～−0.186个百分点）。因此，每个单一脉冲工况均能从波形补充中获益，这对只能施加一次脉冲的部署场景具有实际意义。</w:t>
      </w:r>
    </w:p>
    <w:p>
      <w:pPr>
        <w:pStyle w:val="BodyText"/>
      </w:pPr>
      <w:r>
        <w:t xml:space="preserve">分箱偏差分析表明，波形增量部分修正了人工特征主干的收缩偏差（图5a）。在2,823个电芯–RPT点上，A2在SOH低于78%时平均高估3.25个百分点，在98～100%时平均低估1.41个百分点；R0将二者分别降至2.74与1.16个百分点。从A2到R0的预测改变量随真实SOH增大（斜率为0.034个百分点/百分点，0.031～0.036），并在约92.1%处过零：低SOH端预测下调，高SOH端预测上调，与A2偏差的方向相反。因此，68.0%的点更接近实测值，预测SOH对真实SOH的回归斜率由0.848增至0.882，总平方误差下降14.4%。</w:t>
      </w:r>
    </w:p>
    <w:p>
      <w:pPr>
        <w:pStyle w:val="CaptionedFigure"/>
      </w:pPr>
      <w:r>
        <w:drawing>
          <wp:inline>
            <wp:extent cx="5334000" cy="2120867"/>
            <wp:effectExtent b="0" l="0" r="0" t="0"/>
            <wp:docPr descr="图5 波形补充对偏差的修正及其在工况与电芯间的分布。(a) 上：按实测SOH每2个百分点分箱（低于78%的箱合并）的平均偏差（预测减真实值），灰色为A2，蓝色为R0；阴影表示被修正的偏差。下：2,823个电芯–RPT点上R0 − A2的预测改变量（蓝色表示更接近实测值，红色表示更远离），以及最小二乘拟合及其95% bootstrap区间带。预测均对种子和工况取平均。(b) 左：六个工况及全部记录上的逐电芯R0 − A2 RMSE差（电芯按循环工况组排列；超出±0.3个百分点者颜色饱和）。右：各行的电芯宏平均差；所有95%区间均不含零。" title="" id="55" name="Picture"/>
            <a:graphic>
              <a:graphicData uri="http://schemas.openxmlformats.org/drawingml/2006/picture">
                <pic:pic>
                  <pic:nvPicPr>
                    <pic:cNvPr descr="figures/fig5_bias.png" id="56" name="Picture"/>
                    <pic:cNvPicPr>
                      <a:picLocks noChangeArrowheads="1" noChangeAspect="1"/>
                    </pic:cNvPicPr>
                  </pic:nvPicPr>
                  <pic:blipFill>
                    <a:blip r:embed="rId54"/>
                    <a:stretch>
                      <a:fillRect/>
                    </a:stretch>
                  </pic:blipFill>
                  <pic:spPr bwMode="auto">
                    <a:xfrm>
                      <a:off x="0" y="0"/>
                      <a:ext cx="5334000" cy="2120867"/>
                    </a:xfrm>
                    <a:prstGeom prst="rect">
                      <a:avLst/>
                    </a:prstGeom>
                    <a:noFill/>
                    <a:ln w="9525">
                      <a:noFill/>
                      <a:headEnd/>
                      <a:tailEnd/>
                    </a:ln>
                  </pic:spPr>
                </pic:pic>
              </a:graphicData>
            </a:graphic>
          </wp:inline>
        </w:drawing>
      </w:r>
    </w:p>
    <w:p>
      <w:pPr>
        <w:pStyle w:val="ImageCaption"/>
      </w:pPr>
      <w:r>
        <w:rPr>
          <w:b/>
          <w:bCs/>
        </w:rPr>
        <w:t xml:space="preserve">图5</w:t>
      </w:r>
      <w:r>
        <w:t xml:space="preserve"> </w:t>
      </w:r>
      <w:r>
        <w:t xml:space="preserve">波形补充对偏差的修正及其在工况与电芯间的分布。(a) 上：按实测SOH每2个百分点分箱（低于78%的箱合并）的平均偏差（预测减真实值），灰色为A2，蓝色为R0；阴影表示被修正的偏差。下：2,823个电芯–RPT点上R0 − A2的预测改变量（蓝色表示更接近实测值，红色表示更远离），以及最小二乘拟合及其95% bootstrap区间带。预测均对种子和工况取平均。(b) 左：六个工况及全部记录上的逐电芯R0 − A2 RMSE差（电芯按循环工况组排列；超出±0.3个百分点者颜色饱和）。右：各行的电芯宏平均差；所有95%区间均不含零。</w:t>
      </w:r>
    </w:p>
    <w:bookmarkEnd w:id="57"/>
    <w:bookmarkStart w:id="58" w:name="与已有脉冲模型的比较"/>
    <w:p>
      <w:pPr>
        <w:pStyle w:val="Heading2"/>
      </w:pPr>
      <w:r>
        <w:t xml:space="preserve">4.4 与已有脉冲模型的比较</w:t>
      </w:r>
    </w:p>
    <w:p>
      <w:pPr>
        <w:pStyle w:val="FirstParagraph"/>
      </w:pPr>
      <w:r>
        <w:t xml:space="preserve">复现的Nowacki等[28]原始脉冲模型RMSE为1.628个百分点，R0比其低0.251个百分点（Holm校正后</w:t>
      </w:r>
      <w:r>
        <w:rPr>
          <w:i/>
          <w:iCs/>
        </w:rPr>
        <w:t xml:space="preserve">p</w:t>
      </w:r>
      <w:r>
        <w:t xml:space="preserve"> </w:t>
      </w:r>
      <w:r>
        <w:t xml:space="preserve">= 0.019），64个电芯中47个改善（表7）。由于该模型只使用原始脉冲且不含</w:t>
      </w:r>
      <m:oMath>
        <m:r>
          <m:t>τ</m:t>
        </m:r>
      </m:oMath>
      <w:r>
        <w:t xml:space="preserve">，此差距同时来自双分支结构和循环记录；在本文设计中，波形分支本身的贡献由4.2节的R0 − A2比较单独给出。</w:t>
      </w:r>
    </w:p>
    <w:p>
      <w:pPr>
        <w:pStyle w:val="TableCaption"/>
      </w:pPr>
      <w:r>
        <w:rPr>
          <w:b/>
        </w:rPr>
        <w:t xml:space="preserve">表7　</w:t>
      </w:r>
      <w:r>
        <w:rPr/>
        <w:t xml:space="preserve">参照方法的输入与电芯宏平均误差（SOH百分点）</w:t>
      </w:r>
    </w:p>
    <w:tbl>
      <w:tblPr>
        <w:tblW w:type="pct" w:w="5000"/>
        <w:jc w:val="center"/>
        <w:tblLayout w:type="fixed"/>
        <w:tblCellMar>
          <w:top w:w="15" w:type="dxa"/>
          <w:left w:w="60" w:type="dxa"/>
          <w:bottom w:w="15" w:type="dxa"/>
          <w:right w:w="60" w:type="dxa"/>
        </w:tblCellMar>
        <w:tblCaption w:val="参照方法的输入与电芯宏平均误差（SOH百分点）"/>
      </w:tblPr>
      <w:tblGrid>
        <w:gridCol w:w="1622"/>
        <w:gridCol w:w="1335"/>
        <w:gridCol w:w="667"/>
        <w:gridCol w:w="1049"/>
        <w:gridCol w:w="858"/>
        <w:gridCol w:w="858"/>
        <w:gridCol w:w="667"/>
        <w:gridCol w:w="85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模型</w:t>
            </w:r>
          </w:p>
        </w:tc>
        <w:tc>
          <w:tcPr>
            <w:tcBorders>
              <w:top w:val="single" w:sz="12" w:space="0" w:color="000000"/>
              <w:bottom w:val="single" w:sz="6" w:space="0" w:color="000000"/>
            </w:tcBorders>
            <w:vAlign w:val="center"/>
          </w:tcPr>
          <w:p>
            <w:pPr>
              <w:pStyle w:val="TableText"/>
              <w:jc w:val="left"/>
            </w:pPr>
            <w:r>
              <w:rPr>
                <w:b/>
                <w:noProof/>
              </w:rPr>
              <w:t xml:space="preserve">输入</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ΔRMSE（相对A2）</w:t>
            </w:r>
          </w:p>
        </w:tc>
        <w:tc>
          <w:tcPr>
            <w:tcBorders>
              <w:top w:val="single" w:sz="12" w:space="0" w:color="000000"/>
              <w:bottom w:val="single" w:sz="6" w:space="0" w:color="000000"/>
            </w:tcBorders>
            <w:vAlign w:val="center"/>
          </w:tcPr>
          <w:p>
            <w:pPr>
              <w:pStyle w:val="TableText"/>
              <w:jc w:val="right"/>
            </w:pPr>
            <w:r>
              <w:rPr>
                <w:b/>
                <w:noProof/>
              </w:rPr>
              <w:t xml:space="preserve">ΔRMSE（相对R0）</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优于R0的电芯</w:t>
            </w:r>
          </w:p>
        </w:tc>
      </w:tr>
      <w:tr>
        <w:trPr>
          <w:cantSplit/>
        </w:trPr>
        <w:tc>
          <w:tcPr>
            <w:tcBorders/>
            <w:vAlign w:val="center"/>
          </w:tcPr>
          <w:p>
            <w:pPr>
              <w:pStyle w:val="TableText"/>
              <w:jc w:val="left"/>
            </w:pPr>
            <w:r>
              <w:rPr>
                <w:noProof/>
              </w:rPr>
              <w:t xml:space="preserve">R0（本文）</w:t>
            </w:r>
          </w:p>
        </w:tc>
        <w:tc>
          <w:tcPr>
            <w:tcBorders/>
            <w:vAlign w:val="center"/>
          </w:tcPr>
          <w:p>
            <w:pPr>
              <w:pStyle w:val="TableText"/>
              <w:jc w:val="left"/>
            </w:pPr>
            <w:r>
              <w:rPr>
                <w:noProof/>
              </w:rPr>
              <w:t xml:space="preserve">人工特征＋</w:t>
            </w:r>
            <w:r>
              <w:rPr>
                <w:i/>
                <w:iCs/>
                <w:noProof/>
              </w:rPr>
              <w:t xml:space="preserve">τ</w:t>
            </w:r>
            <w:r>
              <w:rPr>
                <w:noProof/>
              </w:rPr>
              <w:t xml:space="preserve">＋ΔV</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A2（仅主干）</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left"/>
            </w:pPr>
            <w:r>
              <w:rPr>
                <w:noProof/>
              </w:rPr>
              <w:t xml:space="preserve">1.365～1.637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6/64</w:t>
            </w:r>
          </w:p>
        </w:tc>
      </w:tr>
      <w:tr>
        <w:trPr>
          <w:cantSplit/>
        </w:trPr>
        <w:tc>
          <w:tcPr>
            <w:tcBorders>
              <w:bottom w:val="single" w:sz="12" w:space="0" w:color="000000"/>
            </w:tcBorders>
            <w:vAlign w:val="center"/>
          </w:tcPr>
          <w:p>
            <w:pPr>
              <w:pStyle w:val="TableText"/>
              <w:jc w:val="left"/>
            </w:pPr>
            <w:r>
              <w:rPr>
                <w:noProof/>
              </w:rPr>
              <w:t xml:space="preserve">Nowacki等[28]（复现）</w:t>
            </w:r>
          </w:p>
        </w:tc>
        <w:tc>
          <w:tcPr>
            <w:tcBorders>
              <w:bottom w:val="single" w:sz="12" w:space="0" w:color="000000"/>
            </w:tcBorders>
            <w:vAlign w:val="center"/>
          </w:tcPr>
          <w:p>
            <w:pPr>
              <w:pStyle w:val="TableText"/>
              <w:jc w:val="left"/>
            </w:pPr>
            <w:r>
              <w:rPr>
                <w:noProof/>
              </w:rPr>
              <w:t xml:space="preserve">原始ΔV</w:t>
            </w:r>
          </w:p>
        </w:tc>
        <w:tc>
          <w:tcPr>
            <w:tcBorders>
              <w:bottom w:val="single" w:sz="12" w:space="0" w:color="000000"/>
            </w:tcBorders>
            <w:vAlign w:val="center"/>
          </w:tcPr>
          <w:p>
            <w:pPr>
              <w:pStyle w:val="TableText"/>
              <w:jc w:val="right"/>
            </w:pPr>
            <w:r>
              <w:rPr>
                <w:noProof/>
              </w:rPr>
              <w:t xml:space="preserve">1.628</w:t>
            </w:r>
          </w:p>
        </w:tc>
        <w:tc>
          <w:tcPr>
            <w:tcBorders>
              <w:bottom w:val="single" w:sz="12" w:space="0" w:color="000000"/>
            </w:tcBorders>
            <w:vAlign w:val="center"/>
          </w:tcPr>
          <w:p>
            <w:pPr>
              <w:pStyle w:val="TableText"/>
              <w:jc w:val="left"/>
            </w:pPr>
            <w:r>
              <w:rPr>
                <w:noProof/>
              </w:rPr>
              <w:t xml:space="preserve">1.454～1.820</w:t>
            </w:r>
          </w:p>
        </w:tc>
        <w:tc>
          <w:tcPr>
            <w:tcBorders>
              <w:bottom w:val="single" w:sz="12" w:space="0" w:color="000000"/>
            </w:tcBorders>
            <w:vAlign w:val="center"/>
          </w:tcPr>
          <w:p>
            <w:pPr>
              <w:pStyle w:val="TableText"/>
              <w:jc w:val="right"/>
            </w:pPr>
            <w:r>
              <w:rPr>
                <w:noProof/>
              </w:rPr>
              <w:t xml:space="preserve">+0.128</w:t>
            </w:r>
          </w:p>
        </w:tc>
        <w:tc>
          <w:tcPr>
            <w:tcBorders>
              <w:bottom w:val="single" w:sz="12" w:space="0" w:color="000000"/>
            </w:tcBorders>
            <w:vAlign w:val="center"/>
          </w:tcPr>
          <w:p>
            <w:pPr>
              <w:pStyle w:val="TableText"/>
              <w:jc w:val="right"/>
            </w:pPr>
            <w:r>
              <w:rPr>
                <w:noProof/>
              </w:rPr>
              <w:t xml:space="preserve">+0.251</w:t>
            </w:r>
          </w:p>
        </w:tc>
        <w:tc>
          <w:tcPr>
            <w:tcBorders>
              <w:bottom w:val="single" w:sz="12" w:space="0" w:color="000000"/>
            </w:tcBorders>
            <w:vAlign w:val="center"/>
          </w:tcPr>
          <w:p>
            <w:pPr>
              <w:pStyle w:val="TableText"/>
              <w:jc w:val="right"/>
            </w:pPr>
            <w:r>
              <w:rPr>
                <w:noProof/>
              </w:rPr>
              <w:t xml:space="preserve">0.019</w:t>
            </w:r>
          </w:p>
        </w:tc>
        <w:tc>
          <w:tcPr>
            <w:tcBorders>
              <w:bottom w:val="single" w:sz="12" w:space="0" w:color="000000"/>
            </w:tcBorders>
            <w:vAlign w:val="center"/>
          </w:tcPr>
          <w:p>
            <w:pPr>
              <w:pStyle w:val="TableText"/>
              <w:jc w:val="right"/>
            </w:pPr>
            <w:r>
              <w:rPr>
                <w:noProof/>
              </w:rPr>
              <w:t xml:space="preserve">17/64</w:t>
            </w:r>
          </w:p>
        </w:tc>
      </w:tr>
    </w:tbl>
    <w:p>
      <w:pPr>
        <w:pStyle w:val="TableNote"/>
      </w:pPr>
      <w:r>
        <w:t xml:space="preserve"/>
      </w:r>
      <w:r>
        <w:t xml:space="preserve"> </w:t>
      </w:r>
      <w:r>
        <w:rPr>
          <w:vertAlign w:val="superscript"/>
        </w:rPr>
        <w:t xml:space="preserve">a</w:t>
      </w:r>
      <w:r>
        <w:t xml:space="preserve"> </w:t>
      </w:r>
      <w:r>
        <w:t xml:space="preserve">相对R0。R0与A2的比较属于表5的预设检验族，与复现模型的比较属于补充说明S3中的扩展检验族。</w:t>
      </w:r>
    </w:p>
    <w:bookmarkEnd w:id="58"/>
    <w:bookmarkStart w:id="65" w:name="设计因素的贡献"/>
    <w:p>
      <w:pPr>
        <w:pStyle w:val="Heading2"/>
      </w:pPr>
      <w:r>
        <w:t xml:space="preserve">4.5 设计因素的贡献</w:t>
      </w:r>
    </w:p>
    <w:bookmarkStart w:id="62" w:name="累计循环信息与单调惩罚"/>
    <w:p>
      <w:pPr>
        <w:pStyle w:val="Heading3"/>
      </w:pPr>
      <w:r>
        <w:t xml:space="preserve">4.5.1 累计循环信息与单调惩罚</w:t>
      </w:r>
    </w:p>
    <w:p>
      <w:pPr>
        <w:pStyle w:val="FirstParagraph"/>
      </w:pPr>
      <w:r>
        <w:t xml:space="preserve">在各消融因素中，移除累计循环数造成的误差增幅最大（表5、图6a～c）。两模型均不使用单调惩罚时，保留</w:t>
      </w:r>
      <m:oMath>
        <m:r>
          <m:t>τ</m:t>
        </m:r>
      </m:oMath>
      <w:r>
        <w:t xml:space="preserve">的A3比去掉</w:t>
      </w:r>
      <m:oMath>
        <m:r>
          <m:t>τ</m:t>
        </m:r>
      </m:oMath>
      <w:r>
        <w:t xml:space="preserve">的A4低0.578个百分点（误差降低量区间0.421～0.731；Holm校正后</w:t>
      </w:r>
      <w:r>
        <w:rPr>
          <w:i/>
          <w:iCs/>
        </w:rPr>
        <w:t xml:space="preserve">p</w:t>
      </w:r>
      <w:r>
        <w:t xml:space="preserve"> </w:t>
      </w:r>
      <w:r>
        <w:t xml:space="preserve">&lt; 0.001），64个电芯中有52个改善，即去掉</w:t>
      </w:r>
      <m:oMath>
        <m:r>
          <m:t>τ</m:t>
        </m:r>
      </m:oMath>
      <w:r>
        <w:t xml:space="preserve">使误差增加约41%。因此，循环记录是重要输入。</w:t>
      </w:r>
    </w:p>
    <w:p>
      <w:pPr>
        <w:pStyle w:val="BodyText"/>
      </w:pPr>
      <w:r>
        <w:t xml:space="preserve">单调软约束带来的精度收益较小（图6d～f）：R0比A3低0.028个百分点（误差降低量区间0.018～0.038；Holm校正后</w:t>
      </w:r>
      <w:r>
        <w:rPr>
          <w:i/>
          <w:iCs/>
        </w:rPr>
        <w:t xml:space="preserve">p</w:t>
      </w:r>
      <w:r>
        <w:t xml:space="preserve"> </w:t>
      </w:r>
      <w:r>
        <w:t xml:space="preserve">&lt; 0.001），64个电芯中有46个改善。预测对</w:t>
      </w:r>
      <m:oMath>
        <m:r>
          <m:t>τ</m:t>
        </m:r>
      </m:oMath>
      <w:r>
        <w:t xml:space="preserve">的偏导为正的比例（A3为5.39%，R0为5.61%）以及同一电芯、同一工况下相邻RPT预测上升的比例（分别为26.88%和27.03%）基本不变，因此该惩罚起的是正则化作用，而不能保证退化轨迹单调。</w:t>
      </w:r>
    </w:p>
    <w:p>
      <w:pPr>
        <w:pStyle w:val="CaptionedFigure"/>
      </w:pPr>
      <w:r>
        <w:drawing>
          <wp:inline>
            <wp:extent cx="5334000" cy="4255352"/>
            <wp:effectExtent b="0" l="0" r="0" t="0"/>
            <wp:docPr descr="图6 累计循环信息与单调惩罚的作用。上排：A4（无循环数输入）与A3（有循环数输入）的比较，两者均不使用惩罚。下排：A3（无惩罚）与R0（有惩罚）的比较。(a, d) RMSE；(b, e) MAE；(c, f) 相邻RPT间预测上升的比例。误差分布包含64个测试电芯（在初始化种子间平均）；上升率在同一电芯、名义SOC和脉冲方向内计算，涵盖15次运行。小提琴为限制在观测范围内的核密度；散点为观测值，菱形为均值。上下两排采用不同的纵轴范围。" title="" id="60" name="Picture"/>
            <a:graphic>
              <a:graphicData uri="http://schemas.openxmlformats.org/drawingml/2006/picture">
                <pic:pic>
                  <pic:nvPicPr>
                    <pic:cNvPr descr="figures/fig7_cycle_mono.png" id="61" name="Picture"/>
                    <pic:cNvPicPr>
                      <a:picLocks noChangeArrowheads="1" noChangeAspect="1"/>
                    </pic:cNvPicPr>
                  </pic:nvPicPr>
                  <pic:blipFill>
                    <a:blip r:embed="rId59"/>
                    <a:stretch>
                      <a:fillRect/>
                    </a:stretch>
                  </pic:blipFill>
                  <pic:spPr bwMode="auto">
                    <a:xfrm>
                      <a:off x="0" y="0"/>
                      <a:ext cx="5334000" cy="4255352"/>
                    </a:xfrm>
                    <a:prstGeom prst="rect">
                      <a:avLst/>
                    </a:prstGeom>
                    <a:noFill/>
                    <a:ln w="9525">
                      <a:noFill/>
                      <a:headEnd/>
                      <a:tailEnd/>
                    </a:ln>
                  </pic:spPr>
                </pic:pic>
              </a:graphicData>
            </a:graphic>
          </wp:inline>
        </w:drawing>
      </w:r>
    </w:p>
    <w:p>
      <w:pPr>
        <w:pStyle w:val="ImageCaption"/>
      </w:pPr>
      <w:r>
        <w:rPr>
          <w:b/>
          <w:bCs/>
        </w:rPr>
        <w:t xml:space="preserve">图6</w:t>
      </w:r>
      <w:r>
        <w:t xml:space="preserve"> </w:t>
      </w:r>
      <w:r>
        <w:t xml:space="preserve">累计循环信息与单调惩罚的作用。上排：A4（无循环数输入）与A3（有循环数输入）的比较，两者均不使用惩罚。下排：A3（无惩罚）与R0（有惩罚）的比较。(a, d) RMSE；(b, e) MAE；(c, f) 相邻RPT间预测上升的比例。误差分布包含64个测试电芯（在初始化种子间平均）；上升率在同一电芯、名义SOC和脉冲方向内计算，涵盖15次运行。小提琴为限制在观测范围内的核密度；散点为观测值，菱形为均值。上下两排采用不同的纵轴范围。</w:t>
      </w:r>
    </w:p>
    <w:bookmarkEnd w:id="62"/>
    <w:bookmarkStart w:id="63" w:name="波形分支的设计"/>
    <w:p>
      <w:pPr>
        <w:pStyle w:val="Heading3"/>
      </w:pPr>
      <w:r>
        <w:t xml:space="preserve">4.5.2 波形分支的设计</w:t>
      </w:r>
    </w:p>
    <w:p>
      <w:pPr>
        <w:pStyle w:val="FirstParagraph"/>
      </w:pPr>
      <w:r>
        <w:t xml:space="preserve">在2 × 2片段网格中，R0的(9, 4)配置误差最低（表8；补充图S1）。P1(5, 2)、P2(5, 4)和P3(9, 2)分别使RMSE增加0.072、0.094和0.055个百分点（Holm校正后</w:t>
      </w:r>
      <w:r>
        <w:rPr>
          <w:i/>
          <w:iCs/>
        </w:rPr>
        <w:t xml:space="preserve">p</w:t>
      </w:r>
      <w:r>
        <w:t xml:space="preserve"> </w:t>
      </w:r>
      <w:r>
        <w:t xml:space="preserve">&lt; 0.001），且片段长度与步长存在交互作用：长度为9时步长4更优，长度为5时则步长2更优（差中差为−0.077个百分点，区间−0.100～−0.054）。三项适配中，均值池化头得到明确支持：还原为展平预测头（D1）使误差增加0.062个百分点（0.036～0.089；Holm校正后</w:t>
      </w:r>
      <w:r>
        <w:rPr>
          <w:i/>
          <w:iCs/>
        </w:rPr>
        <w:t xml:space="preserve">p</w:t>
      </w:r>
      <w:r>
        <w:t xml:space="preserve"> </w:t>
      </w:r>
      <w:r>
        <w:t xml:space="preserve">&lt; 0.001），同时参数量增加一倍以上（由19,041增至42,593）。加入RevIN（D2，−0.020个百分点，−0.049～0.005）或采用原始电压（D3，+0.007个百分点，−0.005～0.017）均未检出差异（Holm校正后</w:t>
      </w:r>
      <w:r>
        <w:rPr>
          <w:i/>
          <w:iCs/>
        </w:rPr>
        <w:t xml:space="preserve">p</w:t>
      </w:r>
      <w:r>
        <w:t xml:space="preserve">均为0.345）。以A2为共同参照，六种PatchTST变体均使误差降低0.028～0.143个百分点（64个电芯中40～57个改善），说明该增量并不局限于单一片段设置。</w:t>
      </w:r>
    </w:p>
    <w:p>
      <w:pPr>
        <w:pStyle w:val="TableCaption"/>
      </w:pPr>
      <w:r>
        <w:rPr>
          <w:b/>
        </w:rPr>
        <w:t xml:space="preserve">表8　</w:t>
      </w:r>
      <w:r>
        <w:rPr/>
        <w:t xml:space="preserve">PatchTST片段参数与适配消融结果（SOH百分点）</w:t>
      </w:r>
    </w:p>
    <w:tbl>
      <w:tblPr>
        <w:tblW w:type="pct" w:w="5000"/>
        <w:jc w:val="center"/>
        <w:tblLayout w:type="fixed"/>
        <w:tblCellMar>
          <w:top w:w="15" w:type="dxa"/>
          <w:left w:w="60" w:type="dxa"/>
          <w:bottom w:w="15" w:type="dxa"/>
          <w:right w:w="60" w:type="dxa"/>
        </w:tblCellMar>
        <w:tblCaption w:val="PatchTST片段参数与适配消融结果（SOH百分点）"/>
      </w:tblPr>
      <w:tblGrid>
        <w:gridCol w:w="674"/>
        <w:gridCol w:w="1853"/>
        <w:gridCol w:w="589"/>
        <w:gridCol w:w="926"/>
        <w:gridCol w:w="758"/>
        <w:gridCol w:w="674"/>
        <w:gridCol w:w="1011"/>
        <w:gridCol w:w="589"/>
        <w:gridCol w:w="842"/>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配置</w:t>
            </w:r>
          </w:p>
        </w:tc>
        <w:tc>
          <w:tcPr>
            <w:tcBorders>
              <w:top w:val="single" w:sz="12" w:space="0" w:color="000000"/>
              <w:bottom w:val="single" w:sz="6" w:space="0" w:color="000000"/>
            </w:tcBorders>
            <w:vAlign w:val="center"/>
          </w:tcPr>
          <w:p>
            <w:pPr>
              <w:pStyle w:val="TableText"/>
              <w:jc w:val="left"/>
            </w:pPr>
            <w:r>
              <w:rPr>
                <w:b/>
                <w:noProof/>
              </w:rPr>
              <w:t xml:space="preserve">与R0的差别</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参数量</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ΔRMSE的95%置信区间</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R0更优的电芯</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片段(9, 4)，均值池化头，不用RevIN，ΔV输入</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P1</w:t>
            </w:r>
          </w:p>
        </w:tc>
        <w:tc>
          <w:tcPr>
            <w:tcBorders/>
            <w:vAlign w:val="center"/>
          </w:tcPr>
          <w:p>
            <w:pPr>
              <w:pStyle w:val="TableText"/>
              <w:jc w:val="left"/>
            </w:pPr>
            <w:r>
              <w:rPr>
                <w:noProof/>
              </w:rPr>
              <w:t xml:space="preserve">片段(5, 2)</w:t>
            </w:r>
          </w:p>
        </w:tc>
        <w:tc>
          <w:tcPr>
            <w:tcBorders/>
            <w:vAlign w:val="center"/>
          </w:tcPr>
          <w:p>
            <w:pPr>
              <w:pStyle w:val="TableText"/>
              <w:jc w:val="right"/>
            </w:pPr>
            <w:r>
              <w:rPr>
                <w:noProof/>
              </w:rPr>
              <w:t xml:space="preserve">1.449</w:t>
            </w:r>
          </w:p>
        </w:tc>
        <w:tc>
          <w:tcPr>
            <w:tcBorders/>
            <w:vAlign w:val="center"/>
          </w:tcPr>
          <w:p>
            <w:pPr>
              <w:pStyle w:val="TableText"/>
              <w:jc w:val="left"/>
            </w:pPr>
            <w:r>
              <w:rPr>
                <w:noProof/>
              </w:rPr>
              <w:t xml:space="preserve">1.315～1.585</w:t>
            </w:r>
          </w:p>
        </w:tc>
        <w:tc>
          <w:tcPr>
            <w:tcBorders/>
            <w:vAlign w:val="center"/>
          </w:tcPr>
          <w:p>
            <w:pPr>
              <w:pStyle w:val="TableText"/>
              <w:jc w:val="right"/>
            </w:pPr>
            <w:r>
              <w:rPr>
                <w:noProof/>
              </w:rPr>
              <w:t xml:space="preserve">19,713</w:t>
            </w:r>
          </w:p>
        </w:tc>
        <w:tc>
          <w:tcPr>
            <w:tcBorders/>
            <w:vAlign w:val="center"/>
          </w:tcPr>
          <w:p>
            <w:pPr>
              <w:pStyle w:val="TableText"/>
              <w:jc w:val="right"/>
            </w:pPr>
            <w:r>
              <w:rPr>
                <w:noProof/>
              </w:rPr>
              <w:t xml:space="preserve">+0.072</w:t>
            </w:r>
          </w:p>
        </w:tc>
        <w:tc>
          <w:tcPr>
            <w:tcBorders/>
            <w:vAlign w:val="center"/>
          </w:tcPr>
          <w:p>
            <w:pPr>
              <w:pStyle w:val="TableText"/>
              <w:jc w:val="left"/>
            </w:pPr>
            <w:r>
              <w:rPr>
                <w:noProof/>
              </w:rPr>
              <w:t xml:space="preserve">0.050～0.094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51/64</w:t>
            </w:r>
          </w:p>
        </w:tc>
      </w:tr>
      <w:tr>
        <w:trPr>
          <w:cantSplit/>
        </w:trPr>
        <w:tc>
          <w:tcPr>
            <w:tcBorders/>
            <w:vAlign w:val="center"/>
          </w:tcPr>
          <w:p>
            <w:pPr>
              <w:pStyle w:val="TableText"/>
              <w:jc w:val="left"/>
            </w:pPr>
            <w:r>
              <w:rPr>
                <w:noProof/>
              </w:rPr>
              <w:t xml:space="preserve">P2</w:t>
            </w:r>
          </w:p>
        </w:tc>
        <w:tc>
          <w:tcPr>
            <w:tcBorders/>
            <w:vAlign w:val="center"/>
          </w:tcPr>
          <w:p>
            <w:pPr>
              <w:pStyle w:val="TableText"/>
              <w:jc w:val="left"/>
            </w:pPr>
            <w:r>
              <w:rPr>
                <w:noProof/>
              </w:rPr>
              <w:t xml:space="preserve">片段(5, 4)</w:t>
            </w:r>
          </w:p>
        </w:tc>
        <w:tc>
          <w:tcPr>
            <w:tcBorders/>
            <w:vAlign w:val="center"/>
          </w:tcPr>
          <w:p>
            <w:pPr>
              <w:pStyle w:val="TableText"/>
              <w:jc w:val="right"/>
            </w:pPr>
            <w:r>
              <w:rPr>
                <w:noProof/>
              </w:rPr>
              <w:t xml:space="preserve">1.472</w:t>
            </w:r>
          </w:p>
        </w:tc>
        <w:tc>
          <w:tcPr>
            <w:tcBorders/>
            <w:vAlign w:val="center"/>
          </w:tcPr>
          <w:p>
            <w:pPr>
              <w:pStyle w:val="TableText"/>
              <w:jc w:val="left"/>
            </w:pPr>
            <w:r>
              <w:rPr>
                <w:noProof/>
              </w:rPr>
              <w:t xml:space="preserve">1.341～1.611</w:t>
            </w:r>
          </w:p>
        </w:tc>
        <w:tc>
          <w:tcPr>
            <w:tcBorders/>
            <w:vAlign w:val="center"/>
          </w:tcPr>
          <w:p>
            <w:pPr>
              <w:pStyle w:val="TableText"/>
              <w:jc w:val="right"/>
            </w:pPr>
            <w:r>
              <w:rPr>
                <w:noProof/>
              </w:rPr>
              <w:t xml:space="preserve">18,945</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0.080～0.109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P3</w:t>
            </w:r>
          </w:p>
        </w:tc>
        <w:tc>
          <w:tcPr>
            <w:tcBorders/>
            <w:vAlign w:val="center"/>
          </w:tcPr>
          <w:p>
            <w:pPr>
              <w:pStyle w:val="TableText"/>
              <w:jc w:val="left"/>
            </w:pPr>
            <w:r>
              <w:rPr>
                <w:noProof/>
              </w:rPr>
              <w:t xml:space="preserve">片段(9, 2)</w:t>
            </w:r>
          </w:p>
        </w:tc>
        <w:tc>
          <w:tcPr>
            <w:tcBorders/>
            <w:vAlign w:val="center"/>
          </w:tcPr>
          <w:p>
            <w:pPr>
              <w:pStyle w:val="TableText"/>
              <w:jc w:val="right"/>
            </w:pPr>
            <w:r>
              <w:rPr>
                <w:noProof/>
              </w:rPr>
              <w:t xml:space="preserve">1.432</w:t>
            </w:r>
          </w:p>
        </w:tc>
        <w:tc>
          <w:tcPr>
            <w:tcBorders/>
            <w:vAlign w:val="center"/>
          </w:tcPr>
          <w:p>
            <w:pPr>
              <w:pStyle w:val="TableText"/>
              <w:jc w:val="left"/>
            </w:pPr>
            <w:r>
              <w:rPr>
                <w:noProof/>
              </w:rPr>
              <w:t xml:space="preserve">1.297～1.570</w:t>
            </w:r>
          </w:p>
        </w:tc>
        <w:tc>
          <w:tcPr>
            <w:tcBorders/>
            <w:vAlign w:val="center"/>
          </w:tcPr>
          <w:p>
            <w:pPr>
              <w:pStyle w:val="TableText"/>
              <w:jc w:val="right"/>
            </w:pPr>
            <w:r>
              <w:rPr>
                <w:noProof/>
              </w:rPr>
              <w:t xml:space="preserve">19,777</w:t>
            </w:r>
          </w:p>
        </w:tc>
        <w:tc>
          <w:tcPr>
            <w:tcBorders/>
            <w:vAlign w:val="center"/>
          </w:tcPr>
          <w:p>
            <w:pPr>
              <w:pStyle w:val="TableText"/>
              <w:jc w:val="right"/>
            </w:pPr>
            <w:r>
              <w:rPr>
                <w:noProof/>
              </w:rPr>
              <w:t xml:space="preserve">+0.055</w:t>
            </w:r>
          </w:p>
        </w:tc>
        <w:tc>
          <w:tcPr>
            <w:tcBorders/>
            <w:vAlign w:val="center"/>
          </w:tcPr>
          <w:p>
            <w:pPr>
              <w:pStyle w:val="TableText"/>
              <w:jc w:val="left"/>
            </w:pPr>
            <w:r>
              <w:rPr>
                <w:noProof/>
              </w:rPr>
              <w:t xml:space="preserve">0.038～0.071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D1</w:t>
            </w:r>
          </w:p>
        </w:tc>
        <w:tc>
          <w:tcPr>
            <w:tcBorders/>
            <w:vAlign w:val="center"/>
          </w:tcPr>
          <w:p>
            <w:pPr>
              <w:pStyle w:val="TableText"/>
              <w:jc w:val="left"/>
            </w:pPr>
            <w:r>
              <w:rPr>
                <w:noProof/>
              </w:rPr>
              <w:t xml:space="preserve">展平预测头</w:t>
            </w:r>
          </w:p>
        </w:tc>
        <w:tc>
          <w:tcPr>
            <w:tcBorders/>
            <w:vAlign w:val="center"/>
          </w:tcPr>
          <w:p>
            <w:pPr>
              <w:pStyle w:val="TableText"/>
              <w:jc w:val="right"/>
            </w:pPr>
            <w:r>
              <w:rPr>
                <w:noProof/>
              </w:rPr>
              <w:t xml:space="preserve">1.440</w:t>
            </w:r>
          </w:p>
        </w:tc>
        <w:tc>
          <w:tcPr>
            <w:tcBorders/>
            <w:vAlign w:val="center"/>
          </w:tcPr>
          <w:p>
            <w:pPr>
              <w:pStyle w:val="TableText"/>
              <w:jc w:val="left"/>
            </w:pPr>
            <w:r>
              <w:rPr>
                <w:noProof/>
              </w:rPr>
              <w:t xml:space="preserve">1.304～1.585</w:t>
            </w:r>
          </w:p>
        </w:tc>
        <w:tc>
          <w:tcPr>
            <w:tcBorders/>
            <w:vAlign w:val="center"/>
          </w:tcPr>
          <w:p>
            <w:pPr>
              <w:pStyle w:val="TableText"/>
              <w:jc w:val="right"/>
            </w:pPr>
            <w:r>
              <w:rPr>
                <w:noProof/>
              </w:rPr>
              <w:t xml:space="preserve">42,593</w:t>
            </w:r>
          </w:p>
        </w:tc>
        <w:tc>
          <w:tcPr>
            <w:tcBorders/>
            <w:vAlign w:val="center"/>
          </w:tcPr>
          <w:p>
            <w:pPr>
              <w:pStyle w:val="TableText"/>
              <w:jc w:val="right"/>
            </w:pPr>
            <w:r>
              <w:rPr>
                <w:noProof/>
              </w:rPr>
              <w:t xml:space="preserve">+0.062</w:t>
            </w:r>
          </w:p>
        </w:tc>
        <w:tc>
          <w:tcPr>
            <w:tcBorders/>
            <w:vAlign w:val="center"/>
          </w:tcPr>
          <w:p>
            <w:pPr>
              <w:pStyle w:val="TableText"/>
              <w:jc w:val="left"/>
            </w:pPr>
            <w:r>
              <w:rPr>
                <w:noProof/>
              </w:rPr>
              <w:t xml:space="preserve">0.036～0.089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D2</w:t>
            </w:r>
          </w:p>
        </w:tc>
        <w:tc>
          <w:tcPr>
            <w:tcBorders/>
            <w:vAlign w:val="center"/>
          </w:tcPr>
          <w:p>
            <w:pPr>
              <w:pStyle w:val="TableText"/>
              <w:jc w:val="left"/>
            </w:pPr>
            <w:r>
              <w:rPr>
                <w:noProof/>
              </w:rPr>
              <w:t xml:space="preserve">加入RevIN</w:t>
            </w:r>
          </w:p>
        </w:tc>
        <w:tc>
          <w:tcPr>
            <w:tcBorders/>
            <w:vAlign w:val="center"/>
          </w:tcPr>
          <w:p>
            <w:pPr>
              <w:pStyle w:val="TableText"/>
              <w:jc w:val="right"/>
            </w:pPr>
            <w:r>
              <w:rPr>
                <w:noProof/>
              </w:rPr>
              <w:t xml:space="preserve">1.357</w:t>
            </w:r>
          </w:p>
        </w:tc>
        <w:tc>
          <w:tcPr>
            <w:tcBorders/>
            <w:vAlign w:val="center"/>
          </w:tcPr>
          <w:p>
            <w:pPr>
              <w:pStyle w:val="TableText"/>
              <w:jc w:val="left"/>
            </w:pPr>
            <w:r>
              <w:rPr>
                <w:noProof/>
              </w:rPr>
              <w:t xml:space="preserve">1.229～1.491</w:t>
            </w:r>
          </w:p>
        </w:tc>
        <w:tc>
          <w:tcPr>
            <w:tcBorders/>
            <w:vAlign w:val="center"/>
          </w:tcPr>
          <w:p>
            <w:pPr>
              <w:pStyle w:val="TableText"/>
              <w:jc w:val="right"/>
            </w:pPr>
            <w:r>
              <w:rPr>
                <w:noProof/>
              </w:rPr>
              <w:t xml:space="preserve">19,043</w:t>
            </w:r>
          </w:p>
        </w:tc>
        <w:tc>
          <w:tcPr>
            <w:tcBorders/>
            <w:vAlign w:val="center"/>
          </w:tcPr>
          <w:p>
            <w:pPr>
              <w:pStyle w:val="TableText"/>
              <w:jc w:val="right"/>
            </w:pPr>
            <w:r>
              <w:rPr>
                <w:noProof/>
              </w:rPr>
              <w:t xml:space="preserve">−0.020</w:t>
            </w:r>
          </w:p>
        </w:tc>
        <w:tc>
          <w:tcPr>
            <w:tcBorders/>
            <w:vAlign w:val="center"/>
          </w:tcPr>
          <w:p>
            <w:pPr>
              <w:pStyle w:val="TableText"/>
              <w:jc w:val="left"/>
            </w:pPr>
            <w:r>
              <w:rPr>
                <w:noProof/>
              </w:rPr>
              <w:t xml:space="preserve">−0.049～0.005</w:t>
            </w:r>
          </w:p>
        </w:tc>
        <w:tc>
          <w:tcPr>
            <w:tcBorders/>
            <w:vAlign w:val="center"/>
          </w:tcPr>
          <w:p>
            <w:pPr>
              <w:pStyle w:val="TableText"/>
              <w:jc w:val="right"/>
            </w:pPr>
            <w:r>
              <w:rPr>
                <w:noProof/>
              </w:rPr>
              <w:t xml:space="preserve">0.345</w:t>
            </w:r>
          </w:p>
        </w:tc>
        <w:tc>
          <w:tcPr>
            <w:tcBorders/>
            <w:vAlign w:val="center"/>
          </w:tcPr>
          <w:p>
            <w:pPr>
              <w:pStyle w:val="TableText"/>
              <w:jc w:val="right"/>
            </w:pPr>
            <w:r>
              <w:rPr>
                <w:noProof/>
              </w:rPr>
              <w:t xml:space="preserve">28/64</w:t>
            </w:r>
          </w:p>
        </w:tc>
      </w:tr>
      <w:tr>
        <w:trPr>
          <w:cantSplit/>
        </w:trPr>
        <w:tc>
          <w:tcPr>
            <w:tcBorders>
              <w:bottom w:val="single" w:sz="12" w:space="0" w:color="000000"/>
            </w:tcBorders>
            <w:vAlign w:val="center"/>
          </w:tcPr>
          <w:p>
            <w:pPr>
              <w:pStyle w:val="TableText"/>
              <w:jc w:val="left"/>
            </w:pPr>
            <w:r>
              <w:rPr>
                <w:noProof/>
              </w:rPr>
              <w:t xml:space="preserve">D3</w:t>
            </w:r>
          </w:p>
        </w:tc>
        <w:tc>
          <w:tcPr>
            <w:tcBorders>
              <w:bottom w:val="single" w:sz="12" w:space="0" w:color="000000"/>
            </w:tcBorders>
            <w:vAlign w:val="center"/>
          </w:tcPr>
          <w:p>
            <w:pPr>
              <w:pStyle w:val="TableText"/>
              <w:jc w:val="left"/>
            </w:pPr>
            <w:r>
              <w:rPr>
                <w:noProof/>
              </w:rPr>
              <w:t xml:space="preserve">原始电压输入</w:t>
            </w:r>
          </w:p>
        </w:tc>
        <w:tc>
          <w:tcPr>
            <w:tcBorders>
              <w:bottom w:val="single" w:sz="12" w:space="0" w:color="000000"/>
            </w:tcBorders>
            <w:vAlign w:val="center"/>
          </w:tcPr>
          <w:p>
            <w:pPr>
              <w:pStyle w:val="TableText"/>
              <w:jc w:val="right"/>
            </w:pPr>
            <w:r>
              <w:rPr>
                <w:noProof/>
              </w:rPr>
              <w:t xml:space="preserve">1.384</w:t>
            </w:r>
          </w:p>
        </w:tc>
        <w:tc>
          <w:tcPr>
            <w:tcBorders>
              <w:bottom w:val="single" w:sz="12" w:space="0" w:color="000000"/>
            </w:tcBorders>
            <w:vAlign w:val="center"/>
          </w:tcPr>
          <w:p>
            <w:pPr>
              <w:pStyle w:val="TableText"/>
              <w:jc w:val="left"/>
            </w:pPr>
            <w:r>
              <w:rPr>
                <w:noProof/>
              </w:rPr>
              <w:t xml:space="preserve">1.253～1.518</w:t>
            </w:r>
          </w:p>
        </w:tc>
        <w:tc>
          <w:tcPr>
            <w:tcBorders>
              <w:bottom w:val="single" w:sz="12" w:space="0" w:color="000000"/>
            </w:tcBorders>
            <w:vAlign w:val="center"/>
          </w:tcPr>
          <w:p>
            <w:pPr>
              <w:pStyle w:val="TableText"/>
              <w:jc w:val="right"/>
            </w:pPr>
            <w:r>
              <w:rPr>
                <w:noProof/>
              </w:rPr>
              <w:t xml:space="preserve">19,041</w:t>
            </w:r>
          </w:p>
        </w:tc>
        <w:tc>
          <w:tcPr>
            <w:tcBorders>
              <w:bottom w:val="single" w:sz="12" w:space="0" w:color="000000"/>
            </w:tcBorders>
            <w:vAlign w:val="center"/>
          </w:tcPr>
          <w:p>
            <w:pPr>
              <w:pStyle w:val="TableText"/>
              <w:jc w:val="right"/>
            </w:pPr>
            <w:r>
              <w:rPr>
                <w:noProof/>
              </w:rPr>
              <w:t xml:space="preserve">+0.007</w:t>
            </w:r>
          </w:p>
        </w:tc>
        <w:tc>
          <w:tcPr>
            <w:tcBorders>
              <w:bottom w:val="single" w:sz="12" w:space="0" w:color="000000"/>
            </w:tcBorders>
            <w:vAlign w:val="center"/>
          </w:tcPr>
          <w:p>
            <w:pPr>
              <w:pStyle w:val="TableText"/>
              <w:jc w:val="left"/>
            </w:pPr>
            <w:r>
              <w:rPr>
                <w:noProof/>
              </w:rPr>
              <w:t xml:space="preserve">−0.005～0.017</w:t>
            </w:r>
          </w:p>
        </w:tc>
        <w:tc>
          <w:tcPr>
            <w:tcBorders>
              <w:bottom w:val="single" w:sz="12" w:space="0" w:color="000000"/>
            </w:tcBorders>
            <w:vAlign w:val="center"/>
          </w:tcPr>
          <w:p>
            <w:pPr>
              <w:pStyle w:val="TableText"/>
              <w:jc w:val="right"/>
            </w:pPr>
            <w:r>
              <w:rPr>
                <w:noProof/>
              </w:rPr>
              <w:t xml:space="preserve">0.345</w:t>
            </w:r>
          </w:p>
        </w:tc>
        <w:tc>
          <w:tcPr>
            <w:tcBorders>
              <w:bottom w:val="single" w:sz="12" w:space="0" w:color="000000"/>
            </w:tcBorders>
            <w:vAlign w:val="center"/>
          </w:tcPr>
          <w:p>
            <w:pPr>
              <w:pStyle w:val="TableText"/>
              <w:jc w:val="right"/>
            </w:pPr>
            <w:r>
              <w:rPr>
                <w:noProof/>
              </w:rPr>
              <w:t xml:space="preserve">41/64</w:t>
            </w:r>
          </w:p>
        </w:tc>
      </w:tr>
    </w:tbl>
    <w:p>
      <w:pPr>
        <w:pStyle w:val="TableNote"/>
      </w:pPr>
      <w:r>
        <w:t xml:space="preserve">ΔRMSE为该配置减R0，正值表示R0的对应设计有益。片段配置（P1～P3）与适配消融（D1～D3）分属两个检验族，各自在3项比较内实施Holm校正。</w:t>
      </w:r>
    </w:p>
    <w:bookmarkEnd w:id="63"/>
    <w:bookmarkStart w:id="64" w:name="人工特征数量"/>
    <w:p>
      <w:pPr>
        <w:pStyle w:val="Heading3"/>
      </w:pPr>
      <w:r>
        <w:t xml:space="preserve">4.5.3 人工特征数量</w:t>
      </w:r>
    </w:p>
    <w:p>
      <w:pPr>
        <w:pStyle w:val="FirstParagraph"/>
      </w:pPr>
      <w:r>
        <w:t xml:space="preserve">在当前候选集内，结果支持采用</w:t>
      </w:r>
      <m:oMath>
        <m:r>
          <m:t>K</m:t>
        </m:r>
        <m:r>
          <m:rPr>
            <m:sty m:val="p"/>
          </m:rPr>
          <m:t>=</m:t>
        </m:r>
        <m:r>
          <m:t>50</m:t>
        </m:r>
      </m:oMath>
      <w:r>
        <w:t xml:space="preserve">（补充表S5、补充图S2）。</w:t>
      </w:r>
      <m:oMath>
        <m:r>
          <m:t>K</m:t>
        </m:r>
      </m:oMath>
      <w:r>
        <w:t xml:space="preserve"> </w:t>
      </w:r>
      <w:r>
        <w:t xml:space="preserve">= 10、20和30分别使RMSE增加0.139、0.122和0.091个百分点（Holm校正后</w:t>
      </w:r>
      <w:r>
        <w:rPr>
          <w:i/>
          <w:iCs/>
        </w:rPr>
        <w:t xml:space="preserve">p</w:t>
      </w:r>
      <w:r>
        <w:t xml:space="preserve"> </w:t>
      </w:r>
      <w:r>
        <w:t xml:space="preserve">= 0.001），</w:t>
      </w:r>
      <m:oMath>
        <m:r>
          <m:t>K</m:t>
        </m:r>
      </m:oMath>
      <w:r>
        <w:t xml:space="preserve"> </w:t>
      </w:r>
      <w:r>
        <w:t xml:space="preserve">= 75和100略差（+0.037和+0.041个百分点；Holm校正后</w:t>
      </w:r>
      <w:r>
        <w:rPr>
          <w:i/>
          <w:iCs/>
        </w:rPr>
        <w:t xml:space="preserve">p</w:t>
      </w:r>
      <w:r>
        <w:t xml:space="preserve"> </w:t>
      </w:r>
      <w:r>
        <w:t xml:space="preserve">= 0.002），而</w:t>
      </w:r>
      <m:oMath>
        <m:r>
          <m:t>K</m:t>
        </m:r>
        <m:r>
          <m:rPr>
            <m:sty m:val="p"/>
          </m:rPr>
          <m:t>=</m:t>
        </m:r>
        <m:r>
          <m:t>144</m:t>
        </m:r>
      </m:oMath>
      <w:r>
        <w:t xml:space="preserve">与</w:t>
      </w:r>
      <m:oMath>
        <m:r>
          <m:t>K</m:t>
        </m:r>
        <m:r>
          <m:rPr>
            <m:sty m:val="p"/>
          </m:rPr>
          <m:t>=</m:t>
        </m:r>
        <m:r>
          <m:t>50</m:t>
        </m:r>
      </m:oMath>
      <w:r>
        <w:t xml:space="preserve">之间未检出差异（−0.002个百分点，区间−0.019～0.015；Holm校正后</w:t>
      </w:r>
      <w:r>
        <w:rPr>
          <w:i/>
          <w:iCs/>
        </w:rPr>
        <w:t xml:space="preserve">p</w:t>
      </w:r>
      <w:r>
        <w:t xml:space="preserve"> </w:t>
      </w:r>
      <w:r>
        <w:t xml:space="preserve">= 0.838），参数量却多31.6%。因此，</w:t>
      </w:r>
      <m:oMath>
        <m:r>
          <m:t>K</m:t>
        </m:r>
        <m:r>
          <m:rPr>
            <m:sty m:val="p"/>
          </m:rPr>
          <m:t>=</m:t>
        </m:r>
        <m:r>
          <m:t>50</m:t>
        </m:r>
      </m:oMath>
      <w:r>
        <w:t xml:space="preserve">是兼顾精度与输入规模的折中选择。</w:t>
      </w:r>
    </w:p>
    <w:bookmarkEnd w:id="64"/>
    <w:bookmarkEnd w:id="65"/>
    <w:bookmarkStart w:id="69" w:name="泛化性稳健性与部署"/>
    <w:p>
      <w:pPr>
        <w:pStyle w:val="Heading2"/>
      </w:pPr>
      <w:r>
        <w:t xml:space="preserve">4.6 泛化性、稳健性与部署</w:t>
      </w:r>
    </w:p>
    <w:p>
      <w:pPr>
        <w:pStyle w:val="FirstParagraph"/>
      </w:pPr>
      <w:r>
        <w:t xml:space="preserve">除NMC/石墨数据集采用原实现外，本节实验采用3.5.3节所述的CPU复现实现。该实现完全复现了数据清洗结果，所得误差也与报告值高度接近，并再现了波形增量的符号与显著性（R0 − A2 = −0.046个百分点，区间−0.070～−0.023；</w:t>
      </w:r>
      <w:r>
        <w:rPr>
          <w:i/>
          <w:iCs/>
        </w:rPr>
        <w:t xml:space="preserve">p</w:t>
      </w:r>
      <w:r>
        <w:t xml:space="preserve"> </w:t>
      </w:r>
      <w:r>
        <w:t xml:space="preserve">&lt; 0.001；64个电芯中42个改善）以及估计效果最好与最差的电芯（分别为电芯12和3）。以下比较均在该实现内部进行（表9、图7）。</w:t>
      </w:r>
    </w:p>
    <w:p>
      <w:pPr>
        <w:pStyle w:val="BodyText"/>
      </w:pPr>
      <w:r>
        <w:rPr>
          <w:i/>
          <w:iCs/>
        </w:rPr>
        <w:t xml:space="preserve">未见循环工况。</w:t>
      </w:r>
      <w:r>
        <w:t xml:space="preserve">将各循环工况组整体留出时，神经网络模型的误差仅温和上升（R0由1.427增至1.560个百分点，+9.3%；A2为+8.2%）（图6a）。波形增量在未见工况下依然存在（R0 − A2 = −0.035个百分点，区间−0.053～−0.015；</w:t>
      </w:r>
      <w:r>
        <w:rPr>
          <w:i/>
          <w:iCs/>
        </w:rPr>
        <w:t xml:space="preserve">p</w:t>
      </w:r>
      <w:r>
        <w:t xml:space="preserve"> </w:t>
      </w:r>
      <w:r>
        <w:t xml:space="preserve">= 0.008；64个电芯中39个改善），且在11个留出组中有7组R0的组均误差低于A2。</w:t>
      </w:r>
    </w:p>
    <w:p>
      <w:pPr>
        <w:pStyle w:val="BodyText"/>
      </w:pPr>
      <w:r>
        <w:rPr>
          <w:i/>
          <w:iCs/>
        </w:rPr>
        <w:t xml:space="preserve">独立化学体系。</w:t>
      </w:r>
      <w:r>
        <w:t xml:space="preserve">在NMC/石墨数据集上（原实现，5折×3个种子），R0的电芯宏平均RMSE为1.968个百分点（95%置信区间1.728～2.236），A2为2.132个百分点：R0 − A2 = −0.163个百分点（Holm校正后</w:t>
      </w:r>
      <w:r>
        <w:rPr>
          <w:i/>
          <w:iCs/>
        </w:rPr>
        <w:t xml:space="preserve">p</w:t>
      </w:r>
      <w:r>
        <w:t xml:space="preserve"> </w:t>
      </w:r>
      <w:r>
        <w:t xml:space="preserve">= 0.0004），44个电芯中39个改善，误差降低7.6%，与LFP上的8.2%相近，且在5个外层折和3个初始化种子中均为负值；去掉人工特征主干的A1为2.468个百分点。因此，波形增量在第二种电极体系上得到重复验证。与LFP相同，波形分支减小了低SOH端的高估：SOH低于60%时，平均偏差由A2的4.1个百分点降至R0的3.3个百分点。</w:t>
      </w:r>
    </w:p>
    <w:p>
      <w:pPr>
        <w:pStyle w:val="BodyText"/>
      </w:pPr>
      <w:r>
        <w:rPr>
          <w:i/>
          <w:iCs/>
        </w:rPr>
        <w:t xml:space="preserve">波形分支补充的信息。</w:t>
      </w:r>
      <w:r>
        <w:t xml:space="preserve">NMC的开路电压曲线具有斜率，容量衰减使脉冲时的实际SOC偏离名义值，因而脉冲前电压本身随SOH变化：六种工况下其与SOH的Spearman相关系数绝对值平均为0.93，而LFP仅为0.36。波形分支输入的是首点作差电压ΔV，不含这一绝对电压水平，补充的是脉冲过程中的动态响应。若主干特征包含脉冲前电压、电压分位数等绝对电压水平量，两路信息会部分重叠：在复现实现中，主干含这类特征时NMC上的波形增量消失（+0.004个百分点），将其从候选特征中移除后增量恢复为−0.158个百分点（区间−0.205～−0.112，</w:t>
      </w:r>
      <w:r>
        <w:rPr>
          <w:i/>
          <w:iCs/>
        </w:rPr>
        <w:t xml:space="preserve">p</w:t>
      </w:r>
      <w:r>
        <w:t xml:space="preserve"> </w:t>
      </w:r>
      <w:r>
        <w:t xml:space="preserve">&lt; 0.001，44个电芯中36个改善），与原实现的结果一致（补充说明S4）。由此可见，波形分支提供的是绝对电压水平之外的动态信息，而非重复人工特征已有的内容。</w:t>
      </w:r>
    </w:p>
    <w:p>
      <w:pPr>
        <w:pStyle w:val="BodyText"/>
      </w:pPr>
      <w:r>
        <w:rPr>
          <w:i/>
          <w:iCs/>
        </w:rPr>
        <w:t xml:space="preserve">循环数误差与传感器噪声。</w:t>
      </w:r>
      <w:r>
        <w:t xml:space="preserve">循环数存在±10%的系统误差时，R0的误差仅增加1.5%～3.5%（1.449和1.477个百分点），且波形增量依然存在（−0.048和−0.041个百分点；</w:t>
      </w:r>
      <w:r>
        <w:rPr>
          <w:i/>
          <w:iCs/>
        </w:rPr>
        <w:t xml:space="preserve">p</w:t>
      </w:r>
      <w:r>
        <w:t xml:space="preserve"> </w:t>
      </w:r>
      <w:r>
        <w:t xml:space="preserve">≤ 0.002）（图7b）。在训练与测试数据中加入匹配的传感器噪声时，精度平缓下降：σ</w:t>
      </w:r>
      <w:r>
        <w:rPr>
          <w:vertAlign w:val="subscript"/>
        </w:rPr>
        <w:t xml:space="preserve">noise</w:t>
      </w:r>
      <w:r>
        <w:t xml:space="preserve"> </w:t>
      </w:r>
      <w:r>
        <w:t xml:space="preserve">= 1和2 mV时，R0的误差分别为1.620和1.715个百分点（+13.5%和+20.2%），波形增量依然保持（−0.058个百分点，64个电芯中50个改善；−0.045个百分点，64个电芯中46个改善；</w:t>
      </w:r>
      <w:r>
        <w:rPr>
          <w:i/>
          <w:iCs/>
        </w:rPr>
        <w:t xml:space="preserve">p</w:t>
      </w:r>
      <w:r>
        <w:t xml:space="preserve"> </w:t>
      </w:r>
      <w:r>
        <w:t xml:space="preserve">≤ 0.002）。</w:t>
      </w:r>
    </w:p>
    <w:p>
      <w:pPr>
        <w:pStyle w:val="BodyText"/>
      </w:pPr>
      <w:r>
        <w:rPr>
          <w:i/>
          <w:iCs/>
        </w:rPr>
        <w:t xml:space="preserve">脉冲数。</w:t>
      </w:r>
      <w:r>
        <w:t xml:space="preserve">每个RPT仅用单个脉冲时，R0在六种工况上的平均误差为1.549个百分点（1.490～1.582个百分点）；使用两个和三个脉冲时分别为1.477和1.453个百分点，使用全部六个脉冲时为1.427个百分点（图7c），且在各脉冲数下R0的误差均低于A2。仅用三个充电脉冲即可达到1.432个百分点，与完整协议相差不超过0.005个百分点；因此诊断时间可减半，且这些脉冲可如文献[16]针对车辆所提出的那样在充电过程中施加。</w:t>
      </w:r>
    </w:p>
    <w:p>
      <w:pPr>
        <w:pStyle w:val="BodyText"/>
      </w:pPr>
      <w:r>
        <w:rPr>
          <w:i/>
          <w:iCs/>
        </w:rPr>
        <w:t xml:space="preserve">归因。</w:t>
      </w:r>
      <w:r>
        <w:t xml:space="preserve">积分梯度显示，R0的波形归因几乎均匀地分布于整个响应：C/5、1C和静置段中每个采样点的平均绝对归因分别为0.0132、0.0138和0.0135个百分点，六种工况的分布形态相同（图7d）。因此，波形补充利用的是整个瞬态的形状，而非某个可由单一人工描述量单独刻画的区段，这与其捕捉跨区段信息的预期作用一致。</w:t>
      </w:r>
    </w:p>
    <w:p>
      <w:pPr>
        <w:pStyle w:val="BodyText"/>
      </w:pPr>
      <w:r>
        <w:rPr>
          <w:i/>
          <w:iCs/>
        </w:rPr>
        <w:t xml:space="preserve">计算开销。</w:t>
      </w:r>
      <w:r>
        <w:t xml:space="preserve">R0共有19,041个参数（以32位浮点数存储为74 kB），每个脉冲需0.42 MFLOPs，其中大部分来自波形分支（A2为13.7 kFLOPs）。在单个CPU线程上，PyTorch单次推理耗时0.52 ms，全部143项波形特征提取的Python参考实现耗时6.5 ms，二者相对100 s的脉冲均可忽略。这一资源占用与嵌入式SOH估计器所针对的规模处于同一量级[19]。</w:t>
      </w:r>
    </w:p>
    <w:p>
      <w:pPr>
        <w:pStyle w:val="TableCaption"/>
      </w:pPr>
      <w:r>
        <w:rPr>
          <w:b/>
        </w:rPr>
        <w:t xml:space="preserve">表9　</w:t>
      </w:r>
      <w:r>
        <w:rPr/>
        <w:t xml:space="preserve">复现实现中的泛化性与稳健性结果（电芯宏平均RMSE，SOH百分点）</w:t>
      </w:r>
    </w:p>
    <w:tbl>
      <w:tblPr>
        <w:tblW w:type="pct" w:w="5000"/>
        <w:jc w:val="center"/>
        <w:tblLayout w:type="fixed"/>
        <w:tblCellMar>
          <w:top w:w="15" w:type="dxa"/>
          <w:left w:w="60" w:type="dxa"/>
          <w:bottom w:w="15" w:type="dxa"/>
          <w:right w:w="60" w:type="dxa"/>
        </w:tblCellMar>
        <w:tblCaption w:val="复现实现中的泛化性与稳健性结果（电芯宏平均RMSE，SOH百分点）"/>
      </w:tblPr>
      <w:tblGrid>
        <w:gridCol w:w="2428"/>
        <w:gridCol w:w="739"/>
        <w:gridCol w:w="739"/>
        <w:gridCol w:w="844"/>
        <w:gridCol w:w="1478"/>
        <w:gridCol w:w="739"/>
        <w:gridCol w:w="95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场景</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五折电芯互斥（参照）</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留一工况组验证</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1 mV</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2 mV</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每个RPT一个脉冲</w:t>
            </w:r>
            <w:r>
              <w:rPr>
                <w:noProof/>
                <w:vertAlign w:val="superscript"/>
              </w:rPr>
              <w:t xml:space="preserve">a</w:t>
            </w:r>
          </w:p>
        </w:tc>
        <w:tc>
          <w:tcPr>
            <w:tcBorders/>
            <w:vAlign w:val="center"/>
          </w:tcPr>
          <w:p>
            <w:pPr>
              <w:pStyle w:val="TableText"/>
              <w:jc w:val="right"/>
            </w:pPr>
            <w:r>
              <w:rPr>
                <w:noProof/>
              </w:rPr>
              <w:t xml:space="preserve">1.549</w:t>
            </w:r>
          </w:p>
        </w:tc>
        <w:tc>
          <w:tcPr>
            <w:tcBorders/>
            <w:vAlign w:val="center"/>
          </w:tcPr>
          <w:p>
            <w:pPr>
              <w:pStyle w:val="TableText"/>
              <w:jc w:val="right"/>
            </w:pPr>
            <w:r>
              <w:rPr>
                <w:noProof/>
              </w:rPr>
              <w:t xml:space="preserve">1.574</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pPr>
          </w:p>
        </w:tc>
      </w:tr>
      <w:tr>
        <w:trPr>
          <w:cantSplit/>
        </w:trPr>
        <w:tc>
          <w:tcPr>
            <w:tcBorders/>
            <w:vAlign w:val="center"/>
          </w:tcPr>
          <w:p>
            <w:pPr>
              <w:pStyle w:val="TableText"/>
              <w:jc w:val="left"/>
            </w:pPr>
            <w:r>
              <w:rPr>
                <w:noProof/>
              </w:rPr>
              <w:t xml:space="preserve">每个RPT三个脉冲</w:t>
            </w:r>
            <w:r>
              <w:rPr>
                <w:noProof/>
                <w:vertAlign w:val="superscript"/>
              </w:rPr>
              <w:t xml:space="preserve">a</w:t>
            </w:r>
          </w:p>
        </w:tc>
        <w:tc>
          <w:tcPr>
            <w:tcBorders/>
            <w:vAlign w:val="center"/>
          </w:tcPr>
          <w:p>
            <w:pPr>
              <w:pStyle w:val="TableText"/>
              <w:jc w:val="right"/>
            </w:pPr>
            <w:r>
              <w:rPr>
                <w:noProof/>
              </w:rPr>
              <w:t xml:space="preserve">1.453</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pPr>
          </w:p>
        </w:tc>
      </w:tr>
      <w:tr>
        <w:trPr>
          <w:cantSplit/>
        </w:trPr>
        <w:tc>
          <w:tcPr>
            <w:tcBorders>
              <w:bottom w:val="single" w:sz="12" w:space="0" w:color="000000"/>
            </w:tcBorders>
            <w:vAlign w:val="center"/>
          </w:tcPr>
          <w:p>
            <w:pPr>
              <w:pStyle w:val="TableText"/>
              <w:jc w:val="left"/>
            </w:pPr>
            <w:r>
              <w:rPr>
                <w:noProof/>
              </w:rPr>
              <w:t xml:space="preserve">三个充电脉冲</w:t>
            </w:r>
          </w:p>
        </w:tc>
        <w:tc>
          <w:tcPr>
            <w:tcBorders>
              <w:bottom w:val="single" w:sz="12" w:space="0" w:color="000000"/>
            </w:tcBorders>
            <w:vAlign w:val="center"/>
          </w:tcPr>
          <w:p>
            <w:pPr>
              <w:pStyle w:val="TableText"/>
              <w:jc w:val="right"/>
            </w:pPr>
            <w:r>
              <w:rPr>
                <w:noProof/>
              </w:rPr>
              <w:t xml:space="preserve">1.432</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配对比较采用5,000次按外层折（或工况组）分层的电芯自助重采样与符号翻转检验；属描述性分析，未作多重比较校正。</w:t>
      </w:r>
      <w:r>
        <w:rPr>
          <w:vertAlign w:val="superscript"/>
        </w:rPr>
        <w:t xml:space="preserve">a</w:t>
      </w:r>
      <w:r>
        <w:t xml:space="preserve"> </w:t>
      </w:r>
      <w:r>
        <w:t xml:space="preserve">全部工况组合的均值（分别为6种和20种）。</w:t>
      </w:r>
    </w:p>
    <w:p>
      <w:pPr>
        <w:pStyle w:val="CaptionedFigure"/>
      </w:pPr>
      <w:r>
        <w:drawing>
          <wp:inline>
            <wp:extent cx="5334000" cy="4188463"/>
            <wp:effectExtent b="0" l="0" r="0" t="0"/>
            <wp:docPr descr="图7 泛化性、稳健性与归因（复现实现）。(a) 各循环工况组被留出时的组均RMSE（留一工况组验证）；图例给出留一工况组验证下的电芯宏平均RMSE，括号内为五折电芯互斥验证下的值。(b) 测试循环数存在±10%偏差（模型固定）以及训练与测试数据中加入匹配高斯电压噪声（模型重新训练）时的RMSE。(c) RMSE随每个RPT参与平均的脉冲数的变化；折线为全部工况组合的均值，色带为其范围。(d) R0在各波形采样点上的平均绝对积分梯度归因，实线为充电脉冲、虚线为放电脉冲，在测试记录、外层折与初始化种子间平均；阴影标示脉冲各区段。" title="" id="67" name="Picture"/>
            <a:graphic>
              <a:graphicData uri="http://schemas.openxmlformats.org/drawingml/2006/picture">
                <pic:pic>
                  <pic:nvPicPr>
                    <pic:cNvPr descr="figures/fig7_general.png" id="68" name="Picture"/>
                    <pic:cNvPicPr>
                      <a:picLocks noChangeArrowheads="1" noChangeAspect="1"/>
                    </pic:cNvPicPr>
                  </pic:nvPicPr>
                  <pic:blipFill>
                    <a:blip r:embed="rId66"/>
                    <a:stretch>
                      <a:fillRect/>
                    </a:stretch>
                  </pic:blipFill>
                  <pic:spPr bwMode="auto">
                    <a:xfrm>
                      <a:off x="0" y="0"/>
                      <a:ext cx="5334000" cy="4188463"/>
                    </a:xfrm>
                    <a:prstGeom prst="rect">
                      <a:avLst/>
                    </a:prstGeom>
                    <a:noFill/>
                    <a:ln w="9525">
                      <a:noFill/>
                      <a:headEnd/>
                      <a:tailEnd/>
                    </a:ln>
                  </pic:spPr>
                </pic:pic>
              </a:graphicData>
            </a:graphic>
          </wp:inline>
        </w:drawing>
      </w:r>
    </w:p>
    <w:p>
      <w:pPr>
        <w:pStyle w:val="ImageCaption"/>
      </w:pPr>
      <w:r>
        <w:rPr>
          <w:b/>
          <w:bCs/>
        </w:rPr>
        <w:t xml:space="preserve">图7</w:t>
      </w:r>
      <w:r>
        <w:t xml:space="preserve"> </w:t>
      </w:r>
      <w:r>
        <w:t xml:space="preserve">泛化性、稳健性与归因（复现实现）。(a) 各循环工况组被留出时的组均RMSE（留一工况组验证）；图例给出留一工况组验证下的电芯宏平均RMSE，括号内为五折电芯互斥验证下的值。(b) 测试循环数存在±10%偏差（模型固定）以及训练与测试数据中加入匹配高斯电压噪声（模型重新训练）时的RMSE。(c) RMSE随每个RPT参与平均的脉冲数的变化；折线为全部工况组合的均值，色带为其范围。(d) R0在各波形采样点上的平均绝对积分梯度归因，实线为充电脉冲、虚线为放电脉冲，在测试记录、外层折与初始化种子间平均；阴影标示脉冲各区段。</w:t>
      </w:r>
    </w:p>
    <w:bookmarkEnd w:id="69"/>
    <w:bookmarkStart w:id="70" w:name="误差特征与适用范围"/>
    <w:p>
      <w:pPr>
        <w:pStyle w:val="Heading2"/>
      </w:pPr>
      <w:r>
        <w:t xml:space="preserve">4.7 误差特征与适用范围</w:t>
      </w:r>
    </w:p>
    <w:p>
      <w:pPr>
        <w:pStyle w:val="FirstParagraph"/>
      </w:pPr>
      <w:r>
        <w:t xml:space="preserve">整体平均偏差接近零，但掩盖了随SOH变化的误差（补充图S3）。先平均每条记录的三个初始化预测，R0在16,938条记录上的记录级RMSE为1.461个百分点、MAE为1.089个百分点、平均偏差为−0.093个百分点。SOH低于80%的630条记录平均高估2.003个百分点，SOH在95%以上的5,682条记录平均低估0.574个百分点。不同电芯之间差异明显（补充图S4）：按R0误差排第1、22、43和64位的电芯12、6、44和3，误差分别为0.526、0.961、1.519和3.568个百分点（A2分别为0.704、1.066、1.723和3.624个百分点）。11个循环工况组的电芯宏平均RMSE为0.878～2.333个百分点（补充图S5），第3组和第6组为正偏差，第8组为负偏差；各电芯衰减速率与平均偏差的相关系数为0.59。</w:t>
      </w:r>
    </w:p>
    <w:p>
      <w:pPr>
        <w:pStyle w:val="BodyText"/>
      </w:pPr>
      <w:r>
        <w:t xml:space="preserve">本分析在固定划分上以64个电芯为推断单位；低SOH高估有所减轻但未消除；由于基于差分和频谱的特征对训练中未出现的噪声较为敏感，训练数据应来自目标传感器（补充说明S4）。在温度变化的实际运行数据及目标BMS硬件上的验证仍有待后续工作。</w:t>
      </w:r>
    </w:p>
    <w:bookmarkEnd w:id="70"/>
    <w:bookmarkEnd w:id="71"/>
    <w:bookmarkStart w:id="72" w:name="结论"/>
    <w:p>
      <w:pPr>
        <w:pStyle w:val="Heading1"/>
      </w:pPr>
      <w:r>
        <w:t xml:space="preserve">5 结论</w:t>
      </w:r>
    </w:p>
    <w:p>
      <w:pPr>
        <w:pStyle w:val="FirstParagraph"/>
      </w:pPr>
      <w:r>
        <w:t xml:space="preserve">本文基于64个公开LFP/石墨电芯的16,938条短时脉冲记录，在统一的五折电芯互斥协议与训练预算下比较了15种编码器组合。主要结论如下：</w:t>
      </w:r>
    </w:p>
    <w:p>
      <w:pPr>
        <w:pStyle w:val="BodyText"/>
      </w:pPr>
      <w:r>
        <w:t xml:space="preserve">（1）编码器应按组合评价。MLP主干＋PatchTST补充（R0）的RMSE观测值最低（1.377个百分点），较MLP＋CNN组合低8.7%，而PatchTST在另两种主干下均排末位；组合依赖项解释了组合间差异的11.8%（去掉FT-Transformer后为47.6%）。</w:t>
      </w:r>
    </w:p>
    <w:p>
      <w:pPr>
        <w:pStyle w:val="BodyText"/>
      </w:pPr>
      <w:r>
        <w:t xml:space="preserve">（2）波形补充能够改进神经网络人工特征主干。R0的RMSE比仅含主干的模型低0.123个百分点（8.2%），64个电芯中58个改善；SOH低于80%时增益最大（17.2%），在六种脉冲工况下均一致改善，并部分校正了主干的收缩偏差。</w:t>
      </w:r>
    </w:p>
    <w:p>
      <w:pPr>
        <w:pStyle w:val="BodyText"/>
      </w:pPr>
      <w:r>
        <w:t xml:space="preserve">（3）波形增量在独立NMC/石墨数据集上得到重复（R0 − A2 = −0.163个百分点，降低7.6%，44个电芯中39个改善），且其来源是绝对电压水平之外的动态响应。在复现实现中，波形增量在留出循环工况下（−0.035个百分点）以及1～2 mV匹配传感器噪声下（−0.045～−0.058个百分点）依然存在；循环工况未见时误差仅上升9%，循环数存在±10%偏差时误差至多上升3.5%。</w:t>
      </w:r>
    </w:p>
    <w:p>
      <w:pPr>
        <w:pStyle w:val="BodyText"/>
      </w:pPr>
      <w:r>
        <w:t xml:space="preserve">（4）在各消融因素中，累计循环数是影响最大的输入（去掉后误差增加41%），单调惩罚则起温和的正则化作用（−0.028个百分点）。片段配置(9, 4)与均值池化头（相对展平预测头误差−0.062个百分点，参数量少55%）是最有效的设计选择，</w:t>
      </w:r>
      <m:oMath>
        <m:r>
          <m:t>K</m:t>
        </m:r>
        <m:r>
          <m:rPr>
            <m:sty m:val="p"/>
          </m:rPr>
          <m:t>=</m:t>
        </m:r>
        <m:r>
          <m:t>50</m:t>
        </m:r>
      </m:oMath>
      <w:r>
        <w:t xml:space="preserve">则兼顾了精度与输入规模。</w:t>
      </w:r>
    </w:p>
    <w:p>
      <w:pPr>
        <w:pStyle w:val="BodyText"/>
      </w:pPr>
      <w:r>
        <w:t xml:space="preserve">（5）模型足够轻量，适于嵌入式应用：参数量为19,041（74 kB），每个脉冲0.42 MFLOPs，单核推理为亚毫秒级；其归因分布于整个瞬态，且仅用三个充电脉冲即可达到六脉冲协议的精度，差距在0.005个百分点以内。</w:t>
      </w:r>
    </w:p>
    <w:p>
      <w:pPr>
        <w:pStyle w:val="FrontHeading"/>
      </w:pPr>
      <w:r>
        <w:t xml:space="preserve">作者贡献声明（CRediT）</w:t>
      </w:r>
    </w:p>
    <w:p>
      <w:pPr>
        <w:pStyle w:val="BodyText"/>
      </w:pPr>
      <w:r>
        <w:t xml:space="preserve">[第一作者]：概念构思、研究方法、软件、形式分析、写作——初稿。[第二作者]：验证、可视化、写作——审阅与编辑。[通讯作者]：指导、经费获取、写作——审阅与编辑。</w:t>
      </w:r>
    </w:p>
    <w:p>
      <w:pPr>
        <w:pStyle w:val="FrontHeading"/>
      </w:pPr>
      <w:r>
        <w:t xml:space="preserve">利益冲突声明</w:t>
      </w:r>
    </w:p>
    <w:p>
      <w:pPr>
        <w:pStyle w:val="BodyText"/>
      </w:pPr>
      <w:r>
        <w:t xml:space="preserve">作者声明，不存在可能影响本文所报告工作的已知经济利益冲突或个人关系。</w:t>
      </w:r>
    </w:p>
    <w:p>
      <w:pPr>
        <w:pStyle w:val="FrontHeading"/>
      </w:pPr>
      <w:r>
        <w:t xml:space="preserve">数据可用性</w:t>
      </w:r>
    </w:p>
    <w:p>
      <w:pPr>
        <w:pStyle w:val="BodyText"/>
      </w:pPr>
      <w:r>
        <w:t xml:space="preserve">电池数据可从公开的UConn-ISU-ILCC LFP与UConn-ILCC NMC老化数据集[28,31]获取。清洗规则、输入定义、数据划分与评价指标见第2、3节及补充说明S1～S4。【代码与衍生数据的公开仓库、版本及访问方式待作者补充。】</w:t>
      </w:r>
    </w:p>
    <w:p>
      <w:pPr>
        <w:pStyle w:val="FrontHeading"/>
      </w:pPr>
      <w:r>
        <w:t xml:space="preserve">致谢</w:t>
      </w:r>
    </w:p>
    <w:p>
      <w:pPr>
        <w:pStyle w:val="BodyText"/>
      </w:pPr>
      <w:r>
        <w:t xml:space="preserve">【资助来源与项目编号待补充。】</w:t>
      </w:r>
    </w:p>
    <w:p>
      <w:pPr>
        <w:pStyle w:val="FrontHeading"/>
      </w:pPr>
      <w:r>
        <w:t xml:space="preserve">附录A 补充材料</w:t>
      </w:r>
    </w:p>
    <w:p>
      <w:pPr>
        <w:pStyle w:val="BodyText"/>
      </w:pPr>
      <w:r>
        <w:t xml:space="preserve">本文的补充材料（补充说明S1～S4、补充表S1～S6、补充图S1～S5及补充算法S1）以单独文件提供。</w:t>
      </w:r>
    </w:p>
    <w:p>
      <w:pPr>
        <w:pStyle w:val="FrontHeading"/>
      </w:pPr>
      <w:r>
        <w:t xml:space="preserve">参考文献</w:t>
      </w:r>
    </w:p>
    <w:p>
      <w:pPr>
        <w:pStyle w:val="Reference"/>
      </w:pPr>
      <w:r>
        <w:t xml:space="preserve">[1] Berecibar M, Gandiaga I, Villarreal I, Omar N, Van Mierlo J, Van den Bossche P. Critical review of state of health estimation methods of Li-ion batteries for real applications. Renew Sustain Energy Rev 2016;56:572–87.</w:t>
      </w:r>
    </w:p>
    <w:p>
      <w:pPr>
        <w:pStyle w:val="Reference"/>
      </w:pPr>
      <w:r>
        <w:t xml:space="preserve">[2] Xiong R, Li L, Tian J. Towards a smarter battery management system: a critical review on battery state of health monitoring methods. J Power Sources 2018;405:18–29. https://doi.org/10.1016/j.jpowsour.2018.10.019.</w:t>
      </w:r>
    </w:p>
    <w:p>
      <w:pPr>
        <w:pStyle w:val="Reference"/>
      </w:pPr>
      <w:r>
        <w:t xml:space="preserve">[3] Wang Y, Guo S, Cui Y, et al. A comprehensive review of machine learning-based state of health estimation for lithium-ion batteries: data, features, algorithms, and future challenges. Renew Sustain Energy Rev 2025;224:116125. https://doi.org/10.1016/j.rser.2025.116125.</w:t>
      </w:r>
    </w:p>
    <w:p>
      <w:pPr>
        <w:pStyle w:val="Reference"/>
      </w:pPr>
      <w:r>
        <w:t xml:space="preserve">[4] Zhu J, Wang Y, Huang Y, et al. Data-driven capacity estimation of commercial lithium-ion batteries from voltage relaxation. Nat Commun 2022;13:2261. https://doi.org/10.1038/s41467-022-29837-w.</w:t>
      </w:r>
    </w:p>
    <w:p>
      <w:pPr>
        <w:pStyle w:val="Reference"/>
      </w:pPr>
      <w:r>
        <w:t xml:space="preserve">[5] Figgener J, van Ouwerkerk J, Haberschusz D, et al. Multi-year field measurements of home storage systems and their use in capacity estimation. Nat Energy 2024;9:1438–47. https://doi.org/10.1038/s41560-024-01620-9.</w:t>
      </w:r>
    </w:p>
    <w:p>
      <w:pPr>
        <w:pStyle w:val="Reference"/>
      </w:pPr>
      <w:r>
        <w:t xml:space="preserve">[6] Pastor-Fernández C, Yu TF, Widanage WD, Marco J. Critical review of non-invasive diagnosis techniques for quantification of degradation modes in lithium-ion batteries. Renew Sustain Energy Rev 2019;109:138–59. https://doi.org/10.1016/j.rser.2019.03.060.</w:t>
      </w:r>
    </w:p>
    <w:p>
      <w:pPr>
        <w:pStyle w:val="Reference"/>
      </w:pPr>
      <w:r>
        <w:t xml:space="preserve">[7] Bilfinger P, Rosner P, Schreiber M, et al. Battery pack diagnostics for electric vehicles: transfer of differential voltage and incremental capacity analysis from cell to vehicle level. eTransportation 2024;22:100356. https://doi.org/10.1016/j.etran.2024.100356.</w:t>
      </w:r>
    </w:p>
    <w:p>
      <w:pPr>
        <w:pStyle w:val="Reference"/>
      </w:pPr>
      <w:r>
        <w:t xml:space="preserve">[8] Roman D, Saxena S, Robu V, Pecht M, Flynn D. Machine learning pipeline for battery state-of-health estimation. Nat Mach Intell 2021;3:447–56. https://doi.org/10.1038/s42256-021-00312-3.</w:t>
      </w:r>
    </w:p>
    <w:p>
      <w:pPr>
        <w:pStyle w:val="Reference"/>
      </w:pPr>
      <w:r>
        <w:t xml:space="preserve">[9] Zhang Y, Tang Q, Zhang Y, Wang J, Stimming U, Lee AA. Identifying degradation patterns of lithium ion batteries from impedance spectroscopy using machine learning. Nat Commun 2020;11:1706. https://doi.org/10.1038/s41467-020-15235-7.</w:t>
      </w:r>
    </w:p>
    <w:p>
      <w:pPr>
        <w:pStyle w:val="Reference"/>
      </w:pPr>
      <w:r>
        <w:t xml:space="preserve">[10] Luo Z, Gao Z, Cai Z, et al. A review of on-board electrochemical impedance spectroscopy for low-cost in situ characterization technology. J Energy Storage 2026;141:119153. https://doi.org/10.1016/j.est.2025.119153.</w:t>
      </w:r>
    </w:p>
    <w:p>
      <w:pPr>
        <w:pStyle w:val="Reference"/>
      </w:pPr>
      <w:r>
        <w:t xml:space="preserve">[11] Lin Y, Grosu C, Schreiber M, et al. Electrochemical impedance spectroscopy for onboard application: impact of the load conditions on the impedance relaxation behavior. J Power Sources 2025;654:237690. https://doi.org/10.1016/j.jpowsour.2025.237690.</w:t>
      </w:r>
    </w:p>
    <w:p>
      <w:pPr>
        <w:pStyle w:val="Reference"/>
      </w:pPr>
      <w:r>
        <w:t xml:space="preserve">[12] Barai A, Uddin K, Widanage WD, McGordon A, Jennings P. A study of the influence of measurement timescale on internal resistance characterisation methodologies for lithium-ion cells. Sci Rep 2018;8:21. https://doi.org/10.1038/s41598-017-18424-5.</w:t>
      </w:r>
    </w:p>
    <w:p>
      <w:pPr>
        <w:pStyle w:val="Reference"/>
      </w:pPr>
      <w:r>
        <w:t xml:space="preserve">[13] Li AG, Fahmy YA, Wu MM, et al. Fast time-domain impedance spectroscopy of lithium-ion batteries using pulse perturbation. In: 2022 IEEE Transportation Electrification Conference &amp; Expo (ITEC); 2022, p. 155–60. https://doi.org/10.1109/ITEC53557.2022.9813868.</w:t>
      </w:r>
    </w:p>
    <w:p>
      <w:pPr>
        <w:pStyle w:val="Reference"/>
      </w:pPr>
      <w:r>
        <w:t xml:space="preserve">[14] Birkl CR, Roberts MR, McTurk E, Bruce PG, Howey DA. Degradation diagnostics for lithium ion cells. J Power Sources 2017;341:373–86.</w:t>
      </w:r>
    </w:p>
    <w:p>
      <w:pPr>
        <w:pStyle w:val="Reference"/>
      </w:pPr>
      <w:r>
        <w:t xml:space="preserve">[15] Barai A, Uddin K, Dubarry M, et al. A comparison of methodologies for the non-invasive characterisation of commercial Li-ion cells. Prog Energy Combust Sci 2019;72:1–31. https://doi.org/10.1016/j.pecs.2019.01.001.</w:t>
      </w:r>
    </w:p>
    <w:p>
      <w:pPr>
        <w:pStyle w:val="Reference"/>
      </w:pPr>
      <w:r>
        <w:t xml:space="preserve">[16] Li AG, Wang W, West AC, Preindl M. Health and performance diagnostics in Li-ion batteries with pulse-injection-aided machine learning. Appl Energy 2022;315:119005. https://doi.org/10.1016/j.apenergy.2022.119005.</w:t>
      </w:r>
    </w:p>
    <w:p>
      <w:pPr>
        <w:pStyle w:val="Reference"/>
      </w:pPr>
      <w:r>
        <w:t xml:space="preserve">[17] Tao S, Ma R, Zhao Z, et al. Generative learning assisted state-of-health estimation for sustainable battery recycling with random retirement conditions. Nat Commun 2024;15:10154. https://doi.org/10.1038/s41467-024-54454-0.</w:t>
      </w:r>
    </w:p>
    <w:p>
      <w:pPr>
        <w:pStyle w:val="Reference"/>
      </w:pPr>
      <w:r>
        <w:t xml:space="preserve">[18] Li M, Xu W, Zhang S, et al. State of health estimation and battery management: a review of health indicators, models and machine learning. Materials 2025;18(1):145. https://doi.org/10.3390/ma18010145.</w:t>
      </w:r>
    </w:p>
    <w:p>
      <w:pPr>
        <w:pStyle w:val="Reference"/>
      </w:pPr>
      <w:r>
        <w:t xml:space="preserve">[19] Kulkarni A, Teodorescu R. Computationally efficient machine-learning-based online battery state of health estimation. arXiv 2024. arXiv:2406.06151.</w:t>
      </w:r>
    </w:p>
    <w:p>
      <w:pPr>
        <w:pStyle w:val="Reference"/>
      </w:pPr>
      <w:r>
        <w:t xml:space="preserve">[20] Das K, Kumar R. Electric vehicle battery capacity degradation and health estimation using machine-learning techniques: a review. Clean Energy 2023;7(6):1268–81.</w:t>
      </w:r>
    </w:p>
    <w:p>
      <w:pPr>
        <w:pStyle w:val="Reference"/>
      </w:pPr>
      <w:r>
        <w:t xml:space="preserve">[21] Sylvestrin GR, Maciel JN, Ando Junior OH. Comprehensive feature extraction for battery health prognostics: identifying predictive indicators of state of health. J Power Sources 2026;668:239389. https://doi.org/10.1016/j.jpowsour.2026.239389.</w:t>
      </w:r>
    </w:p>
    <w:p>
      <w:pPr>
        <w:pStyle w:val="Reference"/>
      </w:pPr>
      <w:r>
        <w:t xml:space="preserve">[22] Fu P, Chu L, Hou Z, et al. Transfer learning and vision transformer based state-of-health prediction of lithium-ion batteries. arXiv 2022. arXiv:2209.05253.</w:t>
      </w:r>
    </w:p>
    <w:p>
      <w:pPr>
        <w:pStyle w:val="Reference"/>
      </w:pPr>
      <w:r>
        <w:t xml:space="preserve">[23] Li Y, Gao G, Chen K, et al. State-of-health prediction of lithium-ion batteries using feature fusion and a hybrid neural network model. Energy 2025;319:135163. https://doi.org/10.1016/j.energy.2025.135163.</w:t>
      </w:r>
    </w:p>
    <w:p>
      <w:pPr>
        <w:pStyle w:val="Reference"/>
      </w:pPr>
      <w:r>
        <w:t xml:space="preserve">[24] Zhao Y, Geng L, Meng W, et al. Cross-attention-based hybrid feature fusion network for state-of-health estimation of lithium-ion batteries. Sci Rep 2026;16:17800. https://doi.org/10.1038/s41598-026-48317-5.</w:t>
      </w:r>
    </w:p>
    <w:p>
      <w:pPr>
        <w:pStyle w:val="Reference"/>
      </w:pPr>
      <w:r>
        <w:t xml:space="preserve">[25] Jin P, Yang S, Xu X, et al. Multiview state-of-health estimation for lithium-ion batteries using time–frequency image fusion and attention-based deep learning. PLoS One 2025;20(11):e0335351. https://doi.org/10.1371/journal.pone.0335351.</w:t>
      </w:r>
    </w:p>
    <w:p>
      <w:pPr>
        <w:pStyle w:val="Reference"/>
      </w:pPr>
      <w:r>
        <w:t xml:space="preserve">[26] Pandit R, Ahlawat N. A standardized comparative framework for machine learning techniques in lithium-ion battery state of health estimation. Future Batteries 2025;7:100099. https://doi.org/10.1016/j.fub.2025.100099.</w:t>
      </w:r>
    </w:p>
    <w:p>
      <w:pPr>
        <w:pStyle w:val="Reference"/>
      </w:pPr>
      <w:r>
        <w:t xml:space="preserve">[27] Bairwa B, Pareek K, Jadoun VK. Cycle based state of health estimation of lithium ion cells using deep learning architectures. Sci Rep 2025;15:37078. https://doi.org/10.1038/s41598-025-20995-7.</w:t>
      </w:r>
    </w:p>
    <w:p>
      <w:pPr>
        <w:pStyle w:val="Reference"/>
      </w:pPr>
      <w:r>
        <w:t xml:space="preserve">[28] Nowacki B, Ramamurthy J, Thelen A, Tischer C, Pint CL, Hu C. Rapid estimation of lithium-ion battery capacity and resistances from short duration current pulses. J Power Sources 2025;628:235813. https://doi.org/10.1016/j.jpowsour.2024.235813.</w:t>
      </w:r>
    </w:p>
    <w:p>
      <w:pPr>
        <w:pStyle w:val="Reference"/>
      </w:pPr>
      <w:r>
        <w:t xml:space="preserve">[29] Tao S, Ma R, Chen Y, et al. Rapid and sustainable battery health diagnosis for recycling pretreatment using fast pulse test and random forest machine learning. J Power Sources 2024;597:234156. https://doi.org/10.1016/j.jpowsour.2024.234156.</w:t>
      </w:r>
    </w:p>
    <w:p>
      <w:pPr>
        <w:pStyle w:val="Reference"/>
      </w:pPr>
      <w:r>
        <w:t xml:space="preserve">[30] Ran A, Cheng M, Chen S, et al. Fast remaining capacity estimation for lithium-ion batteries based on short-time pulse test and Gaussian process regression. Energy Environ Mater 2023;6:e12386. https://doi.org/10.1002/eem2.12386.</w:t>
      </w:r>
    </w:p>
    <w:p>
      <w:pPr>
        <w:pStyle w:val="Reference"/>
      </w:pPr>
      <w:r>
        <w:t xml:space="preserve">[31] Nowacki B, Schmitt T, Aquino P, Hu C. Fine-tuning for rapid capacity estimation of lithium-ion batteries. Energy Storage Mater 2025;81:104425. https://doi.org/10.1016/j.ensm.2025.104425.</w:t>
      </w:r>
    </w:p>
    <w:p>
      <w:pPr>
        <w:pStyle w:val="Reference"/>
      </w:pPr>
      <w:r>
        <w:t xml:space="preserve">[32] Jones PK, Stimming U, Lee AA. Impedance-based forecasting of lithium-ion battery performance amid uneven usage. Nat Commun 2022;13:4806. https://doi.org/10.1038/s41467-022-32422-w.</w:t>
      </w:r>
    </w:p>
    <w:p>
      <w:pPr>
        <w:pStyle w:val="Reference"/>
      </w:pPr>
      <w:r>
        <w:t xml:space="preserve">[33] Lu J, Xiong R, Tian J, Wang C, Sun F. Deep learning to estimate lithium-ion battery state of health without additional degradation experiments. Nat Commun 2023;14:2760. https://doi.org/10.1038/s41467-023-38458-w.</w:t>
      </w:r>
    </w:p>
    <w:p>
      <w:pPr>
        <w:pStyle w:val="Reference"/>
      </w:pPr>
      <w:r>
        <w:t xml:space="preserve">[34] Che Y, Lam VN, Rhyu J, et al. Diagnostic-free onboard battery health assessment. Joule 2025;9:102010. https://doi.org/10.1016/j.joule.2025.102010.</w:t>
      </w:r>
    </w:p>
    <w:p>
      <w:pPr>
        <w:pStyle w:val="Reference"/>
      </w:pPr>
      <w:r>
        <w:t xml:space="preserve">[35] Sohail M, Tanveer M, Kim HS. Trustworthy machine learning and mathematical modelling for lithium-ion battery state-of-health estimation. Mathematics 2026;14(11):1879. https://doi.org/10.3390/math14111879.</w:t>
      </w:r>
    </w:p>
    <w:p>
      <w:pPr>
        <w:pStyle w:val="Reference"/>
      </w:pPr>
      <w:r>
        <w:t xml:space="preserve">[36] Barua N, Collins MD, Islam MS, et al. Predictor structure modulates validation inflation and cell-transfer reliability in battery state-of-health estimation. Batteries 2026;12(9):342. https://doi.org/10.3390/batteries12090342.</w:t>
      </w:r>
    </w:p>
    <w:p>
      <w:pPr>
        <w:pStyle w:val="Reference"/>
      </w:pPr>
      <w:r>
        <w:t xml:space="preserve">[37] Zhang H, Gui X, Zheng S, et al. BatteryML: an open-source platform for machine learning on battery degradation. In: International Conference on Learning Representations (ICLR); 2024.</w:t>
      </w:r>
    </w:p>
    <w:p>
      <w:pPr>
        <w:pStyle w:val="Reference"/>
      </w:pPr>
      <w:r>
        <w:t xml:space="preserve">[38] Bai S, Kolter JZ, Koltun V. An empirical evaluation of generic convolutional and recurrent networks for sequence modeling. arXiv 2018. arXiv:1803.01271.</w:t>
      </w:r>
    </w:p>
    <w:p>
      <w:pPr>
        <w:pStyle w:val="Reference"/>
      </w:pPr>
      <w:r>
        <w:t xml:space="preserve">[39] Vaswani A, Shazeer N, Parmar N, et al. Attention is all you need. In: Advances in Neural Information Processing Systems 30; 2017, p. 5998–6008.</w:t>
      </w:r>
    </w:p>
    <w:p>
      <w:pPr>
        <w:pStyle w:val="Reference"/>
      </w:pPr>
      <w:r>
        <w:t xml:space="preserve">[40] Nie Y, Nguyen NH, Sinthong P, Kalagnanam J. A time series is worth 64 words: long-term forecasting with transformers. In: International Conference on Learning Representations (ICLR); 2023. https://openreview.net/forum?id=Jbdc0vTOcol.</w:t>
      </w:r>
    </w:p>
    <w:p>
      <w:pPr>
        <w:pStyle w:val="Reference"/>
      </w:pPr>
      <w:r>
        <w:t xml:space="preserve">[41] Gorishniy Y, Rubachev I, Khrulkov V, Babenko A. Revisiting deep learning models for tabular data. In: Advances in Neural Information Processing Systems 34; 2021, p. 18932–43.</w:t>
      </w:r>
    </w:p>
    <w:p>
      <w:pPr>
        <w:pStyle w:val="Reference"/>
      </w:pPr>
      <w:r>
        <w:t xml:space="preserve">[42] Liu H, Li C, Hu X, et al. Multi-modal framework for battery state of health evaluation using open-source electric vehicle data. Nat Commun 2025;16:1137. https://doi.org/10.1038/s41467-025-56485-7.</w:t>
      </w:r>
    </w:p>
    <w:p>
      <w:pPr>
        <w:pStyle w:val="Reference"/>
      </w:pPr>
      <w:r>
        <w:t xml:space="preserve">[43] Huang X, Tao S, Liang C, et al. iMOE: prediction of second-life battery degradation trajectory using interpretable mixture of experts. Nat Commun 2026;17:2549. https://doi.org/10.1038/s41467-026-69369-1.</w:t>
      </w:r>
    </w:p>
    <w:p>
      <w:pPr>
        <w:pStyle w:val="Reference"/>
      </w:pPr>
      <w:r>
        <w:t xml:space="preserve">[44] Lu Z, Mo H, Wang Y. MSSformer: a model for accurate and stable state of health estimation of lithium-ion batteries. Electr Power Syst Res 2026;254:112661. https://doi.org/10.1016/j.epsr.2025.112661.</w:t>
      </w:r>
    </w:p>
    <w:p>
      <w:pPr>
        <w:pStyle w:val="Reference"/>
      </w:pPr>
      <w:r>
        <w:t xml:space="preserve">[45] Tang P, Qiu Z, Yao Z, et al. Lithium-ion battery RUL prediction based on optimized VMD-SSA-PatchTST algorithm. Sci Rep 2025;15:26824. https://doi.org/10.1038/s41598-025-11934-7.</w:t>
      </w:r>
    </w:p>
    <w:p>
      <w:pPr>
        <w:pStyle w:val="Reference"/>
      </w:pPr>
      <w:r>
        <w:t xml:space="preserve">[46] Labib KM, Rasool I, Ahmed S. Operator-theoretic and physics-guided sequence modeling of lithium-ion battery voltage dynamics. arXiv 2026. arXiv:2605.01693.</w:t>
      </w:r>
    </w:p>
    <w:p>
      <w:pPr>
        <w:pStyle w:val="Reference"/>
      </w:pPr>
      <w:r>
        <w:t xml:space="preserve">[47] Wang F, Zhai Z, Zhao Z, Di Y, Chen X. Physics-informed neural network for lithium-ion battery degradation stable modeling and prognosis. Nat Commun 2024;15:4332. https://doi.org/10.1038/s41467-024-48779-z.</w:t>
      </w:r>
    </w:p>
    <w:p>
      <w:pPr>
        <w:pStyle w:val="Reference"/>
      </w:pPr>
      <w:r>
        <w:t xml:space="preserve">[48] Che Y, Zheng Y, Rhyu J, et al. Mechanistically guided residual learning for battery state monitoring throughout life. Nat Commun 2026;17:855. https://doi.org/10.1038/s41467-025-67565-z.</w:t>
      </w:r>
    </w:p>
    <w:p>
      <w:pPr>
        <w:pStyle w:val="Reference"/>
      </w:pPr>
      <w:r>
        <w:t xml:space="preserve">[49] Guo W, Vilsen SB, Li Y, Verma A, Stroe DI, Brandell D. Uncovering the impact of battery design parameters on health and lifetime using short charging segments. Energy Environ Sci 2025;18:8462–74. https://doi.org/10.1039/D5EE03268G.</w:t>
      </w:r>
    </w:p>
    <w:p>
      <w:pPr>
        <w:pStyle w:val="Reference"/>
      </w:pPr>
      <w:r>
        <w:t xml:space="preserve">[50] Sundararajan M, Taly A, Yan Q. Axiomatic attribution for deep networks. In: Proceedings of the 34th International Conference on Machine Learning (ICML), PMLR 70; 2017, p. 3319–28.</w:t>
      </w:r>
    </w:p>
    <w:bookmarkEnd w:id="72"/>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24"/>
      <w:ind w:firstLine="442"/>
      <w:jc w:val="both"/>
    </w:pPr>
    <w:rPr>
      <w:rFonts w:ascii="Times New Roman" w:hAnsi="Times New Roman" w:cs="Times New Roman" w:eastAsia="宋体"/>
      <w:color w:val="000000"/>
      <w:sz w:val="22"/>
    </w:rPr>
  </w:style>
  <w:style w:styleId="BodyText" w:type="paragraph">
    <w:name w:val="Body Text"/>
    <w:basedOn w:val="Normal"/>
    <w:link w:val="BodyTextChar"/>
    <w:qFormat/>
    <w:pPr>
      <w:spacing w:after="0" w:before="0" w:lineRule="auto" w:line="324"/>
      <w:ind w:firstLine="442"/>
      <w:jc w:val="both"/>
    </w:pPr>
    <w:rPr>
      <w:rFonts w:ascii="Times New Roman" w:hAnsi="Times New Roman" w:cs="Times New Roman" w:eastAsia="宋体"/>
      <w:color w:val="000000"/>
      <w:sz w:val="22"/>
    </w:rPr>
  </w:style>
  <w:style w:customStyle="1" w:styleId="FirstParagraph" w:type="paragraph">
    <w:name w:val="First Paragraph"/>
    <w:basedOn w:val="BodyText"/>
    <w:next w:val="BodyText"/>
    <w:qFormat/>
    <w:pPr>
      <w:spacing w:before="0" w:after="0" w:lineRule="auto" w:line="324"/>
      <w:ind w:firstLine="442"/>
      <w:jc w:val="both"/>
    </w:pPr>
    <w:rPr>
      <w:rFonts w:ascii="Times New Roman" w:hAnsi="Times New Roman" w:cs="Times New Roman" w:eastAsia="宋体"/>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宋体"/>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黑体"/>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宋体"/>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314"/>
      <w:ind w:firstLine="0"/>
      <w:jc w:val="both"/>
    </w:pPr>
    <w:rPr>
      <w:rFonts w:ascii="Times New Roman" w:hAnsi="Times New Roman" w:cs="Times New Roman" w:eastAsia="宋体"/>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宋体"/>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宋体"/>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cs="Times New Roman" w:eastAsia="宋体"/>
      <w:b w:val="0"/>
      <w:i w:val="0"/>
      <w:color w:val="000000"/>
      <w:sz w:val="19"/>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cs="Times New Roman" w:eastAsia="黑体"/>
      <w:b/>
      <w:i w:val="0"/>
      <w:color w:val="000000"/>
      <w:sz w:val="22"/>
    </w:rPr>
  </w:style>
  <w:style w:type="paragraph" w:customStyle="1" w:styleId="Highlight">
    <w:name w:val="Highlight"/>
    <w:basedOn w:val="BodyText"/>
    <w:qFormat/>
    <w:pPr>
      <w:spacing w:before="0" w:after="40" w:lineRule="auto" w:line="276"/>
      <w:ind w:left="283" w:hanging="227"/>
      <w:jc w:val="left"/>
    </w:pPr>
    <w:rPr>
      <w:rFonts w:ascii="Times New Roman" w:hAnsi="Times New Roman" w:cs="Times New Roman" w:eastAsia="宋体"/>
      <w:b w:val="0"/>
      <w:i w:val="0"/>
      <w:color w:val="000000"/>
      <w:sz w:val="21"/>
    </w:rPr>
  </w:style>
  <w:style w:type="paragraph" w:customStyle="1" w:styleId="Keywords">
    <w:name w:val="Keywords"/>
    <w:basedOn w:val="BodyText"/>
    <w:qFormat/>
    <w:pPr>
      <w:spacing w:before="40" w:after="120" w:lineRule="auto" w:line="276"/>
      <w:ind w:firstLine="0"/>
      <w:jc w:val="both"/>
    </w:pPr>
    <w:rPr>
      <w:rFonts w:ascii="Times New Roman" w:hAnsi="Times New Roman" w:cs="Times New Roman" w:eastAsia="宋体"/>
      <w:b w:val="0"/>
      <w:i w:val="0"/>
      <w:color w:val="000000"/>
      <w:sz w:val="21"/>
    </w:rPr>
  </w:style>
  <w:style w:type="paragraph" w:customStyle="1" w:styleId="Reference">
    <w:name w:val="Reference"/>
    <w:basedOn w:val="BodyText"/>
    <w:qFormat/>
    <w:pPr>
      <w:spacing w:before="0" w:after="40" w:lineRule="auto" w:line="264"/>
      <w:ind w:left="425" w:hanging="425"/>
      <w:jc w:val="both"/>
    </w:pPr>
    <w:rPr>
      <w:rFonts w:ascii="Times New Roman" w:hAnsi="Times New Roman" w:cs="Times New Roman" w:eastAsia="宋体"/>
      <w:b w:val="0"/>
      <w:i w:val="0"/>
      <w:color w:val="00000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宋体"/>
      <w:b w:val="0"/>
      <w:i w:val="0"/>
      <w:color w:val="000000"/>
      <w:sz w:val="22"/>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黑体"/>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黑体"/>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黑体"/>
      <w:b w:val="0"/>
      <w:i w:val="0"/>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宋体"/>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宋体"/>
      <w:b w:val="0"/>
      <w:i w:val="0"/>
      <w:color w:val="000000"/>
      <w:sz w:val="17"/>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宋体"/>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46" Type="http://schemas.openxmlformats.org/officeDocument/2006/relationships/image" Target="media/rId46.png"/><Relationship Id="rId50" Type="http://schemas.openxmlformats.org/officeDocument/2006/relationships/image" Target="media/rId50.png"/><Relationship Id="rId54" Type="http://schemas.openxmlformats.org/officeDocument/2006/relationships/image" Target="media/rId54.png"/><Relationship Id="rId59" Type="http://schemas.openxmlformats.org/officeDocument/2006/relationships/image" Target="media/rId59.png"/><Relationship Id="rId66" Type="http://schemas.openxmlformats.org/officeDocument/2006/relationships/image" Target="media/rId6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2026-10-09T10:42:55Z</dcterms:created>
  <dcterms:modified xsi:type="dcterms:W3CDTF">2026-10-09T10:42:55Z</dcterms:modified>
</cp:coreProperties>
</file>

<file path=docProps/custom.xml><?xml version="1.0" encoding="utf-8"?>
<Properties xmlns="http://schemas.openxmlformats.org/officeDocument/2006/custom-properties" xmlns:vt="http://schemas.openxmlformats.org/officeDocument/2006/docPropsVTypes"/>
</file>