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引言融合稿：老师版本 + 修订稿</w:t>
      </w:r>
    </w:p>
    <w:bookmarkStart w:id="23" w:name="一对老师版本的分析"/>
    <w:p>
      <w:pPr>
        <w:pStyle w:val="Heading1"/>
      </w:pPr>
      <w:r>
        <w:t xml:space="preserve">一、对老师版本的分析</w:t>
      </w:r>
    </w:p>
    <w:bookmarkStart w:id="20" w:name="优点保留"/>
    <w:p>
      <w:pPr>
        <w:pStyle w:val="Heading2"/>
      </w:pPr>
      <w:r>
        <w:t xml:space="preserve">优点（保留）</w:t>
      </w:r>
    </w:p>
    <w:p>
      <w:pPr>
        <w:pStyle w:val="Compact"/>
        <w:numPr>
          <w:ilvl w:val="0"/>
          <w:numId w:val="1001"/>
        </w:numPr>
      </w:pPr>
      <w:r>
        <w:rPr>
          <w:b/>
          <w:bCs/>
        </w:rPr>
        <w:t xml:space="preserve">结构更清楚</w:t>
      </w:r>
      <w:r>
        <w:t xml:space="preserve">：按“SOH测试难 → 各类方法要求苛刻、脉冲是例外 → 输入表征两大类与多分支模型的不足 → 脉冲研究的三个未解问题 → 人工特征为主、波形为辅的理由 → PatchTST → 本文工作”展开，层层递进，比修订稿更好读。</w:t>
      </w:r>
    </w:p>
    <w:p>
      <w:pPr>
        <w:pStyle w:val="Compact"/>
        <w:numPr>
          <w:ilvl w:val="0"/>
          <w:numId w:val="1001"/>
        </w:numPr>
      </w:pPr>
      <w:r>
        <w:rPr>
          <w:b/>
          <w:bCs/>
        </w:rPr>
        <w:t xml:space="preserve">“</w:t>
      </w:r>
      <w:r>
        <w:rPr>
          <w:b/>
          <w:bCs/>
        </w:rPr>
        <w:t xml:space="preserve">主分支/补充分支</w:t>
      </w:r>
      <w:r>
        <w:rPr>
          <w:b/>
          <w:bCs/>
        </w:rPr>
        <w:t xml:space="preserve">”</w:t>
      </w:r>
      <w:r>
        <w:rPr>
          <w:b/>
          <w:bCs/>
        </w:rPr>
        <w:t xml:space="preserve">（primary/supplementary branch）的说法</w:t>
      </w:r>
      <w:r>
        <w:t xml:space="preserve">比修订稿的 backbone/complement 更直观，读者一看就知道谁为主、谁为辅。</w:t>
      </w:r>
    </w:p>
    <w:p>
      <w:pPr>
        <w:pStyle w:val="Compact"/>
        <w:numPr>
          <w:ilvl w:val="0"/>
          <w:numId w:val="1001"/>
        </w:numPr>
      </w:pPr>
      <w:r>
        <w:t xml:space="preserve">PatchTST 单独成段，突出了方法创新点。</w:t>
      </w:r>
    </w:p>
    <w:p>
      <w:pPr>
        <w:pStyle w:val="Compact"/>
        <w:numPr>
          <w:ilvl w:val="0"/>
          <w:numId w:val="1001"/>
        </w:numPr>
      </w:pPr>
      <w:r>
        <w:t xml:space="preserve">第二段对输入特征形式的概括（电压曲线、IC/DV、统计量、频域指标、模型参数）更全面。</w:t>
      </w:r>
    </w:p>
    <w:bookmarkEnd w:id="20"/>
    <w:bookmarkStart w:id="21" w:name="需要修改的问题"/>
    <w:p>
      <w:pPr>
        <w:pStyle w:val="Heading2"/>
      </w:pPr>
      <w:r>
        <w:t xml:space="preserve">需要修改的问题</w:t>
      </w:r>
    </w:p>
    <w:p>
      <w:pPr>
        <w:pStyle w:val="Compact"/>
        <w:numPr>
          <w:ilvl w:val="0"/>
          <w:numId w:val="1002"/>
        </w:numPr>
      </w:pPr>
      <w:r>
        <w:rPr>
          <w:b/>
          <w:bCs/>
        </w:rPr>
        <w:t xml:space="preserve">重复句</w:t>
      </w:r>
      <w:r>
        <w:t xml:space="preserve">：第一段“Short current pulse method is a notable exception.”连续出现两次。</w:t>
      </w:r>
    </w:p>
    <w:p>
      <w:pPr>
        <w:pStyle w:val="Compact"/>
        <w:numPr>
          <w:ilvl w:val="0"/>
          <w:numId w:val="1002"/>
        </w:numPr>
      </w:pPr>
      <w:r>
        <w:rPr>
          <w:b/>
          <w:bCs/>
        </w:rPr>
        <w:t xml:space="preserve">10篇文献未被引用</w:t>
      </w:r>
      <w:r>
        <w:t xml:space="preserve">：[7]、[13]、[15]、[19]、[31]、[37]、[43]、[47]、[48]、[49]在引言中没有被引用。Elsevier要求每条参考文献都在正文中被引用；这些文献在修订稿中原本是引用的，删掉引用后要么补回，要么删文献并重新编号。</w:t>
      </w:r>
    </w:p>
    <w:p>
      <w:pPr>
        <w:pStyle w:val="Compact"/>
        <w:numPr>
          <w:ilvl w:val="0"/>
          <w:numId w:val="1002"/>
        </w:numPr>
      </w:pPr>
      <w:r>
        <w:rPr>
          <w:b/>
          <w:bCs/>
        </w:rPr>
        <w:t xml:space="preserve">LFP针对性不足</w:t>
      </w:r>
      <w:r>
        <w:t xml:space="preserve">：本文只研究LFP电池，但老师版本删去了“LFP电压平台平坦、IC/DV峰难以分辨”和“LFP脉冲响应以动力学过电位为主”两点，这恰恰是选择脉冲方法的理由。</w:t>
      </w:r>
    </w:p>
    <w:p>
      <w:pPr>
        <w:pStyle w:val="Compact"/>
        <w:numPr>
          <w:ilvl w:val="0"/>
          <w:numId w:val="1002"/>
        </w:numPr>
      </w:pPr>
      <w:r>
        <w:rPr>
          <w:b/>
          <w:bCs/>
        </w:rPr>
        <w:t xml:space="preserve">BMS部署约束缺失</w:t>
      </w:r>
      <w:r>
        <w:t xml:space="preserve">：删去了“BMS需实时运行于资源受限硬件、黑箱模型难以获得信任[18,19]”，而后文“轻量结构更适合BMS”的论点需要它作铺垫。</w:t>
      </w:r>
    </w:p>
    <w:p>
      <w:pPr>
        <w:pStyle w:val="Compact"/>
        <w:numPr>
          <w:ilvl w:val="0"/>
          <w:numId w:val="1002"/>
        </w:numPr>
      </w:pPr>
      <w:r>
        <w:rPr>
          <w:b/>
          <w:bCs/>
        </w:rPr>
        <w:t xml:space="preserve">措辞不准确</w:t>
      </w:r>
      <w:r>
        <w:t xml:space="preserve">：</w:t>
      </w:r>
      <w:r>
        <w:t xml:space="preserve">“</w:t>
      </w:r>
      <w:r>
        <w:t xml:space="preserve">data-driven methods … include differential curve analysis, …, EIS</w:t>
      </w:r>
      <w:r>
        <w:t xml:space="preserve">”</w:t>
      </w:r>
      <w:r>
        <w:t xml:space="preserve">——差分曲线分析和EIS本身不是数据驱动方法，应改为“基于……的数据驱动方法”；</w:t>
      </w:r>
      <w:r>
        <w:t xml:space="preserve">“</w:t>
      </w:r>
      <w:r>
        <w:t xml:space="preserve">predict capacity of LIBs</w:t>
      </w:r>
      <w:r>
        <w:t xml:space="preserve">”</w:t>
      </w:r>
      <w:r>
        <w:t xml:space="preserve">缺冠词；</w:t>
      </w:r>
      <w:r>
        <w:t xml:space="preserve">“</w:t>
      </w:r>
      <w:r>
        <w:t xml:space="preserve">Short current pulse method</w:t>
      </w:r>
      <w:r>
        <w:t xml:space="preserve">”</w:t>
      </w:r>
      <w:r>
        <w:t xml:space="preserve">应为“The short current pulse method”或复数。</w:t>
      </w:r>
    </w:p>
    <w:p>
      <w:pPr>
        <w:pStyle w:val="Compact"/>
        <w:numPr>
          <w:ilvl w:val="0"/>
          <w:numId w:val="1002"/>
        </w:numPr>
      </w:pPr>
      <w:r>
        <w:rPr>
          <w:b/>
          <w:bCs/>
        </w:rPr>
        <w:t xml:space="preserve">贡献只有两条</w:t>
      </w:r>
      <w:r>
        <w:t xml:space="preserve">：缺少新增实验（未见工况、循环数误差与噪声、脉冲数、归因与开销、NMC数据集）对应的第三条贡献。中文版已将NMC结果改为“波形增量在NMC上得到重复”，这一条尤其值得写进贡献。</w:t>
      </w:r>
    </w:p>
    <w:p>
      <w:pPr>
        <w:pStyle w:val="Compact"/>
        <w:numPr>
          <w:ilvl w:val="0"/>
          <w:numId w:val="1002"/>
        </w:numPr>
      </w:pPr>
      <w:r>
        <w:rPr>
          <w:b/>
          <w:bCs/>
        </w:rPr>
        <w:t xml:space="preserve">结果预告中的负面表述</w:t>
      </w:r>
      <w:r>
        <w:t xml:space="preserve">：</w:t>
      </w:r>
      <w:r>
        <w:t xml:space="preserve">“</w:t>
      </w:r>
      <w:r>
        <w:t xml:space="preserve">indicate that the model is applicable where cycle records are available</w:t>
      </w:r>
      <w:r>
        <w:t xml:space="preserve">”</w:t>
      </w:r>
      <w:r>
        <w:t xml:space="preserve">是限定性表述，引言中可以不写（2.3.2节已说明需要循环记录）。</w:t>
      </w:r>
    </w:p>
    <w:p>
      <w:pPr>
        <w:pStyle w:val="Compact"/>
        <w:numPr>
          <w:ilvl w:val="0"/>
          <w:numId w:val="1002"/>
        </w:numPr>
      </w:pPr>
      <w:r>
        <w:rPr>
          <w:b/>
          <w:bCs/>
        </w:rPr>
        <w:t xml:space="preserve">参考文献格式</w:t>
      </w:r>
      <w:r>
        <w:t xml:space="preserve">：老师版本仍为GB/T 7714格式（[J]、作者全大写），投稿Elsevier需改为修订稿中的数字顺序格式（修订稿已改好，可直接沿用）。</w:t>
      </w:r>
    </w:p>
    <w:bookmarkEnd w:id="21"/>
    <w:bookmarkStart w:id="22" w:name="融合原则"/>
    <w:p>
      <w:pPr>
        <w:pStyle w:val="Heading2"/>
      </w:pPr>
      <w:r>
        <w:t xml:space="preserve">融合原则</w:t>
      </w:r>
    </w:p>
    <w:p>
      <w:pPr>
        <w:pStyle w:val="FirstParagraph"/>
      </w:pPr>
      <w:r>
        <w:t xml:space="preserve">以老师版本的结构和措辞为主，只做三类改动：修正上述问题；补回修订稿中有、老师版本删掉的论据（LFP针对性、BMS约束、[13][15][17][31][37][43][47–49]）；把NMC重复验证写进贡献（3）。融合稿约1,450词。</w:t>
      </w:r>
    </w:p>
    <w:p>
      <w:pPr>
        <w:pStyle w:val="BodyText"/>
      </w:pPr>
      <w:r>
        <w:rPr>
          <w:b/>
          <w:bCs/>
        </w:rPr>
        <w:t xml:space="preserve">需要确认</w:t>
      </w:r>
      <w:r>
        <w:t xml:space="preserve">：若采用老师的“primary/supplementary branch”说法，全文（正文、图表题、补充材料）需统一替换 backbone/complement，否则引言与正文用词不一致。</w:t>
      </w:r>
    </w:p>
    <w:bookmarkEnd w:id="22"/>
    <w:bookmarkEnd w:id="23"/>
    <w:bookmarkStart w:id="24" w:name="二融合后的引言英文"/>
    <w:p>
      <w:pPr>
        <w:pStyle w:val="Heading1"/>
      </w:pPr>
      <w:r>
        <w:t xml:space="preserve">二、融合后的引言（英文）</w:t>
      </w:r>
    </w:p>
    <w:p>
      <w:pPr>
        <w:pStyle w:val="FirstParagraph"/>
      </w:pPr>
      <w:r>
        <w:rPr>
          <w:b/>
          <w:bCs/>
        </w:rPr>
        <w:t xml:space="preserve">1. Introduction</w:t>
      </w:r>
    </w:p>
    <w:p>
      <w:pPr>
        <w:pStyle w:val="BodyText"/>
      </w:pPr>
      <w:r>
        <w:t xml:space="preserve">Lithium-ion batteries (LIBs) in electric vehicles and energy storage systems age throughout their service life. Assessing their state of health (SOH) is essential for estimating available energy and power, planning maintenance and informing decisions on second-life use [1–3]. Capacity-based SOH is defined as the ratio of a battery’s current capacity to its initial capacity, and its direct measurement requires a full charge–discharge test under controlled conditions. Such tests typically take several hours and interrupt normal operation, making frequent field testing impractical [4,5]. SOH must therefore be inferred from signals that can be acquired more rapidly. Data-driven approaches have been built on differential curves, partial charging curves, voltage relaxation, electrochemical impedance spectroscopy (EIS) and short current pulses. Most of them impose demanding operating requirements, such as prolonged data collection, complete controlled cycles or dedicated excitation hardware [1,4,6,8–11]; differential-curve peaks, for example, are further blurred by sensor noise and by the flat voltage plateau of lithium iron phosphate (LFP) cells [7]. These requirements are difficult to meet outside the laboratory. Short current pulses are a notable exception. A current pulse is essentially a time-domain impedance measurement [12], and under suitable test conditions its response can even be used to reconstruct impedance spectra [13]. Degradation modes such as loss of lithium inventory, loss of active material and interfacial film growth alter the pulse response, causing it to evolve with ageing [12,14], and pulse-based characterisation is already standard in battery testing [15]. Whereas a full hybrid pulse power characterisation sequence can exceed 12 h [17], a single pulse lasts only seconds to minutes and requires nothing more than a controlled current step, making pulse testing a rapid and practical route to capacity estimation [16]. For LFP cells, the pulse response is dominated by kinetic overpotentials, so its change with ageing remains measurable even where the equilibrium voltage barely moves.</w:t>
      </w:r>
    </w:p>
    <w:p>
      <w:pPr>
        <w:pStyle w:val="BodyText"/>
      </w:pPr>
      <w:r>
        <w:t xml:space="preserve">Data-driven SOH estimation relies on input features extracted from voltage, current, temperature or impedance measurements, and studies adopt diverse forms—voltage curves, incremental-capacity or differential-voltage curves, statistical metrics, frequency-domain indicators or model parameters—depending on battery type, operating condition and model structure. Deployment in battery management systems (BMSs) adds further constraints: inference must run in real time on resource-limited hardware, and black-box behaviour undermines trust in safety-relevant decisions [18,19]. By how they are obtained, the inputs fall into two categories [21,22]. One extracts handcrafted health indicators from voltage, current, temperature or incremental-capacity curves as inputs to regression models [3]. These indicators are physically interpretable but rely on human expertise and transfer poorly across operating conditions [21,22]. The other learns representations directly from raw sequences with deep networks; it avoids manual feature design but offers limited interpretability, and its performance depends heavily on how well the network architecture matches the task [18,22]. Multi-branch models can combine the strengths of both by fusing several input representations [23–25]; however, their encoders are selected at design time, and comparative evaluations focus on baseline models and fusion strategies rather than on systematic comparisons of branch encoders [24,25]. Systematic comparisons under consistent protocols and rigorous cross-validation also remain limited [26], and some benchmarks consider only a single input type [27]. Consequently, there is no consensus on feature extraction, and this fragmentation, together with the lack of standard evaluation protocols, makes it difficult to compare methods on a common basis and to transfer them to new batteries or real BMSs [20].</w:t>
      </w:r>
    </w:p>
    <w:p>
      <w:pPr>
        <w:pStyle w:val="BodyText"/>
      </w:pPr>
      <w:r>
        <w:t xml:space="preserve">For SOH estimation from short current pulses, existing studies each use a single input representation: Li et al. [16] and Nowacki et al. [28] use raw pulse responses, whereas Tao et al. [17,29] and Ran et al. [30] regress SOH on features extracted from the responses, and transfer across states of charge has also been examined [31]. These studies confirm that short pulses carry SOH-relevant information, but no consensus has been reached on how features should be extracted or which representation is preferable. Three issues remain unclear. First, the main effect of the encoder in each branch is unknown, including whether a more complex encoder for handcrafted features improves performance. Second, encoder pairing has not been examined: the performance of a waveform encoder may depend on the handcrafted-feature encoder it is paired with, a dependence that comparisons varying only one branch cannot capture. Third, comparability across studies is limited by differences in input information [32–34], data splitting and preprocessing [35,36] and training settings [26], and no common benchmark exists [37]. A systematic comparison is therefore needed in which both encoders are varied and all combinations are evaluated under a unified protocol. The answer also matters for deployment: if more complex encoders bring no benefit, lightweight structures should be preferred for resource-limited BMSs.</w:t>
      </w:r>
    </w:p>
    <w:p>
      <w:pPr>
        <w:pStyle w:val="BodyText"/>
      </w:pPr>
      <w:r>
        <w:t xml:space="preserve">Fusing handcrafted features with raw waveforms can improve SOH estimation [23–25,42]. However, previous studies fused signals from different measurements [42,43] or different transforms of one signal [24,25], and few have addressed the fusion of handcrafted features and raw waveforms derived from the same pulse; the design of a supplementary encoder for a single short pulse has received little attention. Handcrafted features as the primary branch are common practice in SOH estimation [3,17,29,30]. They have clear physical meanings and suit lightweight models [21], in line with BMS requirements for interpretability and cost, and context absent from the raw waveform, such as usage history, can be added to them explicitly. However, handcrafted features compress the response: each describes only a predefined property, so coverage of all ageing-related changes across operating conditions cannot be assured [22]. Moreover, most handcrafted features are differences, statistics or frequency-domain quantities computed individually, so joint changes across different parts of the transient are difficult to characterise. A learned encoder can extract such shape information directly from the raw waveform, including information not covered by handcrafted features. Used alone, however, learned encoders offer limited interpretability [18], and raw waveforms carry no information on operating conditions or usage history. A learned waveform encoder is therefore better suited to supplementing handcrafted features than to replacing them.</w:t>
      </w:r>
    </w:p>
    <w:p>
      <w:pPr>
        <w:pStyle w:val="BodyText"/>
      </w:pPr>
      <w:r>
        <w:t xml:space="preserve">For the waveform branch, patch-based encoders are a promising candidate. PatchTST encodes contiguous segments as tokens and relates them through self-attention [40], which may complement individually computed features. However, it was designed for long-sequence forecasting [40]. In battery research it has been applied to SOH estimation [44], lifetime prediction [45] and voltage prediction [46], but its adaptation to short-pulse inputs and scalar health estimation remains unexamined.</w:t>
      </w:r>
    </w:p>
    <w:p>
      <w:pPr>
        <w:pStyle w:val="BodyText"/>
      </w:pPr>
      <w:r>
        <w:t xml:space="preserve">To address these issues, we construct a complete comparison matrix of waveform and handcrafted-feature encoders under a unified experimental protocol, with identical data splits, preprocessing and training budgets. The matrix includes five waveform encoders with convolutional, fully connected, temporal convolutional [38], point-wise attention [39] and patch-based [40] architectures, and three handcrafted-feature encoders: a multilayer perceptron (MLP), a ResNet and an FT-Transformer [41]. All combinations are compared using cell-disjoint cross-validation. Unlike fusion studies that select branch encoders in advance [23–25] or model comparisons using a single input [27], this design estimates main effects, tests dependence on encoder pairing and attributes error differences to the encoders themselves. Based on the matrix, we develop a dual-branch model consisting of a primary handcrafted-feature branch, encoded by an MLP and incorporating operating context and cumulative cycling information, and a supplementary branch of patch-based waveform representations, for which a concrete adaptation of PatchTST from time-series forecasting to scalar SOH estimation is presented. The two branches are fused at a late stage. To reflect the general decline of capacity with cycling, a soft monotonicity constraint on predicted SOH with respect to the cumulative cycle count is imposed; unlike approaches built on degradation dynamics, mechanistic features or digital twins [47–49], it requires no mechanistic model. Ablation studies and cell-level statistical analysis quantify the contribution of each design factor. The waveform supplement reduces the error on most cells relative to handcrafted features alone, whereas removing the handcrafted-feature branch increases it, supporting the use of a learned waveform encoder to supplement rather than replace handcrafted features.</w:t>
      </w:r>
    </w:p>
    <w:p>
      <w:pPr>
        <w:pStyle w:val="BodyText"/>
      </w:pPr>
      <w:r>
        <w:t xml:space="preserve">The main contributions of this work are as follows:</w:t>
      </w:r>
    </w:p>
    <w:p>
      <w:pPr>
        <w:numPr>
          <w:ilvl w:val="0"/>
          <w:numId w:val="1003"/>
        </w:numPr>
      </w:pPr>
      <w:r>
        <w:t xml:space="preserve">We construct a complete comparison matrix of waveform and handcrafted-feature encoders under a unified experimental protocol, enabling comparable evaluation of their main effects and of their dependence on encoder pairing with identical data splits, preprocessing and training budgets.</w:t>
      </w:r>
    </w:p>
    <w:p>
      <w:pPr>
        <w:numPr>
          <w:ilvl w:val="0"/>
          <w:numId w:val="1003"/>
        </w:numPr>
      </w:pPr>
      <w:r>
        <w:t xml:space="preserve">We develop a dual-branch model for SOH estimation from short current pulses, using a primary handcrafted-feature branch supplemented by patch-based waveform representations, with operating context, cumulative cycling information and a concrete adaptation of PatchTST to scalar SOH estimation. Ablation studies and cell-level statistical analyses isolate the contributions of individual design factors and identify the conditions under which the waveform branch helps.</w:t>
      </w:r>
    </w:p>
    <w:p>
      <w:pPr>
        <w:numPr>
          <w:ilvl w:val="0"/>
          <w:numId w:val="1003"/>
        </w:numPr>
      </w:pPr>
      <w:r>
        <w:t xml:space="preserve">We examine the generality of the model on held-out cycling conditions, under cycle-count errors and sensor noise, with reduced pulse protocols and on an independent nickel–manganese–cobalt (NMC)/graphite dataset, on which the waveform increment is reproduced, and quantify its attribution and computational cost.</w:t>
      </w:r>
    </w:p>
    <w:bookmarkEnd w:id="24"/>
    <w:bookmarkStart w:id="25" w:name="三融合后的引言中文对照"/>
    <w:p>
      <w:pPr>
        <w:pStyle w:val="Heading1"/>
      </w:pPr>
      <w:r>
        <w:t xml:space="preserve">三、融合后的引言（中文对照）</w:t>
      </w:r>
    </w:p>
    <w:p>
      <w:pPr>
        <w:pStyle w:val="FirstParagraph"/>
      </w:pPr>
      <w:r>
        <w:rPr>
          <w:b/>
          <w:bCs/>
        </w:rPr>
        <w:t xml:space="preserve">1 引言</w:t>
      </w:r>
    </w:p>
    <w:p>
      <w:pPr>
        <w:pStyle w:val="BodyText"/>
      </w:pPr>
      <w:r>
        <w:t xml:space="preserve">电动汽车和储能系统中的锂离子电池在整个服役期内持续老化。健康状态（SOH）评估对于估计可用能量和功率、安排维护以及决定梯次利用至关重要[1–3]。容量型SOH定义为电池当前容量与初始容量之比，直接测量需要在受控条件下进行完整充放电。这类测试通常耗时数小时并中断电池正常运行，难以在现场频繁开展[4,5]，因此SOH须借助获取更快的信号来推断。已有数据驱动方法分别基于差分曲线、部分充电曲线、电压弛豫、电化学阻抗谱（EIS）和短时电流脉冲。这些方法大多对运行条件要求苛刻，如长时间采集数据、受控的完整循环或专用激励硬件[1,4,6,8–11]；例如差分曲线的特征峰还会被传感器噪声和磷酸铁锂（LFP）电芯平坦的电压平台所模糊[7]。这些条件在实验室之外难以满足。短时电流脉冲是一个例外。电流脉冲实质上是一种时域阻抗测量[12]，在适当的测试条件下，其响应甚至可用于重构阻抗谱[13]。锂库存损失、活性材料损失和界面膜生长等老化模式都会改变脉冲响应，使其随老化而演变[12,14]；基于脉冲的特性测试也已是电池测试中的标准手段[15]。完整的混合脉冲功率特性测试序列可能超过12 h[17]，而单次脉冲只持续数秒至数分钟，只需一个受控的电流阶跃，因此脉冲测试是估计容量的快速、实用途径[16]。对于LFP电芯，脉冲响应以动力学过电位为主，即使在平衡电压几乎不变的区间，其随老化的变化仍然可测。</w:t>
      </w:r>
    </w:p>
    <w:p>
      <w:pPr>
        <w:pStyle w:val="BodyText"/>
      </w:pPr>
      <w:r>
        <w:t xml:space="preserve">数据驱动的SOH估计依赖从电压、电流、温度或阻抗测量中提取的输入特征，不同研究依电池类型、工况和模型结构采用不同形式，包括电压曲线、增量容量或差分电压曲线、统计量、频域指标和模型参数。在电池管理系统（BMS）中部署还带来额外约束：推断须在资源受限的硬件上实时运行，而黑箱行为会削弱安全相关决策的可信度[18,19]。按获取方式，输入可分为两类[21,22]。一类从电压、电流、温度或增量容量曲线中提取人工健康指标，作为回归模型的输入[3]；这些指标具有物理可解释性，但依赖专家经验，且难以迁移到不同工况[21,22]。另一类由深度网络直接从原始序列中学习表征，免去了人工特征设计，但可解释性有限，其性能很大程度上取决于网络结构与任务的匹配程度[18,22]。多分支模型可通过融合多种输入表征兼顾两者的优点[23–25]；然而其编码器在设计时即已固定，对比评价主要针对基线模型和融合策略，而非对分支编码器的系统比较[24,25]。在一致协议和严格交叉验证下的系统比较也仍然有限[26]，部分基准研究只考虑单一输入类型[27]。因此，特征提取方式尚无共识；这种分散局面加上缺乏标准评价协议，使不同方法难以在同一基础上比较，也难以迁移到新的电池或实际BMS中[20]。</w:t>
      </w:r>
    </w:p>
    <w:p>
      <w:pPr>
        <w:pStyle w:val="BodyText"/>
      </w:pPr>
      <w:r>
        <w:t xml:space="preserve">在基于短时电流脉冲的SOH估计中，现有研究各自只使用一种输入表征：Li等[16]和Nowacki等[28]使用原始脉冲响应，Tao等[17,29]和Ran等[30]则以从响应中提取的特征进行回归，跨SOC的迁移也已有研究[31]。这些研究证实短时脉冲含有与SOH相关的信息，但对于如何提取特征、哪种表征更优仍无共识。具体而言，有三个问题尚不清楚。第一，各分支编码器的主效应未知，包括人工特征采用更复杂的编码器能否提升性能。第二，编码器组合尚未被考察：波形编码器的表现可能取决于与之搭配的人工特征编码器，而只改变一个分支的比较无法发现这种依赖。第三，不同研究在输入信息[32–34]、数据划分与预处理[35,36]和训练设置[26]上存在差异，且缺乏公共基准[37]，限制了研究间的可比性。因此，需要在统一协议下同时改变两个分支的编码器、评价全部组合。这一问题也关系到部署：若更复杂的编码器并无收益，资源受限的BMS就应优先采用轻量结构。</w:t>
      </w:r>
    </w:p>
    <w:p>
      <w:pPr>
        <w:pStyle w:val="BodyText"/>
      </w:pPr>
      <w:r>
        <w:t xml:space="preserve">人工特征与原始波形的融合可以改善SOH估计[23–25,42]。然而，已有研究融合的是来自不同测量的信号[42,43]或同一信号的不同变换[24,25]，很少涉及同一脉冲所得人工特征与原始波形的融合；针对单个短时脉冲的补充编码器设计也很少受到关注。以人工特征作为主分支是SOH估计中的常见做法[3,17,29,30]。人工特征物理意义明确，适合轻量模型[21]，符合BMS对可解释性和成本的要求；原始波形所缺少的上下文（如使用历史）也可以作为显式特征加入。然而，人工特征是对响应的压缩：每项特征只描述一种预先定义的性质，难以保证覆盖各工况下所有与老化相关的变化[22]。此外，多数人工特征是逐项计算的差值、统计量或频域量，难以刻画瞬态不同部分之间的联合变化。学习型编码器可以直接从原始波形中提取这类形状信息，包括人工特征未覆盖的信息。但单独使用时，学习型编码器的可解释性有限[18]，原始波形也不含工况和使用历史信息。因此，学习型波形编码器更适合作为人工特征的补充，而非替代。</w:t>
      </w:r>
    </w:p>
    <w:p>
      <w:pPr>
        <w:pStyle w:val="BodyText"/>
      </w:pPr>
      <w:r>
        <w:t xml:space="preserve">对于波形分支，片段化编码器是有前景的候选。PatchTST将连续片段编码为标记，并通过自注意力建立片段之间的联系[40]，可能与逐项计算的特征形成互补。然而，它原本是为长序列预测设计的[40]。在电池研究中，PatchTST已用于SOH估计[44]、寿命预测[45]和电压预测[46]，但如何将其改造用于短时脉冲输入和标量健康状态估计仍未被研究。</w:t>
      </w:r>
    </w:p>
    <w:p>
      <w:pPr>
        <w:pStyle w:val="BodyText"/>
      </w:pPr>
      <w:r>
        <w:t xml:space="preserve">针对上述问题，本文在统一实验协议下构建波形编码器与人工特征编码器的完整比较矩阵，各组合采用相同的数据划分、预处理和训练预算。矩阵包括卷积、全连接、时间卷积[38]、逐点注意力[39]和片段化[40]5种结构的波形编码器，以及多层感知机（MLP）、ResNet和FT-Transformer[41]3种人工特征编码器，全部组合均以电芯互斥交叉验证进行比较。与预先选定分支编码器的融合研究[23–25]或只使用单一输入的模型比较[27]不同，该设计可以估计主效应、检验编码器组合依赖，并将误差差异归因于编码器本身。在比较矩阵的基础上，本文构建双分支模型：主分支为人工特征分支，由MLP编码，并纳入工况上下文和累计循环信息；补充分支为片段化波形表征，并给出将PatchTST由时间序列预测改造用于标量SOH估计的具体方案。两个分支在后期融合。为体现容量随循环总体下降的规律，本文对预测SOH关于累计循环数施加单调软约束；与基于退化动力学、机理特征或数字孪生的方法[47–49]不同，该约束不需要机理模型。消融实验和电芯层级的统计分析量化了各设计因素的贡献。结果表明，相对只用人工特征，波形补充降低了多数电芯的误差，而去掉人工特征分支会使误差增加，支持以学习型波形编码器补充而非替代人工特征。</w:t>
      </w:r>
    </w:p>
    <w:p>
      <w:pPr>
        <w:pStyle w:val="BodyText"/>
      </w:pPr>
      <w:r>
        <w:t xml:space="preserve">本文的主要贡献如下：</w:t>
      </w:r>
    </w:p>
    <w:p>
      <w:pPr>
        <w:pStyle w:val="BodyText"/>
      </w:pPr>
      <w:r>
        <w:t xml:space="preserve">（1）在统一实验协议下构建波形编码器与人工特征编码器的完整比较矩阵，在相同的数据划分、预处理和训练预算下，可比地评价各编码器的主效应及其组合依赖。</w:t>
      </w:r>
    </w:p>
    <w:p>
      <w:pPr>
        <w:pStyle w:val="BodyText"/>
      </w:pPr>
      <w:r>
        <w:t xml:space="preserve">（2）构建基于短时电流脉冲的双分支SOH估计模型，以人工特征分支为主、片段化波形表征为补充，纳入工况上下文和累计循环信息，并给出PatchTST用于标量SOH估计的具体改造方案。消融实验和电芯层级的统计分析分离出各设计因素的贡献，并明确波形分支发挥作用的条件。</w:t>
      </w:r>
    </w:p>
    <w:p>
      <w:pPr>
        <w:pStyle w:val="BodyText"/>
      </w:pPr>
      <w:r>
        <w:t xml:space="preserve">（3）在留出循环工况、循环数误差与传感器噪声、精简脉冲协议以及独立的镍钴锰（NMC）/石墨数据集上检验模型的通用性，其中波形增量在NMC数据集上得到重复，并量化了模型的归因与计算开销。</w:t>
      </w:r>
    </w:p>
    <w:bookmarkEnd w:id="25"/>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ffiliation">
    <w:name w:val="Affiliation"/>
    <w:basedOn w:val="Normal"/>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FrontHeading">
    <w:name w:val="Front Heading"/>
    <w:basedOn w:val="Normal"/>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宋体"/>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2026-10-08T13:42:45Z</dcterms:created>
  <dcterms:modified xsi:type="dcterms:W3CDTF">2026-10-08T13:42:45Z</dcterms:modified>
</cp:coreProperties>
</file>

<file path=docProps/custom.xml><?xml version="1.0" encoding="utf-8"?>
<Properties xmlns="http://schemas.openxmlformats.org/officeDocument/2006/custom-properties" xmlns:vt="http://schemas.openxmlformats.org/officeDocument/2006/docPropsVTypes"/>
</file>