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r>
        <w:t xml:space="preserve">融合短时脉冲电压波形与人工特征的磷酸铁锂电池快速健康状态估计：编码器组合的受控比较</w:t>
      </w:r>
      <w:r>
        <w:t xml:space="preserve">”</w:t>
      </w:r>
      <w:r>
        <w:t xml:space="preserve">补充材料</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FrontHeading"/>
      </w:pPr>
      <w:r>
        <w:t xml:space="preserve">目录</w:t>
      </w:r>
    </w:p>
    <w:p>
      <w:pPr>
        <w:pStyle w:val="ContentsEntry"/>
      </w:pPr>
      <w:r>
        <w:t xml:space="preserve">补充说明S1 人工特征定义</w:t>
      </w:r>
    </w:p>
    <w:p>
      <w:pPr>
        <w:pStyle w:val="ContentsEntry"/>
      </w:pPr>
      <w:r>
        <w:t xml:space="preserve">补充说明S2 PatchTST编码器公式</w:t>
      </w:r>
    </w:p>
    <w:p>
      <w:pPr>
        <w:pStyle w:val="ContentsEntry"/>
      </w:pPr>
      <w:r>
        <w:t xml:space="preserve">补充说明S3 传统回归器的超参数网格</w:t>
      </w:r>
    </w:p>
    <w:p>
      <w:pPr>
        <w:pStyle w:val="ContentsEntry"/>
      </w:pPr>
      <w:r>
        <w:t xml:space="preserve">补充说明S4 统计检验族</w:t>
      </w:r>
    </w:p>
    <w:p>
      <w:pPr>
        <w:pStyle w:val="ContentsEntry"/>
      </w:pPr>
      <w:r>
        <w:t xml:space="preserve">补充说明S5 GBDT主干之上的波形增量</w:t>
      </w:r>
    </w:p>
    <w:p>
      <w:pPr>
        <w:pStyle w:val="ContentsEntry"/>
      </w:pPr>
      <w:r>
        <w:t xml:space="preserve">补充说明S6 泛化性、稳健性与部署实验所用的独立复现实现</w:t>
      </w:r>
    </w:p>
    <w:p>
      <w:pPr>
        <w:pStyle w:val="ContentsEntry"/>
      </w:pPr>
      <w:r>
        <w:t xml:space="preserve">补充算法S1；补充表S1～S7；补充图S1～S5</w:t>
      </w:r>
    </w:p>
    <w:bookmarkStart w:id="20" w:name="补充说明s1-人工特征定义"/>
    <w:p>
      <w:pPr>
        <w:pStyle w:val="Heading1"/>
        <w:pageBreakBefore/>
      </w:pPr>
      <w:r>
        <w:t xml:space="preserve">补充说明S1 人工特征定义</w:t>
      </w:r>
    </w:p>
    <w:p>
      <w:pPr>
        <w:pStyle w:val="FirstParagraph"/>
      </w:pPr>
      <w:r>
        <w:t xml:space="preserve">本说明给出表2中143项波形衍生特征的计算定义，7项上下文量见正文式（3）。分段划分沿用数据发布方的脉冲时序，与一阶、二阶差分序列一并定义如下：</w:t>
      </w:r>
    </w:p>
    <w:p>
      <w:pPr>
        <w:pStyle w:val="Equation"/>
        <w:tabs>
          <w:tab w:val="center" w:pos="4648"/>
          <w:tab w:val="right" w:pos="9297"/>
        </w:tabs>
      </w:pPr>
      <w:r>
        <w:rPr>
          <w:rFonts w:ascii="Times New Roman" w:hAnsi="Times New Roman" w:cs="Times New Roman"/>
          <w:sz w:val="22"/>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2"/>
        </w:rPr>
        <w:tab/>
        <w:t>(S1)</w:t>
      </w:r>
    </w:p>
    <w:p>
      <w:pPr>
        <w:pStyle w:val="BodyText"/>
      </w:pPr>
      <w:r>
        <w:rPr>
          <w:b/>
          <w:bCs/>
        </w:rPr>
        <w:t xml:space="preserve">基本统计算子。</w:t>
      </w:r>
      <w:r>
        <w:t xml:space="preserve">对任一窗口</w:t>
      </w:r>
      <m:oMath>
        <m:r>
          <m:t>x</m:t>
        </m:r>
      </m:oMath>
      <w:r>
        <w:t xml:space="preserve">（长度为</w:t>
      </w:r>
      <m:oMath>
        <m:r>
          <m:t>n</m:t>
        </m:r>
      </m:oMath>
      <w:r>
        <w:t xml:space="preserve">），各算子定义为：</w:t>
      </w:r>
    </w:p>
    <w:p>
      <w:pPr>
        <w:pStyle w:val="Equation"/>
        <w:tabs>
          <w:tab w:val="center" w:pos="4648"/>
          <w:tab w:val="right" w:pos="9297"/>
        </w:tabs>
      </w:pPr>
      <w:r>
        <w:rPr>
          <w:rFonts w:ascii="Times New Roman" w:hAnsi="Times New Roman" w:cs="Times New Roman"/>
          <w:sz w:val="22"/>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2"/>
        </w:rPr>
        <w:tab/>
        <w:t>(S2)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2"/>
        </w:rPr>
        <w:tab/>
        <w:t>(S3)</w:t>
      </w:r>
    </w:p>
    <w:p>
      <w:pPr>
        <w:pStyle w:val="BodyText"/>
      </w:pPr>
      <w:r>
        <w:t xml:space="preserve">标准差取总体口径（</w:t>
      </w:r>
      <m:oMath>
        <m:r>
          <m:t>1</m:t>
        </m:r>
        <m:r>
          <m:rPr>
            <m:sty m:val="p"/>
          </m:rPr>
          <m:t>/</m:t>
        </m:r>
        <m:r>
          <m:t>n</m:t>
        </m:r>
      </m:oMath>
      <w:r>
        <w:t xml:space="preserve">），但全局电压序列的标准差按发布方补充材料的定义取样本口径（</w:t>
      </w:r>
      <m:oMath>
        <m:r>
          <m:t>1</m:t>
        </m:r>
        <m:r>
          <m:rPr>
            <m:sty m:val="p"/>
          </m:rPr>
          <m:t>/</m:t>
        </m:r>
        <m:d>
          <m:dPr>
            <m:begChr m:val="("/>
            <m:sepChr m:val=""/>
            <m:endChr m:val=")"/>
            <m:grow/>
          </m:dPr>
          <m:e>
            <m:r>
              <m:t>n</m:t>
            </m:r>
            <m:r>
              <m:rPr>
                <m:sty m:val="p"/>
              </m:rPr>
              <m:t>−</m:t>
            </m:r>
            <m:r>
              <m:t>1</m:t>
            </m:r>
          </m:e>
        </m:d>
      </m:oMath>
      <w:r>
        <w:t xml:space="preserve">）；二者在特征清单中分别标注。</w:t>
      </w:r>
    </w:p>
    <w:p>
      <w:pPr>
        <w:pStyle w:val="BodyText"/>
      </w:pPr>
      <w:r>
        <w:rPr>
          <w:b/>
          <w:bCs/>
        </w:rPr>
        <w:t xml:space="preserve">形状描述量。</w:t>
      </w:r>
      <w:r>
        <w:t xml:space="preserve">采用偏差校正的Fisher–Pearson偏度与超额峰度，其中</w:t>
      </w:r>
      <m:oMath>
        <m:sSub>
          <m:e>
            <m:r>
              <m:t>m</m:t>
            </m:r>
          </m:e>
          <m:sub>
            <m:r>
              <m:t>k</m:t>
            </m:r>
          </m:sub>
        </m:sSub>
      </m:oMath>
      <w:r>
        <w:t xml:space="preserve">为</w:t>
      </w:r>
      <m:oMath>
        <m:r>
          <m:t>k</m:t>
        </m:r>
      </m:oMath>
      <w:r>
        <w:t xml:space="preserve">阶中心矩：</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2"/>
        </w:rPr>
        <w:tab/>
        <w:t>(S4)</w:t>
      </w:r>
    </w:p>
    <w:p>
      <w:pPr>
        <w:pStyle w:val="BodyText"/>
      </w:pPr>
      <w:r>
        <w:rPr>
          <w:b/>
          <w:bCs/>
        </w:rPr>
        <w:t xml:space="preserve">直方图熵。</w:t>
      </w:r>
      <w:r>
        <w:t xml:space="preserve">在窗口自身的取值范围上划分16个等宽区间，</w:t>
      </w:r>
      <m:oMath>
        <m:sSub>
          <m:e>
            <m:r>
              <m:t>p</m:t>
            </m:r>
          </m:e>
          <m:sub>
            <m:r>
              <m:t>i</m:t>
            </m:r>
          </m:sub>
        </m:sSub>
      </m:oMath>
      <w:r>
        <w:t xml:space="preserve">为落入第</w:t>
      </w:r>
      <m:oMath>
        <m:r>
          <m:t>i</m:t>
        </m:r>
      </m:oMath>
      <w:r>
        <w:t xml:space="preserve">个区间的样本比例：</w:t>
      </w:r>
    </w:p>
    <w:p>
      <w:pPr>
        <w:pStyle w:val="Equation"/>
        <w:tabs>
          <w:tab w:val="center" w:pos="4648"/>
          <w:tab w:val="right" w:pos="9297"/>
        </w:tabs>
      </w:pPr>
      <w:r>
        <w:rPr>
          <w:rFonts w:ascii="Times New Roman" w:hAnsi="Times New Roman" w:cs="Times New Roman"/>
          <w:sz w:val="22"/>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2"/>
        </w:rPr>
        <w:tab/>
        <w:t>(S5)</w:t>
      </w:r>
    </w:p>
    <w:p>
      <w:pPr>
        <w:pStyle w:val="BodyText"/>
      </w:pPr>
      <w:r>
        <w:rPr>
          <w:b/>
          <w:bCs/>
        </w:rPr>
        <w:t xml:space="preserve">线性趋势。</w:t>
      </w:r>
      <w:r>
        <w:t xml:space="preserve">以采样序号</w:t>
      </w:r>
      <m:oMath>
        <m:sSub>
          <m:e>
            <m:r>
              <m:t>t</m:t>
            </m:r>
          </m:e>
          <m:sub>
            <m:r>
              <m:t>i</m:t>
            </m:r>
          </m:sub>
        </m:sSub>
      </m:oMath>
      <w:r>
        <w:t xml:space="preserve">为自变量作最小二乘直线拟合：</w:t>
      </w:r>
    </w:p>
    <w:p>
      <w:pPr>
        <w:pStyle w:val="Equation"/>
        <w:tabs>
          <w:tab w:val="center" w:pos="4648"/>
          <w:tab w:val="right" w:pos="9297"/>
        </w:tabs>
      </w:pPr>
      <w:r>
        <w:rPr>
          <w:rFonts w:ascii="Times New Roman" w:hAnsi="Times New Roman" w:cs="Times New Roman"/>
          <w:sz w:val="22"/>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2"/>
        </w:rPr>
        <w:tab/>
        <w:t>(S6)</w:t>
      </w:r>
    </w:p>
    <w:p>
      <w:pPr>
        <w:pStyle w:val="BodyText"/>
      </w:pPr>
      <w:r>
        <w:rPr>
          <w:b/>
          <w:bCs/>
        </w:rPr>
        <w:t xml:space="preserve">过零数与总变差。</w:t>
      </w:r>
      <w:r>
        <w:t xml:space="preserve">差分序列先剔除恰为零的元素得到</w:t>
      </w:r>
      <m:oMath>
        <m:r>
          <m:t>y</m:t>
        </m:r>
      </m:oMath>
      <w:r>
        <w:t xml:space="preserve">，再统计其过零数：</w:t>
      </w:r>
    </w:p>
    <w:p>
      <w:pPr>
        <w:pStyle w:val="Equation"/>
        <w:tabs>
          <w:tab w:val="center" w:pos="4648"/>
          <w:tab w:val="right" w:pos="9297"/>
        </w:tabs>
      </w:pPr>
      <w:r>
        <w:rPr>
          <w:rFonts w:ascii="Times New Roman" w:hAnsi="Times New Roman" w:cs="Times New Roman"/>
          <w:sz w:val="22"/>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2"/>
        </w:rPr>
        <w:tab/>
        <w:t>(S7)</w:t>
      </w:r>
    </w:p>
    <w:p>
      <w:pPr>
        <w:pStyle w:val="BodyText"/>
      </w:pPr>
      <w:r>
        <w:t xml:space="preserve">式（S2）～（S7）中的15个算子分别作用于</w:t>
      </w:r>
      <m:oMath>
        <m:sSup>
          <m:e>
            <m:r>
              <m:t>S</m:t>
            </m:r>
          </m:e>
          <m:sup>
            <m:d>
              <m:dPr>
                <m:begChr m:val="("/>
                <m:sepChr m:val=""/>
                <m:endChr m:val=")"/>
                <m:grow/>
              </m:dPr>
              <m:e>
                <m:r>
                  <m:t>1</m:t>
                </m:r>
              </m:e>
            </m:d>
          </m:sup>
        </m:sSup>
      </m:oMath>
      <w:r>
        <w:t xml:space="preserve">、</w:t>
      </w:r>
      <m:oMath>
        <m:sSup>
          <m:e>
            <m:r>
              <m:t>S</m:t>
            </m:r>
          </m:e>
          <m:sup>
            <m:d>
              <m:dPr>
                <m:begChr m:val="("/>
                <m:sepChr m:val=""/>
                <m:endChr m:val=")"/>
                <m:grow/>
              </m:dPr>
              <m:e>
                <m:r>
                  <m:t>2</m:t>
                </m:r>
              </m:e>
            </m:d>
          </m:sup>
        </m:sSup>
      </m:oMath>
      <w:r>
        <w:t xml:space="preserve">和</w:t>
      </w:r>
      <m:oMath>
        <m:sSup>
          <m:e>
            <m:r>
              <m:t>S</m:t>
            </m:r>
          </m:e>
          <m:sup>
            <m:d>
              <m:dPr>
                <m:begChr m:val="("/>
                <m:sepChr m:val=""/>
                <m:endChr m:val=")"/>
                <m:grow/>
              </m:dPr>
              <m:e>
                <m:r>
                  <m:t>3</m:t>
                </m:r>
              </m:e>
            </m:d>
          </m:sup>
        </m:sSup>
      </m:oMath>
      <w:r>
        <w:t xml:space="preserve">，产生45项分段统计量；作用于全序列以及</w:t>
      </w:r>
      <m:oMath>
        <m:sSup>
          <m:e>
            <m:r>
              <m:t>d</m:t>
            </m:r>
          </m:e>
          <m:sup>
            <m:d>
              <m:dPr>
                <m:begChr m:val="("/>
                <m:sepChr m:val=""/>
                <m:endChr m:val=")"/>
                <m:grow/>
              </m:dPr>
              <m:e>
                <m:r>
                  <m:t>1</m:t>
                </m:r>
              </m:e>
            </m:d>
          </m:sup>
        </m:sSup>
      </m:oMath>
      <w:r>
        <w:t xml:space="preserve">和</w:t>
      </w:r>
      <m:oMath>
        <m:sSup>
          <m:e>
            <m:r>
              <m:t>d</m:t>
            </m:r>
          </m:e>
          <m:sup>
            <m:d>
              <m:dPr>
                <m:begChr m:val="("/>
                <m:sepChr m:val=""/>
                <m:endChr m:val=")"/>
                <m:grow/>
              </m:dPr>
              <m:e>
                <m:r>
                  <m:t>2</m:t>
                </m:r>
              </m:e>
            </m:d>
          </m:sup>
        </m:sSup>
      </m:oMath>
      <w:r>
        <w:t xml:space="preserve">后，连同端点量与分位量，共产生24项全局波形量和22项差分动力学量。</w:t>
      </w:r>
    </w:p>
    <w:p>
      <w:pPr>
        <w:pStyle w:val="BodyText"/>
      </w:pPr>
      <w:r>
        <w:rPr>
          <w:b/>
          <w:bCs/>
        </w:rPr>
        <w:t xml:space="preserve">频域特征。</w:t>
      </w:r>
      <w:r>
        <w:t xml:space="preserve">去均值后的序列经Hann窗加权，再作实数快速傅里叶变换（</w:t>
      </w:r>
      <m:oMath>
        <m:r>
          <m:t>N</m:t>
        </m:r>
        <m:r>
          <m:rPr>
            <m:sty m:val="p"/>
          </m:rPr>
          <m:t>=</m:t>
        </m:r>
        <m:r>
          <m:t>101</m:t>
        </m:r>
      </m:oMath>
      <w:r>
        <w:t xml:space="preserve">，频率单位为周每采样点）：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2"/>
        </w:rPr>
        <w:tab/>
        <w:t>(S8)</w:t>
      </w:r>
    </w:p>
    <w:p>
      <w:pPr>
        <w:pStyle w:val="BodyText"/>
      </w:pPr>
      <w:r>
        <w:t xml:space="preserve">前8条非直流谱线的幅值与4个频带的能量占比分别为：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2"/>
        </w:rPr>
        <w:tab/>
        <w:t>(S9)</w:t>
      </w:r>
    </w:p>
    <w:p>
      <w:pPr>
        <w:pStyle w:val="BodyText"/>
      </w:pPr>
      <w:r>
        <w:t xml:space="preserve">谱形特征均剔除直流分量后计算，依次为主频、主频幅值、谱质心、谱展宽、谱平坦度、谱熵与85%能量滚降频率：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2"/>
        </w:rPr>
        <w:tab/>
        <w:t>(S10)</w:t>
      </w:r>
    </w:p>
    <w:p>
      <w:pPr>
        <w:pStyle w:val="Equation"/>
        <w:tabs>
          <w:tab w:val="center" w:pos="4648"/>
          <w:tab w:val="right" w:pos="9297"/>
        </w:tabs>
      </w:pPr>
      <w:r>
        <w:rPr>
          <w:rFonts w:ascii="Times New Roman" w:hAnsi="Times New Roman" w:cs="Times New Roman"/>
          <w:sz w:val="22"/>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2"/>
        </w:rPr>
        <w:tab/>
        <w:t>(S11)</w:t>
      </w:r>
    </w:p>
    <w:p>
      <w:pPr>
        <w:pStyle w:val="BodyText"/>
      </w:pPr>
      <w:r>
        <w:rPr>
          <w:b/>
          <w:bCs/>
        </w:rPr>
        <w:t xml:space="preserve">小波特征。</w:t>
      </w:r>
      <w:r>
        <w:t xml:space="preserve">采用对称延拓的db2小波作4层分解，得到各层系数集</w:t>
      </w:r>
      <m:oMath>
        <m:r>
          <m:t>c</m:t>
        </m:r>
      </m:oMath>
      <w:r>
        <w:t xml:space="preserve">，其能量占比为：</w:t>
      </w:r>
    </w:p>
    <w:p>
      <w:pPr>
        <w:pStyle w:val="Equation"/>
        <w:tabs>
          <w:tab w:val="center" w:pos="4648"/>
          <w:tab w:val="right" w:pos="9297"/>
        </w:tabs>
      </w:pPr>
      <w:r>
        <w:rPr>
          <w:rFonts w:ascii="Times New Roman" w:hAnsi="Times New Roman" w:cs="Times New Roman"/>
          <w:sz w:val="22"/>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2"/>
        </w:rPr>
        <w:tab/>
        <w:t>(S12)</w:t>
      </w:r>
    </w:p>
    <w:p>
      <w:pPr>
        <w:pStyle w:val="BodyText"/>
      </w:pPr>
      <w:r>
        <w:t xml:space="preserve">式（S8）～（S12）共产生24项频域与小波量（8项幅值、4项频带占比、7项谱形特征和5项小波能量占比）。其中主频在全数据集上仅有1个取值，滚降频率仅有2个取值且在第0折的训练电芯内恒定；二者的秩相关在相应折上无定义，按2.3.3节的有限性条件被跳过，这也是特征数量阶梯的上限取144而非146的原因。</w:t>
      </w:r>
    </w:p>
    <w:p>
      <w:pPr>
        <w:pStyle w:val="BodyText"/>
      </w:pPr>
      <w:r>
        <w:rPr>
          <w:b/>
          <w:bCs/>
        </w:rPr>
        <w:t xml:space="preserve">非线性特征。</w:t>
      </w:r>
      <w:r>
        <w:t xml:space="preserve">滞后自相关（</w:t>
      </w:r>
      <m:oMath>
        <m:r>
          <m:rPr>
            <m:sty m:val="p"/>
          </m:rPr>
          <m:t>ℓ</m:t>
        </m:r>
        <m:r>
          <m:rPr>
            <m:sty m:val="p"/>
          </m:rPr>
          <m:t>∈</m:t>
        </m:r>
        <m:r>
          <m:rPr>
            <m:sty m:val="p"/>
          </m:rPr>
          <m:t>{</m:t>
        </m:r>
        <m:r>
          <m:t>1</m:t>
        </m:r>
        <m:r>
          <m:rPr>
            <m:sty m:val="p"/>
          </m:rPr>
          <m:t>,</m:t>
        </m:r>
        <m:r>
          <m:t>5</m:t>
        </m:r>
        <m:r>
          <m:rPr>
            <m:sty m:val="p"/>
          </m:rPr>
          <m:t>,</m:t>
        </m:r>
        <m:r>
          <m:t>10</m:t>
        </m:r>
        <m:r>
          <m:rPr>
            <m:sty m:val="p"/>
          </m:rPr>
          <m:t>}</m:t>
        </m:r>
      </m:oMath>
      <w:r>
        <w:t xml:space="preserve">）与Hjorth三参数定义为：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2"/>
        </w:rPr>
        <w:tab/>
        <w:t>(S13)</w:t>
      </w:r>
    </w:p>
    <w:p>
      <w:pPr>
        <w:pStyle w:val="BodyText"/>
      </w:pPr>
      <w:r>
        <w:t xml:space="preserve">近似熵与样本熵取嵌入维</w:t>
      </w:r>
      <m:oMath>
        <m:r>
          <m:t>m</m:t>
        </m:r>
        <m:r>
          <m:rPr>
            <m:sty m:val="p"/>
          </m:rPr>
          <m:t>=</m:t>
        </m:r>
        <m:r>
          <m:t>2</m:t>
        </m:r>
      </m:oMath>
      <w:r>
        <w:t xml:space="preserve">（及</w:t>
      </w:r>
      <m:oMath>
        <m:r>
          <m:t>m</m:t>
        </m:r>
        <m:r>
          <m:rPr>
            <m:sty m:val="p"/>
          </m:rPr>
          <m:t>+</m:t>
        </m:r>
        <m:r>
          <m:t>1</m:t>
        </m:r>
        <m:r>
          <m:rPr>
            <m:sty m:val="p"/>
          </m:rPr>
          <m:t>=</m:t>
        </m:r>
        <m:r>
          <m:t>3</m:t>
        </m:r>
      </m:oMath>
      <w:r>
        <w:t xml:space="preserve">）、容差</w:t>
      </w:r>
      <m:oMath>
        <m:r>
          <m:t>r</m:t>
        </m:r>
        <m:r>
          <m:rPr>
            <m:sty m:val="p"/>
          </m:rPr>
          <m:t>=</m:t>
        </m:r>
        <m:r>
          <m:t>0.2</m:t>
        </m:r>
        <m:r>
          <m:t>σ</m:t>
        </m:r>
        <m:d>
          <m:dPr>
            <m:begChr m:val="("/>
            <m:sepChr m:val=""/>
            <m:endChr m:val=")"/>
            <m:grow/>
          </m:dPr>
          <m:e>
            <m:r>
              <m:t>V</m:t>
            </m:r>
          </m:e>
        </m:d>
      </m:oMath>
      <w:r>
        <w:t xml:space="preserve">和Chebyshev距离；近似熵计入自匹配，而样本熵仅统计</w:t>
      </w:r>
      <m:oMath>
        <m:r>
          <m:t>i</m:t>
        </m:r>
        <m:r>
          <m:rPr>
            <m:sty m:val="p"/>
          </m:rPr>
          <m:t>&lt;</m:t>
        </m:r>
        <m:r>
          <m:t>j</m:t>
        </m:r>
      </m:oMath>
      <w:r>
        <w:t xml:space="preserve">的配对：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2"/>
        </w:rPr>
        <w:tab/>
        <w:t>(S14)</w:t>
      </w:r>
    </w:p>
    <w:p>
      <w:pPr>
        <w:pStyle w:val="BodyText"/>
      </w:pPr>
      <w:r>
        <w:t xml:space="preserve">排列熵取阶3、延迟1；Hurst指数为在滞后集</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上作变差图回归所得的斜率：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2"/>
        </w:rPr>
        <w:tab/>
        <w:t>(S15)</w:t>
      </w:r>
    </w:p>
    <w:p>
      <w:pPr>
        <w:pStyle w:val="BodyText"/>
      </w:pPr>
      <w:r>
        <w:rPr>
          <w:b/>
          <w:bCs/>
        </w:rPr>
        <w:t xml:space="preserve">瞬态边界特征。</w:t>
      </w:r>
      <w:r>
        <w:t xml:space="preserve">取指定采样点之间的电压差刻画区段之间的过渡，包括电流变化处的跃变（</w:t>
      </w:r>
      <m:oMath>
        <m:sSub>
          <m:e>
            <m:r>
              <m:t>V</m:t>
            </m:r>
          </m:e>
          <m:sub>
            <m:r>
              <m:t>1</m:t>
            </m:r>
          </m:sub>
        </m:sSub>
        <m:r>
          <m:rPr>
            <m:sty m:val="p"/>
          </m:rPr>
          <m:t>−</m:t>
        </m:r>
        <m:sSub>
          <m:e>
            <m:r>
              <m:t>V</m:t>
            </m:r>
          </m:e>
          <m:sub>
            <m:r>
              <m:t>0</m:t>
            </m:r>
          </m:sub>
        </m:sSub>
      </m:oMath>
      <w:r>
        <w:t xml:space="preserve">、</w:t>
      </w:r>
      <m:oMath>
        <m:sSub>
          <m:e>
            <m:r>
              <m:t>V</m:t>
            </m:r>
          </m:e>
          <m:sub>
            <m:r>
              <m:t>31</m:t>
            </m:r>
          </m:sub>
        </m:sSub>
        <m:r>
          <m:rPr>
            <m:sty m:val="p"/>
          </m:rPr>
          <m:t>−</m:t>
        </m:r>
        <m:sSub>
          <m:e>
            <m:r>
              <m:t>V</m:t>
            </m:r>
          </m:e>
          <m:sub>
            <m:r>
              <m:t>30</m:t>
            </m:r>
          </m:sub>
        </m:sSub>
      </m:oMath>
      <w:r>
        <w:t xml:space="preserve">、</w:t>
      </w:r>
      <m:oMath>
        <m:sSub>
          <m:e>
            <m:r>
              <m:t>V</m:t>
            </m:r>
          </m:e>
          <m:sub>
            <m:r>
              <m:t>41</m:t>
            </m:r>
          </m:sub>
        </m:sSub>
        <m:r>
          <m:rPr>
            <m:sty m:val="p"/>
          </m:rPr>
          <m:t>−</m:t>
        </m:r>
        <m:sSub>
          <m:e>
            <m:r>
              <m:t>V</m:t>
            </m:r>
          </m:e>
          <m:sub>
            <m:r>
              <m:t>40</m:t>
            </m:r>
          </m:sub>
        </m:sSub>
      </m:oMath>
      <w:r>
        <w:t xml:space="preserve">）和段内净变化（</w:t>
      </w:r>
      <m:oMath>
        <m:sSub>
          <m:e>
            <m:r>
              <m:t>V</m:t>
            </m:r>
          </m:e>
          <m:sub>
            <m:r>
              <m:t>30</m:t>
            </m:r>
          </m:sub>
        </m:sSub>
        <m:r>
          <m:rPr>
            <m:sty m:val="p"/>
          </m:rPr>
          <m:t>−</m:t>
        </m:r>
        <m:sSub>
          <m:e>
            <m:r>
              <m:t>V</m:t>
            </m:r>
          </m:e>
          <m:sub>
            <m:r>
              <m:t>1</m:t>
            </m:r>
          </m:sub>
        </m:sSub>
      </m:oMath>
      <w:r>
        <w:t xml:space="preserve">、</w:t>
      </w:r>
      <m:oMath>
        <m:sSub>
          <m:e>
            <m:r>
              <m:t>V</m:t>
            </m:r>
          </m:e>
          <m:sub>
            <m:r>
              <m:t>40</m:t>
            </m:r>
          </m:sub>
        </m:sSub>
        <m:r>
          <m:rPr>
            <m:sty m:val="p"/>
          </m:rPr>
          <m:t>−</m:t>
        </m:r>
        <m:sSub>
          <m:e>
            <m:r>
              <m:t>V</m:t>
            </m:r>
          </m:e>
          <m:sub>
            <m:r>
              <m:t>31</m:t>
            </m:r>
          </m:sub>
        </m:sSub>
      </m:oMath>
      <w:r>
        <w:t xml:space="preserve">、</w:t>
      </w:r>
      <m:oMath>
        <m:sSub>
          <m:e>
            <m:r>
              <m:t>V</m:t>
            </m:r>
          </m:e>
          <m:sub>
            <m:r>
              <m:t>100</m:t>
            </m:r>
          </m:sub>
        </m:sSub>
        <m:r>
          <m:rPr>
            <m:sty m:val="p"/>
          </m:rPr>
          <m:t>−</m:t>
        </m:r>
        <m:sSub>
          <m:e>
            <m:r>
              <m:t>V</m:t>
            </m:r>
          </m:e>
          <m:sub>
            <m:r>
              <m:t>41</m:t>
            </m:r>
          </m:sub>
        </m:sSub>
      </m:oMath>
      <w:r>
        <w:t xml:space="preserve">）等共15项。另在静置段</w:t>
      </w:r>
      <m:oMath>
        <m:sSup>
          <m:e>
            <m:r>
              <m:t>S</m:t>
            </m:r>
          </m:e>
          <m:sup>
            <m:d>
              <m:dPr>
                <m:begChr m:val="("/>
                <m:sepChr m:val=""/>
                <m:endChr m:val=")"/>
                <m:grow/>
              </m:dPr>
              <m:e>
                <m:r>
                  <m:t>3</m:t>
                </m:r>
              </m:e>
            </m:d>
          </m:sup>
        </m:sSup>
      </m:oMath>
      <w:r>
        <w:t xml:space="preserve">上定义3个响应时间，相邻采样点之间按线性插值取值，</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2"/>
        </w:rPr>
        <w:tab/>
        <w:t>(S16)</w:t>
      </w:r>
    </w:p>
    <w:bookmarkEnd w:id="20"/>
    <w:bookmarkStart w:id="21" w:name="补充说明s2-patchtst编码器公式"/>
    <w:p>
      <w:pPr>
        <w:pStyle w:val="Heading1"/>
      </w:pPr>
      <w:r>
        <w:t xml:space="preserve">补充说明S2 PatchTST编码器公式</w:t>
      </w:r>
    </w:p>
    <w:p>
      <w:pPr>
        <w:pStyle w:val="FirstParagraph"/>
      </w:pPr>
      <w:r>
        <w:t xml:space="preserve">式（12）中的每个片段</w:t>
      </w:r>
      <m:oMath>
        <m:sSub>
          <m:e>
            <m:r>
              <m:rPr>
                <m:sty m:val="b"/>
              </m:rPr>
              <m:t>p</m:t>
            </m:r>
          </m:e>
          <m:sub>
            <m:r>
              <m:t>m</m:t>
            </m:r>
          </m:sub>
        </m:sSub>
      </m:oMath>
      <w:r>
        <w:t xml:space="preserve">经共享线性映射嵌入，并叠加可学习的位置嵌入</w:t>
      </w:r>
      <m:oMath>
        <m:sSub>
          <m:e>
            <m:r>
              <m:rPr>
                <m:sty m:val="b"/>
              </m:rPr>
              <m:t>e</m:t>
            </m:r>
          </m:e>
          <m:sub>
            <m:r>
              <m:t>m</m:t>
            </m:r>
          </m:sub>
        </m:sSub>
      </m:oMath>
      <w:r>
        <w:t xml:space="preserve">，后者按</w:t>
      </w:r>
      <m:oMath>
        <m:r>
          <m:rPr>
            <m:scr m:val="script"/>
            <m:sty m:val="p"/>
          </m:rPr>
          <m:t>N</m:t>
        </m:r>
        <m:d>
          <m:dPr>
            <m:begChr m:val="("/>
            <m:sepChr m:val=""/>
            <m:endChr m:val=")"/>
            <m:grow/>
          </m:dPr>
          <m:e>
            <m:r>
              <m:t>0</m:t>
            </m:r>
            <m:r>
              <m:rPr>
                <m:sty m:val="p"/>
              </m:rPr>
              <m:t>,</m:t>
            </m:r>
            <m:sSup>
              <m:e>
                <m:r>
                  <m:t>0.02</m:t>
                </m:r>
              </m:e>
              <m:sup>
                <m:r>
                  <m:t>2</m:t>
                </m:r>
              </m:sup>
            </m:sSup>
          </m:e>
        </m:d>
      </m:oMath>
      <w:r>
        <w:t xml:space="preserve">初始化，并与网络一同训练：</w:t>
      </w:r>
    </w:p>
    <w:p>
      <w:pPr>
        <w:pStyle w:val="Equation"/>
        <w:tabs>
          <w:tab w:val="center" w:pos="4648"/>
          <w:tab w:val="right" w:pos="9297"/>
        </w:tabs>
      </w:pPr>
      <w:r>
        <w:rPr>
          <w:rFonts w:ascii="Times New Roman" w:hAnsi="Times New Roman" w:cs="Times New Roman"/>
          <w:sz w:val="22"/>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2"/>
        </w:rPr>
        <w:tab/>
        <w:t>(S17)</w:t>
      </w:r>
    </w:p>
    <w:p>
      <w:pPr>
        <w:pStyle w:val="BodyText"/>
      </w:pPr>
      <m:oMath>
        <m:r>
          <m:t>M</m:t>
        </m:r>
      </m:oMath>
      <w:r>
        <w:t xml:space="preserve">个标记进入单层Transformer编码器，其多头自注意力（</w:t>
      </w:r>
      <m:oMath>
        <m:r>
          <m:t>h</m:t>
        </m:r>
        <m:r>
          <m:rPr>
            <m:sty m:val="p"/>
          </m:rPr>
          <m:t>=</m:t>
        </m:r>
        <m:r>
          <m:t>4</m:t>
        </m:r>
      </m:oMath>
      <w:r>
        <w:t xml:space="preserve">个头，</w:t>
      </w:r>
      <m:oMath>
        <m:sSub>
          <m:e>
            <m:r>
              <m:t>d</m:t>
            </m:r>
          </m:e>
          <m:sub>
            <m:r>
              <m:t>k</m:t>
            </m:r>
          </m:sub>
        </m:sSub>
        <m:r>
          <m:rPr>
            <m:sty m:val="p"/>
          </m:rPr>
          <m:t>=</m:t>
        </m:r>
        <m:r>
          <m:t>D</m:t>
        </m:r>
        <m:r>
          <m:rPr>
            <m:sty m:val="p"/>
          </m:rPr>
          <m:t>/</m:t>
        </m:r>
        <m:r>
          <m:t>h</m:t>
        </m:r>
        <m:r>
          <m:rPr>
            <m:sty m:val="p"/>
          </m:rPr>
          <m:t>=</m:t>
        </m:r>
        <m:r>
          <m:t>8</m:t>
        </m:r>
      </m:oMath>
      <w:r>
        <w:t xml:space="preserve">）在片段之间计算：</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2"/>
        </w:rPr>
        <w:tab/>
        <w:t>(S18)</w:t>
      </w:r>
    </w:p>
    <w:p>
      <w:pPr>
        <w:pStyle w:val="BodyText"/>
      </w:pPr>
      <w:r>
        <w:t xml:space="preserve">该层采用后置层归一化的残差连接，前馈子层宽度为</w:t>
      </w:r>
      <m:oMath>
        <m:r>
          <m:t>2</m:t>
        </m:r>
        <m:r>
          <m:t>D</m:t>
        </m:r>
        <m:r>
          <m:rPr>
            <m:sty m:val="p"/>
          </m:rPr>
          <m:t>=</m:t>
        </m:r>
        <m:r>
          <m:t>64</m:t>
        </m:r>
      </m:oMath>
      <w:r>
        <w:t xml:space="preserve">，激活函数为GELU，随机失活率为0.2：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2"/>
        </w:rPr>
        <w:tab/>
        <w:t>(S19)</w:t>
      </w:r>
    </w:p>
    <w:p>
      <w:pPr>
        <w:pStyle w:val="BodyText"/>
      </w:pPr>
      <w:r>
        <w:t xml:space="preserve">编码结果再经层归一化、跨标记均值池化与线性投影，得到32维波形表征：</w:t>
      </w:r>
    </w:p>
    <w:p>
      <w:pPr>
        <w:pStyle w:val="Equation"/>
        <w:tabs>
          <w:tab w:val="center" w:pos="4648"/>
          <w:tab w:val="right" w:pos="9297"/>
        </w:tabs>
      </w:pPr>
      <w:r>
        <w:rPr>
          <w:rFonts w:ascii="Times New Roman" w:hAnsi="Times New Roman" w:cs="Times New Roman"/>
          <w:sz w:val="22"/>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2"/>
        </w:rPr>
        <w:tab/>
        <w:t>(S20)</w:t>
      </w:r>
    </w:p>
    <w:bookmarkEnd w:id="21"/>
    <w:bookmarkStart w:id="22" w:name="补充说明s3-传统回归器的超参数网格"/>
    <w:p>
      <w:pPr>
        <w:pStyle w:val="Heading1"/>
      </w:pPr>
      <w:r>
        <w:t xml:space="preserve">补充说明S3 传统回归器的超参数网格</w:t>
      </w:r>
    </w:p>
    <w:p>
      <w:pPr>
        <w:pStyle w:val="FirstParagraph"/>
      </w:pPr>
      <w:r>
        <w:t xml:space="preserve">超参数在各折验证电芯上按电芯宏平均RMSE选择，与神经网络早停使用同一批验证电芯；选定的模型不在训练与验证电芯上重新拟合。岭回归：正则系数取10</w:t>
      </w:r>
      <w:r>
        <w:rPr>
          <w:vertAlign w:val="superscript"/>
        </w:rPr>
        <w:t xml:space="preserve">−4</w:t>
      </w:r>
      <w:r>
        <w:t xml:space="preserve">～10</w:t>
      </w:r>
      <w:r>
        <w:rPr>
          <w:vertAlign w:val="superscript"/>
        </w:rPr>
        <w:t xml:space="preserve">3</w:t>
      </w:r>
      <w:r>
        <w:t xml:space="preserve">。随机森林：300棵树，最大特征比例 ∈ {0.33, 1.0}，最小叶样本数 ∈ {1, 5, 20}，种子0、1、2。GBDT（scikit-learn直方图梯度提升实现）：学习率 ∈ {0.05, 0.1}，最大叶节点数 ∈ {15, 31}，最小叶样本数 ∈ {20, 100}，迭代次数 ∈ {300, 1,000}。RBF-SVR：惩罚系数</w:t>
      </w:r>
      <w:r>
        <w:rPr>
          <w:i/>
          <w:iCs/>
        </w:rPr>
        <w:t xml:space="preserve">C</w:t>
      </w:r>
      <w:r>
        <w:t xml:space="preserve"> </w:t>
      </w:r>
      <w:r>
        <w:t xml:space="preserve">∈ {1, 10, 100}，不敏感带宽ε ∈ {0.05, 0.1}（标准化目标尺度），核宽度按scikit-learn的“scale”规则设定。GPR：核函数为常数核与RBF核之积加白噪声核；核超参数在固定的2,000条训练记录子样本上以极大似然优化（2次随机重启），随后以全部训练记录对模型进行条件化。除随机森林外，其余算法均为确定性算法。</w:t>
      </w:r>
    </w:p>
    <w:bookmarkEnd w:id="22"/>
    <w:bookmarkStart w:id="23" w:name="补充说明s4-统计检验族"/>
    <w:p>
      <w:pPr>
        <w:pStyle w:val="Heading1"/>
      </w:pPr>
      <w:r>
        <w:t xml:space="preserve">补充说明S4 统计检验族</w:t>
      </w:r>
    </w:p>
    <w:p>
      <w:pPr>
        <w:pStyle w:val="FirstParagraph"/>
      </w:pPr>
      <w:r>
        <w:t xml:space="preserve">在以下预先规定的检验族内实施Holm校正，显著性水平α = 0.05：（1）14个编码器组合相对MLP + CNN组合的比较；（2）5种波形补充相对A2的比较；（3）消融确证族R0 − A1、R0 − A2、R0 − A3与A3 − A4；（4）3个片段配置相对R0的比较；（5）3个适配消融相对R0的比较；（6）6个特征数量水平相对</w:t>
      </w:r>
      <w:r>
        <w:rPr>
          <w:i/>
          <w:iCs/>
        </w:rPr>
        <w:t xml:space="preserve">K</w:t>
      </w:r>
      <w:r>
        <w:t xml:space="preserve"> </w:t>
      </w:r>
      <w:r>
        <w:t xml:space="preserve">= 50的比较，RMSE与MAE各自成族；（7）传统回归器、信息来源对照、已有方法复现模型及事后配置分别相对A2与R0的比较（共30项）；（8）GBDT主干上的4项残差比较；（9）事后补充中加入原始波形的2项比较。A1 − A2为单独的预设比较，不作校正。边际效应、差中差、分层增量、残差互补性与低SOH偏差均为描述性分析。置信区间以固定划分和已训练模型为条件，未涵盖重新采集数据或重新划分所带来的变异。</w:t>
      </w:r>
    </w:p>
    <w:bookmarkEnd w:id="23"/>
    <w:bookmarkStart w:id="24" w:name="补充说明s5-gbdt主干之上的波形增量"/>
    <w:p>
      <w:pPr>
        <w:pStyle w:val="Heading1"/>
      </w:pPr>
      <w:r>
        <w:t xml:space="preserve">补充说明S5 GBDT主干之上的波形增量</w:t>
      </w:r>
    </w:p>
    <w:p>
      <w:pPr>
        <w:pStyle w:val="FirstParagraph"/>
      </w:pPr>
      <w:r>
        <w:t xml:space="preserve">以补充说明S3中选定的GBDT为主干，由结构与R0、A2和A1相同的网络学习其残差（正文3.5.4节）。波形增量(G+R0) − (G+A2)为−0.008个百分点，64个电芯中36个改善（Holm校正后</w:t>
      </w:r>
      <w:r>
        <w:rPr>
          <w:i/>
          <w:iCs/>
        </w:rPr>
        <w:t xml:space="preserve">p</w:t>
      </w:r>
      <w:r>
        <w:t xml:space="preserve"> </w:t>
      </w:r>
      <w:r>
        <w:t xml:space="preserve">= 0.35）；各残差学习器相对单独的GBDT均无显著改善。将101点标准化电压直接作为附加输入列追加到GBDT（扩展网格，最大叶节点数至63、迭代次数至3,000）和RBF-SVR中并重新调参，同样未得到可检测的增益。上述分析是在看到部分GBDT结果之后设立的，因此作为事后分析报告。</w:t>
      </w:r>
    </w:p>
    <w:bookmarkEnd w:id="24"/>
    <w:bookmarkStart w:id="25" w:name="补充说明s6-泛化性稳健性与部署实验所用的独立复现实现"/>
    <w:p>
      <w:pPr>
        <w:pStyle w:val="Heading1"/>
      </w:pPr>
      <w:r>
        <w:t xml:space="preserve">补充说明S6 泛化性、稳健性与部署实验所用的独立复现实现</w:t>
      </w:r>
    </w:p>
    <w:p>
      <w:pPr>
        <w:pStyle w:val="FirstParagraph"/>
      </w:pPr>
      <w:r>
        <w:t xml:space="preserve">4.6节中除NMC/石墨数据集主结果外的实验均采用以Python编写的、对本文协议的独立复现实现完成（NumPy、scikit-learn 1.9和PyTorch 2.14，在CPU上运行，每次运行单线程），以数据发布方处理后的脉冲文件[31]为起点。清洗结果与原记录数完全一致：清洗前2,855个组共17,130条记录，第42次RPT处剔除192条记录，清洗后2,823个完整组共16,938条记录（SOH 72.34～100%）。143项波形特征按补充说明S1的定义实现；这些定义未规定的细节（如全局波形量的分位水平以及补充说明S1中未列出的9项电压差）可能与原代码不同，响应时间水平取0.5、0.632和0.9。尽管如此，特征筛选结果相近：第0折选出16项频域与小波量、14项分段统计量、11项差分动力学量、6项全局波形量、1项瞬态边界量和1项非线性复杂度量，以及排在第13位的直流内阻；44项特征在每折中均入选，57项至少在一折中入选。划分置换使用NumPy默认随机数发生器（种子42），可复现各折的规模，但不一定复现原运行中各折的电芯构成。网络结构、损失函数、优化器、学习率调度、早停与初始化种子均沿用正文3.2～3.4节，位置嵌入按U(−0.02, 0.02)初始化。</w:t>
      </w:r>
    </w:p>
    <w:p>
      <w:pPr>
        <w:pStyle w:val="BodyText"/>
      </w:pPr>
      <w:r>
        <w:t xml:space="preserve">在原始五折协议下，复现实现得到的R0、A2和GBDT的RMSE分别为1.427、1.474和1.028个百分点（报告值分别为1.377、1.500和1.022个百分点）。波形增量的符号与显著性保持不变（−0.046个百分点，区间−0.070～−0.023；</w:t>
      </w:r>
      <w:r>
        <w:rPr>
          <w:i/>
          <w:iCs/>
        </w:rPr>
        <w:t xml:space="preserve">p</w:t>
      </w:r>
      <w:r>
        <w:t xml:space="preserve"> </w:t>
      </w:r>
      <w:r>
        <w:t xml:space="preserve">&lt; 0.001；64个电芯中42个改善），电芯12和电芯3仍分别是估计最好和最差的电芯。补充表S7列出了全部复现结果。传统基线中，岭回归、RBF-SVR、只用</w:t>
      </w:r>
      <w:r>
        <w:rPr>
          <w:i/>
          <w:iCs/>
        </w:rPr>
        <w:t xml:space="preserve">τ</w:t>
      </w:r>
      <w:r>
        <w:t xml:space="preserve">的对照以及不含</w:t>
      </w:r>
      <w:r>
        <w:rPr>
          <w:i/>
          <w:iCs/>
        </w:rPr>
        <w:t xml:space="preserve">τ</w:t>
      </w:r>
      <w:r>
        <w:t xml:space="preserve">的岭回归和GBDT已重新运行（补充表S5）；凡有报告值者，复现值与之接近（RBF-SVR为1.007对1.026个百分点，不含</w:t>
      </w:r>
      <w:r>
        <w:rPr>
          <w:i/>
          <w:iCs/>
        </w:rPr>
        <w:t xml:space="preserve">τ</w:t>
      </w:r>
      <w:r>
        <w:t xml:space="preserve">的GBDT为1.698对1.663个百分点，只用</w:t>
      </w:r>
      <w:r>
        <w:rPr>
          <w:i/>
          <w:iCs/>
        </w:rPr>
        <w:t xml:space="preserve">τ</w:t>
      </w:r>
      <w:r>
        <w:t xml:space="preserve">的模型约为3个百分点）。全输入的随机森林与GPR以及不含</w:t>
      </w:r>
      <w:r>
        <w:rPr>
          <w:i/>
          <w:iCs/>
        </w:rPr>
        <w:t xml:space="preserve">τ</w:t>
      </w:r>
      <w:r>
        <w:t xml:space="preserve">的随机森林因计算与内存开销较大而未重新运行。</w:t>
      </w:r>
    </w:p>
    <w:p>
      <w:pPr>
        <w:pStyle w:val="BodyText"/>
      </w:pPr>
      <w:r>
        <w:rPr>
          <w:i/>
          <w:iCs/>
        </w:rPr>
        <w:t xml:space="preserve">NMC/石墨数据集。</w:t>
      </w:r>
      <w:r>
        <w:t xml:space="preserve">UConn-ILCC NMC数据集[31]在9个名义SOC下记录了相同的100 s脉冲；本文保留LFP所用的3个SOC（20%、50%和90%），每个RPT对应6种工况，共得到44个电芯的1,336个电芯–RPT组、8,016条记录，SOH范围为41.2%～100%。由于NMC电芯的内阻较高，式（2）中的电压单步跳变上限和极差上限分别放宽至0.3 V和0.8 V，未剔除任何记录。正文结果由原实现得到（5折×3个种子，</w:t>
      </w:r>
      <w:r>
        <w:rPr>
          <w:i/>
          <w:iCs/>
        </w:rPr>
        <w:t xml:space="preserve">K</w:t>
      </w:r>
      <w:r>
        <w:t xml:space="preserve"> </w:t>
      </w:r>
      <w:r>
        <w:t xml:space="preserve">= 50，</w:t>
      </w:r>
      <w:r>
        <w:rPr>
          <w:i/>
          <w:iCs/>
        </w:rPr>
        <w:t xml:space="preserve">λ</w:t>
      </w:r>
      <w:r>
        <w:t xml:space="preserve"> </w:t>
      </w:r>
      <w:r>
        <w:t xml:space="preserve">= 0.1，与LFP相同）：R0为1.968个百分点，A2为2.132个百分点，R0 − A2 = −0.163个百分点（Holm校正后</w:t>
      </w:r>
      <w:r>
        <w:rPr>
          <w:i/>
          <w:iCs/>
        </w:rPr>
        <w:t xml:space="preserve">p</w:t>
      </w:r>
      <w:r>
        <w:t xml:space="preserve"> </w:t>
      </w:r>
      <w:r>
        <w:t xml:space="preserve">= 0.0004，39/44），A1为2.468个百分点，GBDT为0.965个百分点。直流内阻与SOH高度相关（</w:t>
      </w:r>
      <w:r>
        <w:rPr>
          <w:i/>
          <w:iCs/>
        </w:rPr>
        <w:t xml:space="preserve">ρ</w:t>
      </w:r>
      <w:r>
        <w:t xml:space="preserve"> </w:t>
      </w:r>
      <w:r>
        <w:t xml:space="preserve">≈ −0.82），但因与已选波形特征冗余而未进入任何一折的50项特征，因此A1按其定义单独加入直流内阻；R0、A2与GBDT均按原流程运行。</w:t>
      </w:r>
    </w:p>
    <w:p>
      <w:pPr>
        <w:pStyle w:val="BodyText"/>
      </w:pPr>
      <w:r>
        <w:rPr>
          <w:i/>
          <w:iCs/>
        </w:rPr>
        <w:t xml:space="preserve">复现实现与原实现的差异。</w:t>
      </w:r>
      <w:r>
        <w:t xml:space="preserve">复现实现在NMC上未得到波形增量（R0为2.030个百分点，A2为2.026个百分点，R0 − A2 = +0.004个百分点，</w:t>
      </w:r>
      <w:r>
        <w:rPr>
          <w:i/>
          <w:iCs/>
        </w:rPr>
        <w:t xml:space="preserve">p</w:t>
      </w:r>
      <w:r>
        <w:t xml:space="preserve"> </w:t>
      </w:r>
      <w:r>
        <w:t xml:space="preserve">= 0.90）。诊断分析表明，差异来自主干特征：复现实现的特征在绝对电压上计算，在NMC上会选入脉冲前电压、末点电压、电压分位数等绝对电压水平特征（第0折6项，LFP上基本不选）。NMC开路电压曲线具有斜率，容量衰减使脉冲时的实际SOC偏离名义值，脉冲前电压与SOH的相关系数绝对值平均为0.93（LFP为0.36），由脉冲前电压预测实际SOC偏移的</w:t>
      </w:r>
      <w:r>
        <w:rPr>
          <w:i/>
          <w:iCs/>
        </w:rPr>
        <w:t xml:space="preserve">R</w:t>
      </w:r>
      <w:r>
        <w:t xml:space="preserve">²为0.964（LFP为0.489）。主干已经获得这部分信息时，波形分支的动态信息与之部分重叠：在每种脉冲工况内，所选特征可解释ΔV前10个主成分方差的99.4%（LFP为18.3%）。将28项绝对电压水平特征从候选特征中移除后，复现实现的A2为2.098个百分点，R0为1.940个百分点，R0 − A2 = −0.158个百分点（−0.205～−0.112，</w:t>
      </w:r>
      <w:r>
        <w:rPr>
          <w:i/>
          <w:iCs/>
        </w:rPr>
        <w:t xml:space="preserve">p</w:t>
      </w:r>
      <w:r>
        <w:t xml:space="preserve"> </w:t>
      </w:r>
      <w:r>
        <w:t xml:space="preserve">&lt; 0.001，36/44），与原实现一致。改用全部9个SOC（24,048条记录）不改变复现实现的结论（R0 − A2 = +0.017个百分点，</w:t>
      </w:r>
      <w:r>
        <w:rPr>
          <w:i/>
          <w:iCs/>
        </w:rPr>
        <w:t xml:space="preserve">p</w:t>
      </w:r>
      <w:r>
        <w:t xml:space="preserve"> </w:t>
      </w:r>
      <w:r>
        <w:t xml:space="preserve">= 0.67），说明差异并非数据量所致。</w:t>
      </w:r>
    </w:p>
    <w:p>
      <w:pPr>
        <w:pStyle w:val="BodyText"/>
      </w:pPr>
      <w:r>
        <w:rPr>
          <w:i/>
          <w:iCs/>
        </w:rPr>
        <w:t xml:space="preserve">训练中未见的噪声。</w:t>
      </w:r>
      <w:r>
        <w:t xml:space="preserve">若只在以无噪数据训练的模型的测试电压中加入高斯噪声，所有基于特征的模型都会大幅退化（σ</w:t>
      </w:r>
      <w:r>
        <w:rPr>
          <w:vertAlign w:val="subscript"/>
        </w:rPr>
        <w:t xml:space="preserve">noise</w:t>
      </w:r>
      <w:r>
        <w:t xml:space="preserve"> </w:t>
      </w:r>
      <w:r>
        <w:t xml:space="preserve">= 0.5 mV时：R0为4.37，A2为4.60，GBDT为1.48个百分点）。原因在于，在平滑的、分辨率为0.1 mV的重采样记录上计算的差分类与频谱类特征，对训练中不存在的噪声十分敏感。因此，模型应使用来自目标传感器的数据训练，或如4.6节匹配噪声实验那样采用相匹配的噪声增强。</w:t>
      </w:r>
    </w:p>
    <w:bookmarkEnd w:id="25"/>
    <w:bookmarkStart w:id="26" w:name="补充算法s1"/>
    <w:p>
      <w:pPr>
        <w:pStyle w:val="Heading1"/>
        <w:pageBreakBefore/>
      </w:pPr>
      <w:r>
        <w:t xml:space="preserve">补充算法S1</w:t>
      </w:r>
    </w:p>
    <w:p>
      <w:pPr>
        <w:pStyle w:val="Algorithm"/>
      </w:pPr>
      <w:r>
        <w:rPr>
          <w:b/>
          <w:bCs/>
        </w:rPr>
        <w:t xml:space="preserve">补充算法S1</w:t>
      </w:r>
      <w:r>
        <w:t xml:space="preserve"> </w:t>
      </w:r>
      <w:r>
        <w:t xml:space="preserve">双分支SOH估计模型（人工特征主干＋脉冲波形补充）的训练与推理流程。</w:t>
      </w:r>
    </w:p>
    <w:p>
      <w:pPr>
        <w:pStyle w:val="Algorithm"/>
      </w:pPr>
      <w:r>
        <w:rPr>
          <w:b/>
          <w:bCs/>
        </w:rPr>
        <w:t xml:space="preserve">输入：</w:t>
      </w:r>
      <w:r>
        <w:t xml:space="preserve">清洗后记录集</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pulse)}，含64个电芯的16,938条记录；</w:t>
      </w:r>
      <w:r>
        <w:rPr>
          <w:i/>
          <w:iCs/>
        </w:rPr>
        <w:t xml:space="preserve">F</w:t>
      </w:r>
      <w:r>
        <w:t xml:space="preserve"> </w:t>
      </w:r>
      <w:r>
        <w:t xml:space="preserve">= 5折，划分种子42，初始化种子{0, 1, 2}；</w:t>
      </w:r>
      <w:r>
        <w:rPr>
          <w:i/>
          <w:iCs/>
        </w:rPr>
        <w:t xml:space="preserve">K</w:t>
      </w:r>
      <w:r>
        <w:t xml:space="preserve"> </w:t>
      </w:r>
      <w:r>
        <w:t xml:space="preserve">= 50，冗余阈值0.98，</w:t>
      </w:r>
      <w:r>
        <w:rPr>
          <w:i/>
          <w:iCs/>
        </w:rPr>
        <w:t xml:space="preserve">λ</w:t>
      </w:r>
      <w:r>
        <w:t xml:space="preserve"> </w:t>
      </w:r>
      <w:r>
        <w:t xml:space="preserve">= 0.1。</w:t>
      </w:r>
    </w:p>
    <w:p>
      <w:pPr>
        <w:pStyle w:val="Algorithm"/>
      </w:pPr>
      <w:r>
        <w:rPr>
          <w:b/>
          <w:bCs/>
        </w:rPr>
        <w:t xml:space="preserve">输出：</w:t>
      </w:r>
      <w:r>
        <w:t xml:space="preserve">各折、各种子的测试集逐记录预测与电芯宏平均误差。</w:t>
      </w:r>
    </w:p>
    <w:p>
      <w:pPr>
        <w:pStyle w:val="Algorithm"/>
      </w:pPr>
      <w:r>
        <w:rPr>
          <w:b/>
          <w:bCs/>
        </w:rPr>
        <w:t xml:space="preserve">离线训练</w:t>
      </w:r>
    </w:p>
    <w:p>
      <w:pPr>
        <w:pStyle w:val="Algorithm"/>
      </w:pPr>
      <w:r>
        <w:t xml:space="preserve">1: 从150项候选中剔除累计循环数、RPT序号、库仑计SOC与SOC偏差 → 146项可选特征（2.3.2节）</w:t>
      </w:r>
    </w:p>
    <w:p>
      <w:pPr>
        <w:pStyle w:val="Algorithm"/>
      </w:pPr>
      <w:r>
        <w:t xml:space="preserve">2: 以种子42打乱64个电芯，并划分为5个互斥测试折（13/13/13/13/12个电芯）</w:t>
      </w:r>
    </w:p>
    <w:p>
      <w:pPr>
        <w:pStyle w:val="Algorithm"/>
      </w:pPr>
      <w:r>
        <w:t xml:space="preserve">3: 在每折中，以折序号为偏移、步长5从非测试电芯中抽取验证电芯（训练/验证/测试电芯数依次为40/11/13、41/10/13、41/10/13、41/10/13、42/10/12）</w:t>
      </w:r>
    </w:p>
    <w:p>
      <w:pPr>
        <w:pStyle w:val="Algorithm"/>
      </w:pPr>
      <w:r>
        <w:t xml:space="preserve">4:</w:t>
      </w:r>
      <w:r>
        <w:t xml:space="preserve"> </w:t>
      </w:r>
      <w:r>
        <w:rPr>
          <w:b/>
          <w:bCs/>
        </w:rPr>
        <w:t xml:space="preserve">for</w:t>
      </w:r>
      <w:r>
        <w:t xml:space="preserve"> </w:t>
      </w:r>
      <w:r>
        <w:t xml:space="preserve">外层折</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⠀⠀按电芯将</w:t>
      </w:r>
      <w:r>
        <w:rPr>
          <w:i/>
          <w:iCs/>
        </w:rPr>
        <w:t xml:space="preserve">D</w:t>
      </w:r>
      <w:r>
        <w:t xml:space="preserve">划分为</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；同一电芯的全部RPT与工况记录整体归入同一集合</w:t>
      </w:r>
    </w:p>
    <w:p>
      <w:pPr>
        <w:pStyle w:val="Algorithm"/>
      </w:pPr>
      <w:r>
        <w:t xml:space="preserve">6: ⠀⠀仅在</w:t>
      </w:r>
      <w:r>
        <w:rPr>
          <w:i/>
          <w:iCs/>
        </w:rPr>
        <w:t xml:space="preserve">D</w:t>
      </w:r>
      <w:r>
        <w:rPr>
          <w:vertAlign w:val="subscript"/>
        </w:rPr>
        <w:t xml:space="preserve">tr</w:t>
      </w:r>
      <w:r>
        <w:t xml:space="preserve">上计算146项候选与SOH的Spearman秩相关</w:t>
      </w:r>
      <w:r>
        <w:rPr>
          <w:i/>
          <w:iCs/>
        </w:rPr>
        <w:t xml:space="preserve">ρ</w:t>
      </w:r>
      <w:r>
        <w:rPr>
          <w:i/>
          <w:iCs/>
          <w:vertAlign w:val="subscript"/>
        </w:rPr>
        <w:t xml:space="preserve">j</w:t>
      </w:r>
      <w:r>
        <w:t xml:space="preserve"> </w:t>
      </w:r>
      <w:r>
        <w:t xml:space="preserve">▷ 式（4）</w:t>
      </w:r>
    </w:p>
    <w:p>
      <w:pPr>
        <w:pStyle w:val="Algorithm"/>
      </w:pPr>
      <w:r>
        <w:t xml:space="preserve">7: ⠀⠀按|</w:t>
      </w:r>
      <w:r>
        <w:rPr>
          <w:i/>
          <w:iCs/>
        </w:rPr>
        <w:t xml:space="preserve">ρ</w:t>
      </w:r>
      <w:r>
        <w:rPr>
          <w:i/>
          <w:iCs/>
          <w:vertAlign w:val="subscript"/>
        </w:rPr>
        <w:t xml:space="preserve">j</w:t>
      </w:r>
      <w:r>
        <w:t xml:space="preserve">|贪心选取</w:t>
      </w:r>
      <w:r>
        <w:rPr>
          <w:i/>
          <w:iCs/>
        </w:rPr>
        <w:t xml:space="preserve">K</w:t>
      </w:r>
      <w:r>
        <w:t xml:space="preserve">项特征，跳过与已选特征秩相关≥ 0.98者；必要时补足至</w:t>
      </w:r>
      <w:r>
        <w:rPr>
          <w:i/>
          <w:iCs/>
        </w:rPr>
        <w:t xml:space="preserve">K</w:t>
      </w:r>
      <w:r>
        <w:t xml:space="preserve">项 ▷ 式（5）</w:t>
      </w:r>
    </w:p>
    <w:p>
      <w:pPr>
        <w:pStyle w:val="Algorithm"/>
      </w:pPr>
      <w:r>
        <w:t xml:space="preserve">8: ⠀⠀仅在</w:t>
      </w:r>
      <w:r>
        <w:rPr>
          <w:i/>
          <w:iCs/>
        </w:rPr>
        <w:t xml:space="preserve">D</w:t>
      </w:r>
      <w:r>
        <w:rPr>
          <w:vertAlign w:val="subscript"/>
        </w:rPr>
        <w:t xml:space="preserve">tr</w:t>
      </w:r>
      <w:r>
        <w:t xml:space="preserve">上拟合中位数、特征均值/标准差、逐位置波形均值/标准差以及累计循环数与标签的统计量</w:t>
      </w:r>
    </w:p>
    <w:p>
      <w:pPr>
        <w:pStyle w:val="Algorithm"/>
      </w:pPr>
      <w:r>
        <w:t xml:space="preserve">9: ⠀⠀用上述统计量变换</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 </w:t>
      </w:r>
      <w:r>
        <w:t xml:space="preserve">▷ 式（6）～（10）</w:t>
      </w:r>
    </w:p>
    <w:p>
      <w:pPr>
        <w:pStyle w:val="Algorithm"/>
      </w:pPr>
      <w:r>
        <w:t xml:space="preserve">10: ⠀⠀</w:t>
      </w:r>
      <w:r>
        <w:rPr>
          <w:b/>
          <w:bCs/>
        </w:rPr>
        <w:t xml:space="preserve">for</w:t>
      </w:r>
      <w:r>
        <w:t xml:space="preserve"> </w:t>
      </w:r>
      <w:r>
        <w:t xml:space="preserve">种子</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⠀⠀⠀⠀以种子</w:t>
      </w:r>
      <w:r>
        <w:rPr>
          <w:i/>
          <w:iCs/>
        </w:rPr>
        <w:t xml:space="preserve">s</w:t>
      </w:r>
      <w:r>
        <w:t xml:space="preserve">初始化</w:t>
      </w:r>
      <w:r>
        <w:rPr>
          <w:i/>
          <w:iCs/>
        </w:rPr>
        <w:t xml:space="preserve">E</w:t>
      </w:r>
      <w:r>
        <w:rPr>
          <w:vertAlign w:val="subscript"/>
        </w:rPr>
        <w:t xml:space="preserve">h</w:t>
      </w:r>
      <w:r>
        <w:t xml:space="preserve">、</w:t>
      </w:r>
      <w:r>
        <w:rPr>
          <w:i/>
          <w:iCs/>
        </w:rPr>
        <w:t xml:space="preserve">E</w:t>
      </w:r>
      <w:r>
        <w:rPr>
          <w:vertAlign w:val="subscript"/>
        </w:rPr>
        <w:t xml:space="preserve">v</w:t>
      </w:r>
      <w:r>
        <w:t xml:space="preserve">与</w:t>
      </w:r>
      <w:r>
        <w:rPr>
          <w:i/>
          <w:iCs/>
        </w:rPr>
        <w:t xml:space="preserve">g</w:t>
      </w:r>
      <w:r>
        <w:t xml:space="preserve">；AdamW（lr 10</w:t>
      </w:r>
      <w:r>
        <w:rPr>
          <w:vertAlign w:val="superscript"/>
        </w:rPr>
        <w:t xml:space="preserve">−3</w:t>
      </w:r>
      <w:r>
        <w:t xml:space="preserve">，权重衰减10</w:t>
      </w:r>
      <w:r>
        <w:rPr>
          <w:vertAlign w:val="superscript"/>
        </w:rPr>
        <w:t xml:space="preserve">−4</w:t>
      </w:r>
      <w:r>
        <w:t xml:space="preserve">），批量256，ReduceLROnPlateau（耐心5轮，因子0.5），梯度裁剪阈值5，最多100轮，早停耐心15轮</w:t>
      </w:r>
    </w:p>
    <w:p>
      <w:pPr>
        <w:pStyle w:val="Algorithm"/>
      </w:pPr>
      <w:r>
        <w:t xml:space="preserve">12: ⠀⠀⠀⠀</w:t>
      </w:r>
      <w:r>
        <w:rPr>
          <w:b/>
          <w:bCs/>
        </w:rPr>
        <w:t xml:space="preserve">for</w:t>
      </w:r>
      <w:r>
        <w:t xml:space="preserve"> </w:t>
      </w:r>
      <w:r>
        <w:t xml:space="preserve">每个轮次与小批量</w:t>
      </w:r>
      <w:r>
        <w:t xml:space="preserve"> </w:t>
      </w:r>
      <w:r>
        <w:rPr>
          <w:b/>
          <w:bCs/>
        </w:rPr>
        <w:t xml:space="preserve">do</w:t>
      </w:r>
    </w:p>
    <w:p>
      <w:pPr>
        <w:pStyle w:val="Algorithm"/>
      </w:pPr>
      <w:r>
        <w:t xml:space="preserve">13: ⠀⠀⠀⠀⠀⠀对</w:t>
      </w:r>
      <w:r>
        <w:rPr>
          <w:i/>
          <w:iCs/>
        </w:rPr>
        <w:t xml:space="preserve">τ</w:t>
      </w:r>
      <w:r>
        <w:t xml:space="preserve">开启梯度追踪；前向传播得</w:t>
      </w:r>
      <w:r>
        <w:rPr>
          <w:i/>
          <w:iCs/>
        </w:rPr>
        <w:t xml:space="preserve">ŷ</w:t>
      </w:r>
      <w:r>
        <w:t xml:space="preserve">* ▷ 式（11）</w:t>
      </w:r>
    </w:p>
    <w:p>
      <w:pPr>
        <w:pStyle w:val="Algorithm"/>
      </w:pPr>
      <w:r>
        <w:t xml:space="preserve">14: ⠀⠀⠀⠀⠀⠀由自动微分求∂</w:t>
      </w:r>
      <w:r>
        <w:rPr>
          <w:i/>
          <w:iCs/>
        </w:rPr>
        <w:t xml:space="preserve">ŷ</w:t>
      </w:r>
      <w:r>
        <w:t xml:space="preserve">*/∂</w:t>
      </w:r>
      <w:r>
        <w:rPr>
          <w:i/>
          <w:iCs/>
        </w:rPr>
        <w:t xml:space="preserve">τ</w:t>
      </w:r>
      <w:r>
        <w:t xml:space="preserve">（create_graph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⟩；反向传播、裁剪梯度、更新参数 ▷ 式（13）</w:t>
      </w:r>
    </w:p>
    <w:p>
      <w:pPr>
        <w:pStyle w:val="Algorithm"/>
      </w:pPr>
      <w:r>
        <w:t xml:space="preserve">16: ⠀⠀⠀⠀⠀⠀每轮结束后在</w:t>
      </w:r>
      <w:r>
        <w:rPr>
          <w:i/>
          <w:iCs/>
        </w:rPr>
        <w:t xml:space="preserve">D</w:t>
      </w:r>
      <w:r>
        <w:rPr>
          <w:vertAlign w:val="subscript"/>
        </w:rPr>
        <w:t xml:space="preserve">va</w:t>
      </w:r>
      <w:r>
        <w:t xml:space="preserve">上计算电芯宏平均RMSE；保存最优权重；连续15轮无改善则停止</w:t>
      </w:r>
    </w:p>
    <w:p>
      <w:pPr>
        <w:pStyle w:val="Algorithm"/>
      </w:pPr>
      <w:r>
        <w:t xml:space="preserve">17: ⠀⠀⠀⠀载入最优轮次的权重并对</w:t>
      </w:r>
      <w:r>
        <w:rPr>
          <w:i/>
          <w:iCs/>
        </w:rPr>
        <w:t xml:space="preserve">D</w:t>
      </w:r>
      <w:r>
        <w:rPr>
          <w:vertAlign w:val="subscript"/>
        </w:rPr>
        <w:t xml:space="preserve">te</w:t>
      </w:r>
      <w:r>
        <w:t xml:space="preserve">进行预测</w:t>
      </w:r>
    </w:p>
    <w:p>
      <w:pPr>
        <w:pStyle w:val="Algorithm"/>
      </w:pPr>
      <w:r>
        <w:rPr>
          <w:b/>
          <w:bCs/>
        </w:rPr>
        <w:t xml:space="preserve">在线推理（单条脉冲记录）</w:t>
      </w:r>
    </w:p>
    <w:p>
      <w:pPr>
        <w:pStyle w:val="Algorithm"/>
      </w:pPr>
      <w:r>
        <w:t xml:space="preserve">18: 将101点电压以其首个采样点为参考作差，并以该折统计量标准化 →</w:t>
      </w:r>
      <w:r>
        <w:t xml:space="preserve"> </w:t>
      </w:r>
      <w:r>
        <w:rPr>
          <w:i/>
          <w:iCs/>
        </w:rPr>
        <w:t xml:space="preserve">ṽ</w:t>
      </w:r>
      <w:r>
        <w:t xml:space="preserve"> </w:t>
      </w:r>
      <w:r>
        <w:t xml:space="preserve">▷ 式（6）、（7）</w:t>
      </w:r>
    </w:p>
    <w:p>
      <w:pPr>
        <w:pStyle w:val="Algorithm"/>
      </w:pPr>
      <w:r>
        <w:t xml:space="preserve">19: 计算</w:t>
      </w:r>
      <w:r>
        <w:rPr>
          <w:i/>
          <w:iCs/>
        </w:rPr>
        <w:t xml:space="preserve">K</w:t>
      </w:r>
      <w:r>
        <w:t xml:space="preserve">项入选特征，填补并标准化，拼接标准化</w:t>
      </w:r>
      <w:r>
        <w:rPr>
          <w:i/>
          <w:iCs/>
        </w:rPr>
        <w:t xml:space="preserve">τ</w:t>
      </w:r>
      <w:r>
        <w:t xml:space="preserve"> </w:t>
      </w:r>
      <w:r>
        <w:t xml:space="preserve">→</w:t>
      </w:r>
      <w:r>
        <w:t xml:space="preserve"> </w:t>
      </w:r>
      <w:r>
        <w:rPr>
          <w:b/>
          <w:bCs/>
        </w:rPr>
        <w:t xml:space="preserve">h</w:t>
      </w:r>
      <w:r>
        <w:t xml:space="preserve"> </w:t>
      </w:r>
      <w:r>
        <w:t xml:space="preserve">▷ 式（8）、（9）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式（11）、（10）</w:t>
      </w:r>
    </w:p>
    <w:p>
      <w:pPr>
        <w:pStyle w:val="Algorithm"/>
      </w:pPr>
      <w:r>
        <w:rPr>
          <w:b/>
          <w:bCs/>
        </w:rPr>
        <w:t xml:space="preserve">指标与统计</w:t>
      </w:r>
    </w:p>
    <w:p>
      <w:pPr>
        <w:pStyle w:val="Algorithm"/>
      </w:pPr>
      <w:r>
        <w:t xml:space="preserve">21: 对每个电芯–RPT的六个工况预测取平均，计算单电芯RMSE及电芯宏平均值 ▷ 式（14）</w:t>
      </w:r>
    </w:p>
    <w:p>
      <w:pPr>
        <w:pStyle w:val="Algorithm"/>
      </w:pPr>
      <w:r>
        <w:t xml:space="preserve">22: 配对差：5,000次折分层电芯bootstrap区间；5,000次双侧配对符号翻转检验；族内Holm校正</w:t>
      </w:r>
    </w:p>
    <w:bookmarkEnd w:id="26"/>
    <w:bookmarkStart w:id="27" w:name="补充表"/>
    <w:p>
      <w:pPr>
        <w:pStyle w:val="Heading1"/>
        <w:pageBreakBefore/>
      </w:pPr>
      <w:r>
        <w:t xml:space="preserve">补充表</w:t>
      </w:r>
    </w:p>
    <w:p>
      <w:pPr>
        <w:pStyle w:val="TableCaption"/>
      </w:pPr>
      <w:r>
        <w:rPr>
          <w:b/>
        </w:rPr>
        <w:t xml:space="preserve">补充表S1　</w:t>
      </w:r>
      <w:r>
        <w:rPr/>
        <w:t xml:space="preserve">各循环工况组的老化协议</w:t>
      </w:r>
    </w:p>
    <w:tbl>
      <w:tblPr>
        <w:tblW w:type="pct" w:w="5000"/>
        <w:jc w:val="center"/>
        <w:tblLayout w:type="fixed"/>
        <w:tblCellMar>
          <w:top w:w="15" w:type="dxa"/>
          <w:left w:w="60" w:type="dxa"/>
          <w:bottom w:w="15" w:type="dxa"/>
          <w:right w:w="60" w:type="dxa"/>
        </w:tblCellMar>
        <w:tblCaption w:val="补充表S1 各循环工况组的老化协议"/>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工况组</w:t>
            </w:r>
          </w:p>
        </w:tc>
        <w:tc>
          <w:tcPr>
            <w:tcBorders>
              <w:top w:val="single" w:sz="12" w:space="0" w:color="000000"/>
              <w:bottom w:val="single" w:sz="6" w:space="0" w:color="000000"/>
            </w:tcBorders>
            <w:vAlign w:val="center"/>
          </w:tcPr>
          <w:p>
            <w:pPr>
              <w:pStyle w:val="TableText"/>
              <w:jc w:val="right"/>
            </w:pPr>
            <w:r>
              <w:rPr>
                <w:b/>
                <w:noProof/>
              </w:rPr>
              <w:t xml:space="preserve">恒流–恒压充电倍率（C）</w:t>
            </w:r>
          </w:p>
        </w:tc>
        <w:tc>
          <w:tcPr>
            <w:tcBorders>
              <w:top w:val="single" w:sz="12" w:space="0" w:color="000000"/>
              <w:bottom w:val="single" w:sz="6" w:space="0" w:color="000000"/>
            </w:tcBorders>
            <w:vAlign w:val="center"/>
          </w:tcPr>
          <w:p>
            <w:pPr>
              <w:pStyle w:val="TableText"/>
              <w:jc w:val="right"/>
            </w:pPr>
            <w:r>
              <w:rPr>
                <w:b/>
                <w:noProof/>
              </w:rPr>
              <w:t xml:space="preserve">恒流放电倍率（C）</w:t>
            </w:r>
          </w:p>
        </w:tc>
        <w:tc>
          <w:tcPr>
            <w:tcBorders>
              <w:top w:val="single" w:sz="12" w:space="0" w:color="000000"/>
              <w:bottom w:val="single" w:sz="6" w:space="0" w:color="000000"/>
            </w:tcBorders>
            <w:vAlign w:val="center"/>
          </w:tcPr>
          <w:p>
            <w:pPr>
              <w:pStyle w:val="TableText"/>
              <w:jc w:val="right"/>
            </w:pPr>
            <w:r>
              <w:rPr>
                <w:b/>
                <w:noProof/>
              </w:rPr>
              <w:t xml:space="preserve">放电深度（%）</w:t>
            </w:r>
          </w:p>
        </w:tc>
        <w:tc>
          <w:tcPr>
            <w:tcBorders>
              <w:top w:val="single" w:sz="12" w:space="0" w:color="000000"/>
              <w:bottom w:val="single" w:sz="6" w:space="0" w:color="000000"/>
            </w:tcBorders>
            <w:vAlign w:val="center"/>
          </w:tcPr>
          <w:p>
            <w:pPr>
              <w:pStyle w:val="TableText"/>
              <w:jc w:val="left"/>
            </w:pPr>
            <w:r>
              <w:rPr>
                <w:b/>
                <w:noProof/>
              </w:rPr>
              <w:t xml:space="preserve">电芯数（编号）</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4（62～65）</w:t>
            </w:r>
          </w:p>
        </w:tc>
      </w:tr>
    </w:tbl>
    <w:p>
      <w:pPr>
        <w:pStyle w:val="TableNote"/>
      </w:pPr>
      <w:r>
        <w:t xml:space="preserve">取自数据发布方[28]公开代码库中的电芯测试记录表。充电为恒流–恒压，放电为恒流；倍率按标称容量1.2 Ah计，因此2.42C、2.83C与3.25C分别对应2.9 A、3.4 A与3.9 A。</w:t>
      </w:r>
    </w:p>
    <w:p>
      <w:pPr>
        <w:pStyle w:val="TableCaption"/>
      </w:pPr>
      <w:r>
        <w:rPr>
          <w:b/>
        </w:rPr>
        <w:t xml:space="preserve">补充表S2　</w:t>
      </w:r>
      <w:r>
        <w:rPr/>
        <w:t xml:space="preserve">两分支的输入信息</w:t>
      </w:r>
    </w:p>
    <w:tbl>
      <w:tblPr>
        <w:tblW w:type="pct" w:w="5000"/>
        <w:jc w:val="center"/>
        <w:tblLayout w:type="fixed"/>
        <w:tblCellMar>
          <w:top w:w="15" w:type="dxa"/>
          <w:left w:w="60" w:type="dxa"/>
          <w:bottom w:w="15" w:type="dxa"/>
          <w:right w:w="60" w:type="dxa"/>
        </w:tblCellMar>
        <w:tblCaption w:val="补充表S2 两分支的输入信息"/>
      </w:tblPr>
      <w:tblGrid>
        <w:gridCol w:w="1584"/>
        <w:gridCol w:w="1584"/>
        <w:gridCol w:w="1584"/>
        <w:gridCol w:w="1584"/>
        <w:gridCol w:w="1584"/>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维度</w:t>
            </w:r>
          </w:p>
        </w:tc>
        <w:tc>
          <w:tcPr>
            <w:tcBorders>
              <w:top w:val="single" w:sz="12" w:space="0" w:color="000000"/>
              <w:bottom w:val="single" w:sz="6" w:space="0" w:color="000000"/>
            </w:tcBorders>
            <w:vAlign w:val="center"/>
          </w:tcPr>
          <w:p>
            <w:pPr>
              <w:pStyle w:val="TableText"/>
              <w:jc w:val="center"/>
            </w:pPr>
            <w:r>
              <w:rPr>
                <w:b/>
                <w:noProof/>
              </w:rPr>
              <w:t xml:space="preserve">波形分支</w:t>
            </w:r>
          </w:p>
        </w:tc>
        <w:tc>
          <w:tcPr>
            <w:tcBorders>
              <w:top w:val="single" w:sz="12" w:space="0" w:color="000000"/>
              <w:bottom w:val="single" w:sz="6" w:space="0" w:color="000000"/>
            </w:tcBorders>
            <w:vAlign w:val="center"/>
          </w:tcPr>
          <w:p>
            <w:pPr>
              <w:pStyle w:val="TableText"/>
              <w:jc w:val="center"/>
            </w:pPr>
            <w:r>
              <w:rPr>
                <w:b/>
                <w:noProof/>
              </w:rPr>
              <w:t xml:space="preserve">主干分支</w:t>
            </w:r>
          </w:p>
        </w:tc>
        <w:tc>
          <w:tcPr>
            <w:tcBorders>
              <w:top w:val="single" w:sz="12" w:space="0" w:color="000000"/>
              <w:bottom w:val="single" w:sz="6" w:space="0" w:color="000000"/>
            </w:tcBorders>
            <w:vAlign w:val="center"/>
          </w:tcPr>
          <w:p>
            <w:pPr>
              <w:pStyle w:val="TableText"/>
              <w:jc w:val="left"/>
            </w:pPr>
            <w:r>
              <w:rPr>
                <w:b/>
                <w:noProof/>
              </w:rPr>
              <w:t xml:space="preserve">获取方式</w:t>
            </w:r>
          </w:p>
        </w:tc>
      </w:tr>
      <w:tr>
        <w:trPr>
          <w:cantSplit/>
        </w:trPr>
        <w:tc>
          <w:tcPr>
            <w:tcBorders/>
            <w:vAlign w:val="center"/>
          </w:tcPr>
          <w:p>
            <w:pPr>
              <w:pStyle w:val="TableText"/>
              <w:jc w:val="left"/>
            </w:pPr>
            <w:r>
              <w:rPr>
                <w:noProof/>
              </w:rPr>
              <w:t xml:space="preserve">首点作差电压序列</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波形衍生特征（训练折内筛选）</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匹配工况直流内阻（经筛选入选）</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标准化累计循环数</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循环记录</w:t>
            </w:r>
          </w:p>
        </w:tc>
      </w:tr>
      <w:tr>
        <w:trPr>
          <w:cantSplit/>
        </w:trPr>
        <w:tc>
          <w:tcPr>
            <w:tcBorders/>
            <w:vAlign w:val="center"/>
          </w:tcPr>
          <w:p>
            <w:pPr>
              <w:pStyle w:val="TableText"/>
              <w:jc w:val="left"/>
            </w:pPr>
            <w:r>
              <w:rPr>
                <w:noProof/>
              </w:rPr>
              <w:t xml:space="preserve">名义SOC、脉冲方向</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候选，未入选</w:t>
            </w:r>
          </w:p>
        </w:tc>
        <w:tc>
          <w:tcPr>
            <w:tcBorders/>
            <w:vAlign w:val="center"/>
          </w:tcPr>
          <w:p>
            <w:pPr>
              <w:pStyle w:val="TableText"/>
              <w:jc w:val="left"/>
            </w:pPr>
            <w:r>
              <w:rPr>
                <w:noProof/>
              </w:rPr>
              <w:t xml:space="preserve">测试设定</w:t>
            </w:r>
          </w:p>
        </w:tc>
      </w:tr>
      <w:tr>
        <w:trPr>
          <w:cantSplit/>
        </w:trPr>
        <w:tc>
          <w:tcPr>
            <w:tcBorders/>
            <w:vAlign w:val="center"/>
          </w:tcPr>
          <w:p>
            <w:pPr>
              <w:pStyle w:val="TableText"/>
              <w:jc w:val="left"/>
            </w:pPr>
            <w:r>
              <w:rPr>
                <w:noProof/>
              </w:rPr>
              <w:t xml:space="preserve">库仑计SOC、SOC偏差</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剔除</w:t>
            </w:r>
          </w:p>
        </w:tc>
        <w:tc>
          <w:tcPr>
            <w:tcBorders/>
            <w:vAlign w:val="center"/>
          </w:tcPr>
          <w:p>
            <w:pPr>
              <w:pStyle w:val="TableText"/>
              <w:jc w:val="left"/>
            </w:pPr>
            <w:r>
              <w:rPr>
                <w:noProof/>
              </w:rPr>
              <w:t xml:space="preserve">依赖参考容量</w:t>
            </w:r>
          </w:p>
        </w:tc>
      </w:tr>
      <w:tr>
        <w:trPr>
          <w:cantSplit/>
        </w:trPr>
        <w:tc>
          <w:tcPr>
            <w:tcBorders>
              <w:bottom w:val="single" w:sz="12" w:space="0" w:color="000000"/>
            </w:tcBorders>
            <w:vAlign w:val="center"/>
          </w:tcPr>
          <w:p>
            <w:pPr>
              <w:pStyle w:val="TableText"/>
              <w:jc w:val="left"/>
            </w:pPr>
            <w:r>
              <w:rPr>
                <w:noProof/>
              </w:rPr>
              <w:t xml:space="preserve">其他工况记录、历史容量、电芯编号</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✓表示该输入进入对应分支；—表示不使用或不适用。</w:t>
      </w:r>
    </w:p>
    <w:p>
      <w:pPr>
        <w:pStyle w:val="TableCaption"/>
      </w:pPr>
      <w:r>
        <w:rPr>
          <w:b/>
        </w:rPr>
        <w:t xml:space="preserve">补充表S3　</w:t>
      </w:r>
      <w:r>
        <w:rPr/>
        <w:t xml:space="preserve">消融配置与对照模型</w:t>
      </w:r>
    </w:p>
    <w:tbl>
      <w:tblPr>
        <w:tblW w:type="pct" w:w="5000"/>
        <w:jc w:val="center"/>
        <w:tblLayout w:type="fixed"/>
        <w:tblCellMar>
          <w:top w:w="15" w:type="dxa"/>
          <w:left w:w="60" w:type="dxa"/>
          <w:bottom w:w="15" w:type="dxa"/>
          <w:right w:w="60" w:type="dxa"/>
        </w:tblCellMar>
        <w:tblCaption w:val="补充表S3 消融配置与对照模型"/>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类别</w:t>
            </w:r>
          </w:p>
        </w:tc>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人工特征主干</w:t>
            </w:r>
          </w:p>
        </w:tc>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训练次数</w:t>
            </w:r>
          </w:p>
        </w:tc>
      </w:tr>
      <w:tr>
        <w:trPr>
          <w:cantSplit/>
        </w:trPr>
        <w:tc>
          <w:tcPr>
            <w:tcBorders/>
            <w:vAlign w:val="center"/>
          </w:tcPr>
          <w:p>
            <w:pPr>
              <w:pStyle w:val="TableText"/>
              <w:jc w:val="left"/>
            </w:pPr>
            <w:r>
              <w:rPr>
                <w:noProof/>
              </w:rPr>
              <w:t xml:space="preserve">主配置</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MLP，50项特征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15种组合</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逐点Transformer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225（含R0）</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仅直流内阻（直接拼接）</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片段参数</w:t>
            </w:r>
          </w:p>
        </w:tc>
        <w:tc>
          <w:tcPr>
            <w:tcBorders/>
            <w:vAlign w:val="center"/>
          </w:tcPr>
          <w:p>
            <w:pPr>
              <w:pStyle w:val="TableText"/>
              <w:jc w:val="left"/>
            </w:pPr>
            <w:r>
              <w:rPr>
                <w:noProof/>
              </w:rPr>
              <w:t xml:space="preserve">P1、P2、P3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2)、(5, 4)、(9,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适配消融</w:t>
            </w:r>
          </w:p>
        </w:tc>
        <w:tc>
          <w:tcPr>
            <w:tcBorders/>
            <w:vAlign w:val="center"/>
          </w:tcPr>
          <w:p>
            <w:pPr>
              <w:pStyle w:val="TableText"/>
              <w:jc w:val="left"/>
            </w:pPr>
            <w:r>
              <w:rPr>
                <w:noProof/>
              </w:rPr>
              <w:t xml:space="preserve">D1、D2、D3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展平预测头、加入RevIN、原始电压</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特征数量</w:t>
            </w:r>
          </w:p>
        </w:tc>
        <w:tc>
          <w:tcPr>
            <w:tcBorders/>
            <w:vAlign w:val="center"/>
          </w:tcPr>
          <w:p>
            <w:pPr>
              <w:pStyle w:val="TableText"/>
              <w:jc w:val="left"/>
            </w:pPr>
            <w:r>
              <w:rPr>
                <w:i/>
                <w:iCs/>
                <w:noProof/>
              </w:rPr>
              <w:t xml:space="preserve">K</w:t>
            </w:r>
            <w:r>
              <w:rPr>
                <w:noProof/>
              </w:rPr>
              <w:t xml:space="preserve"> </w:t>
            </w:r>
            <w:r>
              <w:rPr>
                <w:noProof/>
              </w:rPr>
              <w:t xml:space="preserve">= 10、20、30、75、100、144</w:t>
            </w:r>
          </w:p>
        </w:tc>
        <w:tc>
          <w:tcPr>
            <w:tcBorders/>
            <w:vAlign w:val="center"/>
          </w:tcPr>
          <w:p>
            <w:pPr>
              <w:pStyle w:val="TableText"/>
              <w:jc w:val="left"/>
            </w:pPr>
            <w:r>
              <w:rPr>
                <w:noProof/>
              </w:rPr>
              <w:t xml:space="preserve">MLP，</w:t>
            </w:r>
            <w:r>
              <w:rPr>
                <w:i/>
                <w:iCs/>
                <w:noProof/>
              </w:rPr>
              <w:t xml:space="preserve">K</w:t>
            </w:r>
            <w:r>
              <w:rPr>
                <w:noProof/>
              </w:rPr>
              <w:t xml:space="preserve">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w:t>
            </w:r>
            <w:r>
              <w:rPr>
                <w:i/>
                <w:iCs/>
                <w:noProof/>
              </w:rPr>
              <w:t xml:space="preserve">K</w:t>
            </w:r>
            <w:r>
              <w:rPr>
                <w:noProof/>
              </w:rPr>
              <w:t xml:space="preserve"> </w:t>
            </w:r>
            <w:r>
              <w:rPr>
                <w:noProof/>
              </w:rPr>
              <w:t xml:space="preserve">= 50复用R0）</w:t>
            </w:r>
          </w:p>
        </w:tc>
      </w:tr>
      <w:tr>
        <w:trPr>
          <w:cantSplit/>
        </w:trPr>
        <w:tc>
          <w:tcPr>
            <w:tcBorders/>
            <w:vAlign w:val="center"/>
          </w:tcPr>
          <w:p>
            <w:pPr>
              <w:pStyle w:val="TableText"/>
              <w:jc w:val="left"/>
            </w:pPr>
            <w:r>
              <w:rPr>
                <w:noProof/>
              </w:rPr>
              <w:t xml:space="preserve">传统回归器</w:t>
            </w:r>
          </w:p>
        </w:tc>
        <w:tc>
          <w:tcPr>
            <w:tcBorders/>
            <w:vAlign w:val="center"/>
          </w:tcPr>
          <w:p>
            <w:pPr>
              <w:pStyle w:val="TableText"/>
              <w:jc w:val="left"/>
            </w:pPr>
            <w:r>
              <w:rPr>
                <w:noProof/>
              </w:rPr>
              <w:t xml:space="preserve">Ridge、随机森林、GBDT、SVR、GPR</w:t>
            </w:r>
          </w:p>
        </w:tc>
        <w:tc>
          <w:tcPr>
            <w:tcBorders/>
            <w:vAlign w:val="center"/>
          </w:tcPr>
          <w:p>
            <w:pPr>
              <w:pStyle w:val="TableText"/>
              <w:jc w:val="left"/>
            </w:pPr>
            <w:r>
              <w:rPr>
                <w:noProof/>
              </w:rPr>
              <w:t xml:space="preserve">与A2相同的51维输入</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信息来源对照</w:t>
            </w:r>
          </w:p>
        </w:tc>
        <w:tc>
          <w:tcPr>
            <w:tcBorders/>
            <w:vAlign w:val="center"/>
          </w:tcPr>
          <w:p>
            <w:pPr>
              <w:pStyle w:val="TableText"/>
              <w:jc w:val="left"/>
            </w:pPr>
            <w:r>
              <w:rPr>
                <w:noProof/>
              </w:rPr>
              <w:t xml:space="preserve">仅用</w:t>
            </w:r>
            <w:r>
              <w:rPr>
                <w:i/>
                <w:iCs/>
                <w:noProof/>
              </w:rPr>
              <w:t xml:space="preserve">τ</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信息来源对照</w:t>
            </w:r>
          </w:p>
        </w:tc>
        <w:tc>
          <w:tcPr>
            <w:tcBorders/>
            <w:vAlign w:val="center"/>
          </w:tcPr>
          <w:p>
            <w:pPr>
              <w:pStyle w:val="TableText"/>
              <w:jc w:val="left"/>
            </w:pPr>
            <w:r>
              <w:rPr>
                <w:noProof/>
              </w:rPr>
              <w:t xml:space="preserve">不含</w:t>
            </w:r>
            <w:r>
              <w:rPr>
                <w:i/>
                <w:iCs/>
                <w:noProof/>
              </w:rPr>
              <w:t xml:space="preserve">τ</w:t>
            </w:r>
          </w:p>
        </w:tc>
        <w:tc>
          <w:tcPr>
            <w:tcBorders/>
            <w:vAlign w:val="center"/>
          </w:tcPr>
          <w:p>
            <w:pPr>
              <w:pStyle w:val="TableText"/>
              <w:jc w:val="left"/>
            </w:pPr>
            <w:r>
              <w:rPr>
                <w:noProof/>
              </w:rPr>
              <w:t xml:space="preserve">50项特征</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每折1次（随机森林3次）</w:t>
            </w:r>
          </w:p>
        </w:tc>
      </w:tr>
      <w:tr>
        <w:trPr>
          <w:cantSplit/>
        </w:trPr>
        <w:tc>
          <w:tcPr>
            <w:tcBorders/>
            <w:vAlign w:val="center"/>
          </w:tcPr>
          <w:p>
            <w:pPr>
              <w:pStyle w:val="TableText"/>
              <w:jc w:val="left"/>
            </w:pPr>
            <w:r>
              <w:rPr>
                <w:noProof/>
              </w:rPr>
              <w:t xml:space="preserve">已有方法</w:t>
            </w:r>
          </w:p>
        </w:tc>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w:t>
            </w:r>
          </w:p>
        </w:tc>
        <w:tc>
          <w:tcPr>
            <w:tcBorders/>
            <w:vAlign w:val="center"/>
          </w:tcPr>
          <w:p>
            <w:pPr>
              <w:pStyle w:val="TableText"/>
              <w:jc w:val="left"/>
            </w:pPr>
            <w:r>
              <w:rPr>
                <w:noProof/>
              </w:rPr>
              <w:t xml:space="preserve">原始ΔV，5 × 100 MLP</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30个模型</w:t>
            </w:r>
          </w:p>
        </w:tc>
      </w:tr>
      <w:tr>
        <w:trPr>
          <w:cantSplit/>
        </w:trPr>
        <w:tc>
          <w:tcPr>
            <w:tcBorders>
              <w:bottom w:val="single" w:sz="12" w:space="0" w:color="000000"/>
            </w:tcBorders>
            <w:vAlign w:val="center"/>
          </w:tcPr>
          <w:p>
            <w:pPr>
              <w:pStyle w:val="TableText"/>
              <w:jc w:val="left"/>
            </w:pPr>
            <w:r>
              <w:rPr>
                <w:noProof/>
              </w:rPr>
              <w:t xml:space="preserve">强主干</w:t>
            </w:r>
          </w:p>
        </w:tc>
        <w:tc>
          <w:tcPr>
            <w:tcBorders>
              <w:bottom w:val="single" w:sz="12" w:space="0" w:color="000000"/>
            </w:tcBorders>
            <w:vAlign w:val="center"/>
          </w:tcPr>
          <w:p>
            <w:pPr>
              <w:pStyle w:val="TableText"/>
              <w:jc w:val="left"/>
            </w:pPr>
            <w:r>
              <w:rPr>
                <w:noProof/>
              </w:rPr>
              <w:t xml:space="preserve">G+R0、G+A2、G+A1</w:t>
            </w:r>
          </w:p>
        </w:tc>
        <w:tc>
          <w:tcPr>
            <w:tcBorders>
              <w:bottom w:val="single" w:sz="12" w:space="0" w:color="000000"/>
            </w:tcBorders>
            <w:vAlign w:val="center"/>
          </w:tcPr>
          <w:p>
            <w:pPr>
              <w:pStyle w:val="TableText"/>
              <w:jc w:val="left"/>
            </w:pPr>
            <w:r>
              <w:rPr>
                <w:noProof/>
              </w:rPr>
              <w:t xml:space="preserve">GBDT，网络学习残差</w:t>
            </w:r>
          </w:p>
        </w:tc>
        <w:tc>
          <w:tcPr>
            <w:tcBorders>
              <w:bottom w:val="single" w:sz="12" w:space="0" w:color="000000"/>
            </w:tcBorders>
            <w:vAlign w:val="center"/>
          </w:tcPr>
          <w:p>
            <w:pPr>
              <w:pStyle w:val="TableText"/>
              <w:jc w:val="left"/>
            </w:pPr>
            <w:r>
              <w:rPr>
                <w:noProof/>
              </w:rPr>
              <w:t xml:space="preserve">同R0、A2、A1</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0.1</w:t>
            </w:r>
          </w:p>
        </w:tc>
        <w:tc>
          <w:tcPr>
            <w:tcBorders>
              <w:bottom w:val="single" w:sz="12" w:space="0" w:color="000000"/>
            </w:tcBorders>
            <w:vAlign w:val="center"/>
          </w:tcPr>
          <w:p>
            <w:pPr>
              <w:pStyle w:val="TableText"/>
              <w:jc w:val="left"/>
            </w:pPr>
            <w:r>
              <w:rPr>
                <w:noProof/>
              </w:rPr>
              <w:t xml:space="preserve">45</w:t>
            </w:r>
          </w:p>
        </w:tc>
      </w:tr>
    </w:tbl>
    <w:p>
      <w:pPr>
        <w:pStyle w:val="TableNote"/>
      </w:pPr>
      <w:r>
        <w:t xml:space="preserve">神经网络配置均为5折 × 3个种子（共510次训练，另有30个复现模型）。GBDT/SVR追加原始电压的事后配置未列入本表。</w:t>
      </w:r>
    </w:p>
    <w:p>
      <w:pPr>
        <w:pStyle w:val="TableCaption"/>
      </w:pPr>
      <w:r>
        <w:rPr>
          <w:b/>
        </w:rPr>
        <w:t xml:space="preserve">补充表S4　</w:t>
      </w:r>
      <w:r>
        <w:rPr/>
        <w:t xml:space="preserve">波形增量的分层结果（R0 − A2，SOH百分点）</w:t>
      </w:r>
    </w:p>
    <w:tbl>
      <w:tblPr>
        <w:tblW w:type="pct" w:w="5000"/>
        <w:jc w:val="center"/>
        <w:tblLayout w:type="fixed"/>
        <w:tblCellMar>
          <w:top w:w="15" w:type="dxa"/>
          <w:left w:w="60" w:type="dxa"/>
          <w:bottom w:w="15" w:type="dxa"/>
          <w:right w:w="60" w:type="dxa"/>
        </w:tblCellMar>
        <w:tblCaption w:val="补充表S4 波形增量的分层结果（R0 − A2，SOH百分点）"/>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分层</w:t>
            </w:r>
          </w:p>
        </w:tc>
        <w:tc>
          <w:tcPr>
            <w:tcBorders>
              <w:top w:val="single" w:sz="12" w:space="0" w:color="000000"/>
              <w:bottom w:val="single" w:sz="6" w:space="0" w:color="000000"/>
            </w:tcBorders>
            <w:vAlign w:val="center"/>
          </w:tcPr>
          <w:p>
            <w:pPr>
              <w:pStyle w:val="TableText"/>
              <w:jc w:val="left"/>
            </w:pPr>
            <w:r>
              <w:rPr>
                <w:b/>
                <w:noProof/>
              </w:rPr>
              <w:t xml:space="preserve">水平</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充电</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放电</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20%充电</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20%放电</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50%充电</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50%放电</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90%充电</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工况</w:t>
            </w:r>
          </w:p>
        </w:tc>
        <w:tc>
          <w:tcPr>
            <w:tcBorders>
              <w:bottom w:val="single" w:sz="12" w:space="0" w:color="000000"/>
            </w:tcBorders>
            <w:vAlign w:val="center"/>
          </w:tcPr>
          <w:p>
            <w:pPr>
              <w:pStyle w:val="TableText"/>
              <w:jc w:val="left"/>
            </w:pPr>
            <w:r>
              <w:rPr>
                <w:noProof/>
              </w:rPr>
              <w:t xml:space="preserve">90%放电</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真实SOH分层在电芯–RPT层面（对六个工况取平均后）划分，每个电芯的RMSE在该分层内计算；名义SOC、脉冲方向与工况分层按单条记录计算。预测先对三个种子取平均。本表为描述性分析，未作多重比较校正。</w:t>
      </w:r>
    </w:p>
    <w:p>
      <w:pPr>
        <w:pStyle w:val="TableCaption"/>
      </w:pPr>
      <w:r>
        <w:rPr>
          <w:b/>
        </w:rPr>
        <w:t xml:space="preserve">补充表S5　</w:t>
      </w:r>
      <w:r>
        <w:rPr/>
        <w:t xml:space="preserve">传统回归器、信息来源对照与对照模型（SOH百分点）</w:t>
      </w:r>
    </w:p>
    <w:tbl>
      <w:tblPr>
        <w:tblW w:type="pct" w:w="5000"/>
        <w:jc w:val="center"/>
        <w:tblLayout w:type="fixed"/>
        <w:tblCellMar>
          <w:top w:w="15" w:type="dxa"/>
          <w:left w:w="60" w:type="dxa"/>
          <w:bottom w:w="15" w:type="dxa"/>
          <w:right w:w="60" w:type="dxa"/>
        </w:tblCellMar>
        <w:tblCaption w:val="补充表S5 传统回归器、信息来源对照与对照模型（SOH百分点）"/>
      </w:tblPr>
      <w:tblGrid>
        <w:gridCol w:w="2970"/>
        <w:gridCol w:w="2530"/>
        <w:gridCol w:w="990"/>
        <w:gridCol w:w="143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报告值</w:t>
            </w:r>
          </w:p>
        </w:tc>
        <w:tc>
          <w:tcPr>
            <w:tcBorders>
              <w:top w:val="single" w:sz="12" w:space="0" w:color="000000"/>
              <w:bottom w:val="single" w:sz="6" w:space="0" w:color="000000"/>
            </w:tcBorders>
            <w:vAlign w:val="center"/>
          </w:tcPr>
          <w:p>
            <w:pPr>
              <w:pStyle w:val="TableText"/>
              <w:jc w:val="right"/>
            </w:pPr>
            <w:r>
              <w:rPr>
                <w:b/>
                <w:noProof/>
              </w:rPr>
              <w:t xml:space="preserve">复现实现值</w:t>
            </w:r>
          </w:p>
        </w:tc>
      </w:tr>
      <w:tr>
        <w:trPr>
          <w:cantSplit/>
        </w:trPr>
        <w:tc>
          <w:tcPr>
            <w:tcBorders/>
            <w:vAlign w:val="center"/>
          </w:tcPr>
          <w:p>
            <w:pPr>
              <w:pStyle w:val="TableText"/>
              <w:jc w:val="left"/>
            </w:pPr>
            <w:r>
              <w:rPr>
                <w:noProof/>
              </w:rPr>
              <w:t xml:space="preserve">R0（双分支）</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1.427</w:t>
            </w:r>
          </w:p>
        </w:tc>
      </w:tr>
      <w:tr>
        <w:trPr>
          <w:cantSplit/>
        </w:trPr>
        <w:tc>
          <w:tcPr>
            <w:tcBorders/>
            <w:vAlign w:val="center"/>
          </w:tcPr>
          <w:p>
            <w:pPr>
              <w:pStyle w:val="TableText"/>
              <w:jc w:val="left"/>
            </w:pPr>
            <w:r>
              <w:rPr>
                <w:noProof/>
              </w:rPr>
              <w:t xml:space="preserve">A2（仅主干）</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1.474</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1.879</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1.028</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1.026</w:t>
            </w:r>
          </w:p>
        </w:tc>
        <w:tc>
          <w:tcPr>
            <w:tcBorders/>
            <w:vAlign w:val="center"/>
          </w:tcPr>
          <w:p>
            <w:pPr>
              <w:pStyle w:val="TableText"/>
              <w:jc w:val="right"/>
            </w:pPr>
            <w:r>
              <w:rPr>
                <w:noProof/>
              </w:rPr>
              <w:t xml:space="preserve">1.007</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3.083</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3.095</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仅</w:t>
            </w:r>
            <w:r>
              <w:rPr>
                <w:i/>
                <w:iCs/>
                <w:noProof/>
              </w:rPr>
              <w:t xml:space="preserve">τ</w:t>
            </w:r>
          </w:p>
        </w:tc>
        <w:tc>
          <w:tcPr>
            <w:tcBorders/>
            <w:vAlign w:val="center"/>
          </w:tcPr>
          <w:p>
            <w:pPr>
              <w:pStyle w:val="TableText"/>
              <w:jc w:val="right"/>
            </w:pPr>
            <w:r>
              <w:rPr>
                <w:noProof/>
              </w:rPr>
              <w:t xml:space="preserve">≈3</w:t>
            </w:r>
            <w:r>
              <w:rPr>
                <w:noProof/>
                <w:vertAlign w:val="superscript"/>
              </w:rPr>
              <w:t xml:space="preserve">a</w:t>
            </w:r>
          </w:p>
        </w:tc>
        <w:tc>
          <w:tcPr>
            <w:tcBorders/>
            <w:vAlign w:val="center"/>
          </w:tcPr>
          <w:p>
            <w:pPr>
              <w:pStyle w:val="TableText"/>
              <w:jc w:val="right"/>
            </w:pPr>
            <w:r>
              <w:rPr>
                <w:noProof/>
              </w:rPr>
              <w:t xml:space="preserve">2.881</w:t>
            </w:r>
          </w:p>
        </w:tc>
      </w:tr>
      <w:tr>
        <w:trPr>
          <w:cantSplit/>
        </w:trPr>
        <w:tc>
          <w:tcPr>
            <w:tcBorders/>
            <w:vAlign w:val="center"/>
          </w:tcPr>
          <w:p>
            <w:pPr>
              <w:pStyle w:val="TableText"/>
              <w:jc w:val="left"/>
            </w:pPr>
            <w:r>
              <w:rPr>
                <w:noProof/>
              </w:rPr>
              <w:t xml:space="preserve">Ridge</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2.593</w:t>
            </w:r>
          </w:p>
        </w:tc>
      </w:tr>
      <w:tr>
        <w:trPr>
          <w:cantSplit/>
        </w:trPr>
        <w:tc>
          <w:tcPr>
            <w:tcBorders/>
            <w:vAlign w:val="center"/>
          </w:tcPr>
          <w:p>
            <w:pPr>
              <w:pStyle w:val="TableText"/>
              <w:jc w:val="left"/>
            </w:pPr>
            <w:r>
              <w:rPr>
                <w:noProof/>
              </w:rPr>
              <w:t xml:space="preserve">随机森林</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n.r.</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人工特征（不含</w:t>
            </w:r>
            <w:r>
              <w:rPr>
                <w:i/>
                <w:iCs/>
                <w:noProof/>
              </w:rPr>
              <w:t xml:space="preserve">τ</w:t>
            </w:r>
            <w:r>
              <w:rPr>
                <w:noProof/>
              </w:rPr>
              <w:t xml:space="preserve">）</w:t>
            </w:r>
          </w:p>
        </w:tc>
        <w:tc>
          <w:tcPr>
            <w:tcBorders/>
            <w:vAlign w:val="center"/>
          </w:tcPr>
          <w:p>
            <w:pPr>
              <w:pStyle w:val="TableText"/>
              <w:jc w:val="right"/>
            </w:pPr>
            <w:r>
              <w:rPr>
                <w:noProof/>
              </w:rPr>
              <w:t xml:space="preserve">1.663</w:t>
            </w:r>
          </w:p>
        </w:tc>
        <w:tc>
          <w:tcPr>
            <w:tcBorders/>
            <w:vAlign w:val="center"/>
          </w:tcPr>
          <w:p>
            <w:pPr>
              <w:pStyle w:val="TableText"/>
              <w:jc w:val="right"/>
            </w:pPr>
            <w:r>
              <w:rPr>
                <w:noProof/>
              </w:rPr>
              <w:t xml:space="preserve">1.698</w:t>
            </w:r>
          </w:p>
        </w:tc>
      </w:tr>
      <w:tr>
        <w:trPr>
          <w:cantSplit/>
        </w:trPr>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原始ΔV</w:t>
            </w:r>
          </w:p>
        </w:tc>
        <w:tc>
          <w:tcPr>
            <w:tcBorders/>
            <w:vAlign w:val="center"/>
          </w:tcPr>
          <w:p>
            <w:pPr>
              <w:pStyle w:val="TableText"/>
              <w:jc w:val="right"/>
            </w:pPr>
            <w:r>
              <w:rPr>
                <w:noProof/>
              </w:rPr>
              <w:t xml:space="preserve">1.628</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GBDT＋原始电压（事后）</w:t>
            </w:r>
          </w:p>
        </w:tc>
        <w:tc>
          <w:tcPr>
            <w:tcBorders/>
            <w:vAlign w:val="center"/>
          </w:tcPr>
          <w:p>
            <w:pPr>
              <w:pStyle w:val="TableText"/>
              <w:jc w:val="left"/>
            </w:pPr>
            <w:r>
              <w:rPr>
                <w:noProof/>
              </w:rPr>
              <w:t xml:space="preserve">人工特征＋</w:t>
            </w:r>
            <w:r>
              <w:rPr>
                <w:i/>
                <w:iCs/>
                <w:noProof/>
              </w:rPr>
              <w:t xml:space="preserve">τ</w:t>
            </w:r>
            <w:r>
              <w:rPr>
                <w:noProof/>
              </w:rPr>
              <w:t xml:space="preserve">＋101点电压</w:t>
            </w:r>
          </w:p>
        </w:tc>
        <w:tc>
          <w:tcPr>
            <w:tcBorders/>
            <w:vAlign w:val="center"/>
          </w:tcPr>
          <w:p>
            <w:pPr>
              <w:pStyle w:val="TableText"/>
              <w:jc w:val="right"/>
            </w:pPr>
            <w:r>
              <w:rPr>
                <w:noProof/>
              </w:rPr>
              <w:t xml:space="preserve">无增益</w:t>
            </w:r>
            <w:r>
              <w:rPr>
                <w:noProof/>
                <w:vertAlign w:val="superscript"/>
              </w:rPr>
              <w:t xml:space="preserve">b</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RBF-SVR＋原始电压（事后）</w:t>
            </w:r>
          </w:p>
        </w:tc>
        <w:tc>
          <w:tcPr>
            <w:tcBorders>
              <w:bottom w:val="single" w:sz="12" w:space="0" w:color="000000"/>
            </w:tcBorders>
            <w:vAlign w:val="center"/>
          </w:tcPr>
          <w:p>
            <w:pPr>
              <w:pStyle w:val="TableText"/>
              <w:jc w:val="left"/>
            </w:pPr>
            <w:r>
              <w:rPr>
                <w:noProof/>
              </w:rPr>
              <w:t xml:space="preserve">人工特征＋</w:t>
            </w:r>
            <w:r>
              <w:rPr>
                <w:i/>
                <w:iCs/>
                <w:noProof/>
              </w:rPr>
              <w:t xml:space="preserve">τ</w:t>
            </w:r>
            <w:r>
              <w:rPr>
                <w:noProof/>
              </w:rPr>
              <w:t xml:space="preserve">＋101点电压</w:t>
            </w:r>
          </w:p>
        </w:tc>
        <w:tc>
          <w:tcPr>
            <w:tcBorders>
              <w:bottom w:val="single" w:sz="12" w:space="0" w:color="000000"/>
            </w:tcBorders>
            <w:vAlign w:val="center"/>
          </w:tcPr>
          <w:p>
            <w:pPr>
              <w:pStyle w:val="TableText"/>
              <w:jc w:val="right"/>
            </w:pPr>
            <w:r>
              <w:rPr>
                <w:noProof/>
              </w:rPr>
              <w:t xml:space="preserve">无增益</w:t>
            </w:r>
            <w:r>
              <w:rPr>
                <w:noProof/>
                <w:vertAlign w:val="superscript"/>
              </w:rPr>
              <w:t xml:space="preserve">b</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64个测试电芯上的电芯宏平均RMSE。</w:t>
      </w:r>
      <w:r>
        <w:t xml:space="preserve">“</w:t>
      </w:r>
      <w:r>
        <w:t xml:space="preserve">报告值</w:t>
      </w:r>
      <w:r>
        <w:t xml:space="preserve">”</w:t>
      </w:r>
      <w:r>
        <w:t xml:space="preserve">为正文所依据的原始运行结果；n.r.表示原稿中未给出（待从原始结果文件补入）。</w:t>
      </w:r>
      <w:r>
        <w:t xml:space="preserve">“</w:t>
      </w:r>
      <w:r>
        <w:t xml:space="preserve">复现实现值</w:t>
      </w:r>
      <w:r>
        <w:t xml:space="preserve">”</w:t>
      </w:r>
      <w:r>
        <w:t xml:space="preserve">来自补充说明S6所述的CPU复现实现，采用相同的超参数网格（随机森林对种子0～2取平均）；—表示复现实现中未运行。</w:t>
      </w:r>
      <w:r>
        <w:rPr>
          <w:vertAlign w:val="superscript"/>
        </w:rPr>
        <w:t xml:space="preserve">a</w:t>
      </w:r>
      <w:r>
        <w:t xml:space="preserve"> </w:t>
      </w:r>
      <w:r>
        <w:t xml:space="preserve">原始运行中约为3个百分点。</w:t>
      </w:r>
      <w:r>
        <w:rPr>
          <w:vertAlign w:val="superscript"/>
        </w:rPr>
        <w:t xml:space="preserve">b</w:t>
      </w:r>
      <w:r>
        <w:t xml:space="preserve"> </w:t>
      </w:r>
      <w:r>
        <w:t xml:space="preserve">分别相对GBDT与RBF-SVR未检出增益（补充说明S5）。</w:t>
      </w:r>
    </w:p>
    <w:p>
      <w:pPr>
        <w:pStyle w:val="TableCaption"/>
      </w:pPr>
      <w:r>
        <w:rPr>
          <w:b/>
        </w:rPr>
        <w:t xml:space="preserve">补充表S6　</w:t>
      </w:r>
      <w:r>
        <w:rPr/>
        <w:t xml:space="preserve">人工特征数量的敏感性（SOH百分点）</w:t>
      </w:r>
    </w:p>
    <w:tbl>
      <w:tblPr>
        <w:tblW w:type="pct" w:w="5000"/>
        <w:jc w:val="center"/>
        <w:tblLayout w:type="fixed"/>
        <w:tblCellMar>
          <w:top w:w="15" w:type="dxa"/>
          <w:left w:w="60" w:type="dxa"/>
          <w:bottom w:w="15" w:type="dxa"/>
          <w:right w:w="60" w:type="dxa"/>
        </w:tblCellMar>
        <w:tblCaption w:val="补充表S6 人工特征数量的敏感性（SOH百分点）"/>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主干输入维度</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改善/变差电芯数</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不包括单独拼接的累计循环数，因此主干输入为</w:t>
      </w:r>
      <w:r>
        <w:rPr>
          <w:i/>
          <w:iCs/>
        </w:rPr>
        <w:t xml:space="preserve">K</w:t>
      </w:r>
      <w:r>
        <w:t xml:space="preserve"> </w:t>
      </w:r>
      <w:r>
        <w:t xml:space="preserve">+ 1维。ΔRMSE为该</w:t>
      </w:r>
      <w:r>
        <w:rPr>
          <w:i/>
          <w:iCs/>
        </w:rPr>
        <w:t xml:space="preserve">K</w:t>
      </w:r>
      <w:r>
        <w:t xml:space="preserve">水平的RMSE减去</w:t>
      </w:r>
      <w:r>
        <w:rPr>
          <w:i/>
          <w:iCs/>
        </w:rPr>
        <w:t xml:space="preserve">K</w:t>
      </w:r>
      <w:r>
        <w:t xml:space="preserve"> </w:t>
      </w:r>
      <w:r>
        <w:t xml:space="preserve">= 50的RMSE；Holm校正覆盖6项RMSE比较。改善（变差）电芯指误差低于（高于）</w:t>
      </w:r>
      <w:r>
        <w:rPr>
          <w:i/>
          <w:iCs/>
        </w:rPr>
        <w:t xml:space="preserve">K</w:t>
      </w:r>
      <w:r>
        <w:t xml:space="preserve"> </w:t>
      </w:r>
      <w:r>
        <w:t xml:space="preserve">= 50的电芯。</w:t>
      </w:r>
    </w:p>
    <w:p>
      <w:pPr>
        <w:pStyle w:val="TableCaption"/>
      </w:pPr>
      <w:r>
        <w:rPr>
          <w:b/>
        </w:rPr>
        <w:t xml:space="preserve">补充表S7　</w:t>
      </w:r>
      <w:r>
        <w:rPr/>
        <w:t xml:space="preserve">补充实验结果（电芯宏平均RMSE，SOH百分点）</w:t>
      </w:r>
    </w:p>
    <w:tbl>
      <w:tblPr>
        <w:tblW w:type="pct" w:w="5000"/>
        <w:jc w:val="center"/>
        <w:tblLayout w:type="fixed"/>
        <w:tblCellMar>
          <w:top w:w="15" w:type="dxa"/>
          <w:left w:w="60" w:type="dxa"/>
          <w:bottom w:w="15" w:type="dxa"/>
          <w:right w:w="60" w:type="dxa"/>
        </w:tblCellMar>
        <w:tblCaption w:val="补充表S7 补充实验结果（电芯宏平均RMSE，SOH百分点）"/>
      </w:tblPr>
      <w:tblGrid>
        <w:gridCol w:w="1697"/>
        <w:gridCol w:w="471"/>
        <w:gridCol w:w="565"/>
        <w:gridCol w:w="565"/>
        <w:gridCol w:w="565"/>
        <w:gridCol w:w="565"/>
        <w:gridCol w:w="754"/>
        <w:gridCol w:w="1320"/>
        <w:gridCol w:w="565"/>
        <w:gridCol w:w="84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left"/>
            </w:pPr>
            <w:r>
              <w:rPr>
                <w:b/>
                <w:noProof/>
              </w:rPr>
              <w:t xml:space="preserve">数据</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五折，报告值（正文）</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1.022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仅测试加噪，σ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1.485</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五折，原实现</w:t>
            </w:r>
            <w:r>
              <w:rPr>
                <w:noProof/>
                <w:vertAlign w:val="superscript"/>
              </w:rPr>
              <w:t xml:space="preserve">b</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1.968</w:t>
            </w:r>
          </w:p>
        </w:tc>
        <w:tc>
          <w:tcPr>
            <w:tcBorders/>
            <w:vAlign w:val="center"/>
          </w:tcPr>
          <w:p>
            <w:pPr>
              <w:pStyle w:val="TableText"/>
              <w:jc w:val="right"/>
            </w:pPr>
            <w:r>
              <w:rPr>
                <w:noProof/>
              </w:rPr>
              <w:t xml:space="preserve">2.132</w:t>
            </w:r>
          </w:p>
        </w:tc>
        <w:tc>
          <w:tcPr>
            <w:tcBorders/>
            <w:vAlign w:val="center"/>
          </w:tcPr>
          <w:p>
            <w:pPr>
              <w:pStyle w:val="TableText"/>
              <w:jc w:val="right"/>
            </w:pPr>
            <w:r>
              <w:rPr>
                <w:noProof/>
              </w:rPr>
              <w:t xml:space="preserve">2.468</w:t>
            </w:r>
          </w:p>
        </w:tc>
        <w:tc>
          <w:tcPr>
            <w:tcBorders/>
            <w:vAlign w:val="center"/>
          </w:tcPr>
          <w:p>
            <w:pPr>
              <w:pStyle w:val="TableText"/>
              <w:jc w:val="right"/>
            </w:pPr>
            <w:r>
              <w:rPr>
                <w:noProof/>
              </w:rPr>
              <w:t xml:space="preserve">0.965</w:t>
            </w:r>
          </w:p>
        </w:tc>
        <w:tc>
          <w:tcPr>
            <w:tcBorders/>
            <w:vAlign w:val="center"/>
          </w:tcPr>
          <w:p>
            <w:pPr>
              <w:pStyle w:val="TableText"/>
              <w:jc w:val="right"/>
            </w:pPr>
            <w:r>
              <w:rPr>
                <w:noProof/>
              </w:rPr>
              <w:t xml:space="preserve">−0.163</w:t>
            </w:r>
          </w:p>
        </w:tc>
        <w:tc>
          <w:tcPr>
            <w:tcBorders/>
            <w:vAlign w:val="center"/>
          </w:tcPr>
          <w:p>
            <w:pPr>
              <w:pStyle w:val="TableText"/>
              <w:jc w:val="left"/>
            </w:pPr>
            <w:r>
              <w:rPr>
                <w:noProof/>
              </w:rPr>
              <w:t xml:space="preserve">待补</w:t>
            </w:r>
          </w:p>
        </w:tc>
        <w:tc>
          <w:tcPr>
            <w:tcBorders/>
            <w:vAlign w:val="center"/>
          </w:tcPr>
          <w:p>
            <w:pPr>
              <w:pStyle w:val="TableText"/>
              <w:jc w:val="right"/>
            </w:pPr>
            <w:r>
              <w:rPr>
                <w:noProof/>
              </w:rPr>
              <w:t xml:space="preserve">0.0004</w:t>
            </w:r>
            <w:r>
              <w:rPr>
                <w:noProof/>
                <w:vertAlign w:val="superscript"/>
              </w:rPr>
              <w:t xml:space="preserve">c</w:t>
            </w:r>
          </w:p>
        </w:tc>
        <w:tc>
          <w:tcPr>
            <w:tcBorders/>
            <w:vAlign w:val="center"/>
          </w:tcPr>
          <w:p>
            <w:pPr>
              <w:pStyle w:val="TableText"/>
              <w:jc w:val="right"/>
            </w:pPr>
            <w:r>
              <w:rPr>
                <w:noProof/>
              </w:rPr>
              <w:t xml:space="preserve">39/44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2.030</w:t>
            </w:r>
          </w:p>
        </w:tc>
        <w:tc>
          <w:tcPr>
            <w:tcBorders/>
            <w:vAlign w:val="center"/>
          </w:tcPr>
          <w:p>
            <w:pPr>
              <w:pStyle w:val="TableText"/>
              <w:jc w:val="right"/>
            </w:pPr>
            <w:r>
              <w:rPr>
                <w:noProof/>
              </w:rPr>
              <w:t xml:space="preserve">2.026</w:t>
            </w:r>
          </w:p>
        </w:tc>
        <w:tc>
          <w:tcPr>
            <w:tcBorders/>
            <w:vAlign w:val="center"/>
          </w:tcPr>
          <w:p>
            <w:pPr>
              <w:pStyle w:val="TableText"/>
              <w:jc w:val="right"/>
            </w:pPr>
            <w:r>
              <w:rPr>
                <w:noProof/>
              </w:rPr>
              <w:t xml:space="preserve">2.317</w:t>
            </w:r>
          </w:p>
        </w:tc>
        <w:tc>
          <w:tcPr>
            <w:tcBorders/>
            <w:vAlign w:val="center"/>
          </w:tcPr>
          <w:p>
            <w:pPr>
              <w:pStyle w:val="TableText"/>
              <w:jc w:val="right"/>
            </w:pPr>
            <w:r>
              <w:rPr>
                <w:noProof/>
              </w:rPr>
              <w:t xml:space="preserve">0.935</w:t>
            </w:r>
          </w:p>
        </w:tc>
        <w:tc>
          <w:tcPr>
            <w:tcBorders/>
            <w:vAlign w:val="center"/>
          </w:tcPr>
          <w:p>
            <w:pPr>
              <w:pStyle w:val="TableText"/>
              <w:jc w:val="right"/>
            </w:pPr>
            <w:r>
              <w:rPr>
                <w:noProof/>
              </w:rPr>
              <w:t xml:space="preserve">+0.004</w:t>
            </w:r>
          </w:p>
        </w:tc>
        <w:tc>
          <w:tcPr>
            <w:tcBorders/>
            <w:vAlign w:val="center"/>
          </w:tcPr>
          <w:p>
            <w:pPr>
              <w:pStyle w:val="TableText"/>
              <w:jc w:val="left"/>
            </w:pPr>
            <w:r>
              <w:rPr>
                <w:noProof/>
              </w:rPr>
              <w:t xml:space="preserve">−0.042～0.047</w:t>
            </w:r>
          </w:p>
        </w:tc>
        <w:tc>
          <w:tcPr>
            <w:tcBorders/>
            <w:vAlign w:val="center"/>
          </w:tcPr>
          <w:p>
            <w:pPr>
              <w:pStyle w:val="TableText"/>
              <w:jc w:val="right"/>
            </w:pPr>
            <w:r>
              <w:rPr>
                <w:noProof/>
              </w:rPr>
              <w:t xml:space="preserve">0.90</w:t>
            </w:r>
          </w:p>
        </w:tc>
        <w:tc>
          <w:tcPr>
            <w:tcBorders/>
            <w:vAlign w:val="center"/>
          </w:tcPr>
          <w:p>
            <w:pPr>
              <w:pStyle w:val="TableText"/>
              <w:jc w:val="right"/>
            </w:pPr>
            <w:r>
              <w:rPr>
                <w:noProof/>
              </w:rPr>
              <w:t xml:space="preserve">21/44</w:t>
            </w:r>
          </w:p>
        </w:tc>
      </w:tr>
      <w:tr>
        <w:trPr>
          <w:cantSplit/>
        </w:trPr>
        <w:tc>
          <w:tcPr>
            <w:tcBorders>
              <w:bottom w:val="single" w:sz="12" w:space="0" w:color="000000"/>
            </w:tcBorders>
            <w:vAlign w:val="center"/>
          </w:tcPr>
          <w:p>
            <w:pPr>
              <w:pStyle w:val="TableText"/>
              <w:jc w:val="left"/>
            </w:pPr>
            <w:r>
              <w:rPr>
                <w:noProof/>
              </w:rPr>
              <w:t xml:space="preserve">五折，复现实现，主干不含绝对电压水平特征</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1.940</w:t>
            </w:r>
          </w:p>
        </w:tc>
        <w:tc>
          <w:tcPr>
            <w:tcBorders>
              <w:bottom w:val="single" w:sz="12" w:space="0" w:color="000000"/>
            </w:tcBorders>
            <w:vAlign w:val="center"/>
          </w:tcPr>
          <w:p>
            <w:pPr>
              <w:pStyle w:val="TableText"/>
              <w:jc w:val="right"/>
            </w:pPr>
            <w:r>
              <w:rPr>
                <w:noProof/>
              </w:rPr>
              <w:t xml:space="preserve">2.098</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−0.158</w:t>
            </w:r>
          </w:p>
        </w:tc>
        <w:tc>
          <w:tcPr>
            <w:tcBorders>
              <w:bottom w:val="single" w:sz="12" w:space="0" w:color="000000"/>
            </w:tcBorders>
            <w:vAlign w:val="center"/>
          </w:tcPr>
          <w:p>
            <w:pPr>
              <w:pStyle w:val="TableText"/>
              <w:jc w:val="left"/>
            </w:pPr>
            <w:r>
              <w:rPr>
                <w:noProof/>
              </w:rPr>
              <w:t xml:space="preserve">−0.205～−0.112</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36/44</w:t>
            </w:r>
          </w:p>
        </w:tc>
      </w:tr>
    </w:tbl>
    <w:p>
      <w:pPr>
        <w:pStyle w:val="TableNote"/>
      </w:pPr>
      <w:r>
        <w:t xml:space="preserve">配对比较采用5,000次按外层折（或工况组）分层的电芯自助重采样与双侧符号翻转检验，未作多重比较校正。</w:t>
      </w:r>
      <w:r>
        <w:rPr>
          <w:vertAlign w:val="superscript"/>
        </w:rPr>
        <w:t xml:space="preserve">a</w:t>
      </w:r>
      <w:r>
        <w:t xml:space="preserve"> </w:t>
      </w:r>
      <w:r>
        <w:t xml:space="preserve">模型在无噪声数据上训练，仅在测试电压中加入噪声。</w:t>
      </w:r>
      <w:r>
        <w:rPr>
          <w:vertAlign w:val="superscript"/>
        </w:rPr>
        <w:t xml:space="preserve">b</w:t>
      </w:r>
      <w:r>
        <w:t xml:space="preserve"> </w:t>
      </w:r>
      <w:r>
        <w:t xml:space="preserve">原实现，A1单独加入直流内阻（补充说明S6）。</w:t>
      </w:r>
      <w:r>
        <w:rPr>
          <w:vertAlign w:val="superscript"/>
        </w:rPr>
        <w:t xml:space="preserve">c</w:t>
      </w:r>
      <w:r>
        <w:t xml:space="preserve"> </w:t>
      </w:r>
      <w:r>
        <w:t xml:space="preserve">Holm校正。留一工况组验证下各工况组的误差见正文图8a。</w:t>
      </w:r>
    </w:p>
    <w:bookmarkEnd w:id="27"/>
    <w:bookmarkStart w:id="43" w:name="补充图"/>
    <w:p>
      <w:pPr>
        <w:pStyle w:val="Heading1"/>
        <w:pageBreakBefore/>
      </w:pPr>
      <w:r>
        <w:t xml:space="preserve">补充图</w:t>
      </w:r>
    </w:p>
    <w:p>
      <w:pPr>
        <w:pStyle w:val="CaptionedFigure"/>
      </w:pPr>
      <w:r>
        <w:drawing>
          <wp:inline>
            <wp:extent cx="5334000" cy="3848082"/>
            <wp:effectExtent b="0" l="0" r="0" t="0"/>
            <wp:docPr descr="补充图S1 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 title="" id="29" name="Picture"/>
            <a:graphic>
              <a:graphicData uri="http://schemas.openxmlformats.org/drawingml/2006/picture">
                <pic:pic>
                  <pic:nvPicPr>
                    <pic:cNvPr descr="figures/figS1_patch_cdf.png" id="30" name="Picture"/>
                    <pic:cNvPicPr>
                      <a:picLocks noChangeArrowheads="1" noChangeAspect="1"/>
                    </pic:cNvPicPr>
                  </pic:nvPicPr>
                  <pic:blipFill>
                    <a:blip r:embed="rId28"/>
                    <a:stretch>
                      <a:fillRect/>
                    </a:stretch>
                  </pic:blipFill>
                  <pic:spPr bwMode="auto">
                    <a:xfrm>
                      <a:off x="0" y="0"/>
                      <a:ext cx="5334000" cy="3848082"/>
                    </a:xfrm>
                    <a:prstGeom prst="rect">
                      <a:avLst/>
                    </a:prstGeom>
                    <a:noFill/>
                    <a:ln w="9525">
                      <a:noFill/>
                      <a:headEnd/>
                      <a:tailEnd/>
                    </a:ln>
                  </pic:spPr>
                </pic:pic>
              </a:graphicData>
            </a:graphic>
          </wp:inline>
        </w:drawing>
      </w:r>
    </w:p>
    <w:p>
      <w:pPr>
        <w:pStyle w:val="ImageCaption"/>
      </w:pPr>
      <w:r>
        <w:rPr>
          <w:b/>
          <w:bCs/>
        </w:rPr>
        <w:t xml:space="preserve">补充图S1</w:t>
      </w:r>
      <w:r>
        <w:t xml:space="preserve"> </w:t>
      </w:r>
      <w:r>
        <w:t xml:space="preserve">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w:t>
      </w:r>
    </w:p>
    <w:p>
      <w:pPr>
        <w:pStyle w:val="CaptionedFigure"/>
      </w:pPr>
      <w:r>
        <w:drawing>
          <wp:inline>
            <wp:extent cx="4206240" cy="2728663"/>
            <wp:effectExtent b="0" l="0" r="0" t="0"/>
            <wp:docPr descr="补充图S2 人工特征数量K的敏感性。相对K = 50的电芯宏平均RMSE差及其95%折分层电芯bootstrap区间；标注为总参数量。空心标记表示区间包含零。" title="" id="32" name="Picture"/>
            <a:graphic>
              <a:graphicData uri="http://schemas.openxmlformats.org/drawingml/2006/picture">
                <pic:pic>
                  <pic:nvPicPr>
                    <pic:cNvPr descr="figures/figS2_K.png" id="33" name="Picture"/>
                    <pic:cNvPicPr>
                      <a:picLocks noChangeArrowheads="1" noChangeAspect="1"/>
                    </pic:cNvPicPr>
                  </pic:nvPicPr>
                  <pic:blipFill>
                    <a:blip r:embed="rId31"/>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补充图S2</w:t>
      </w:r>
      <w:r>
        <w:t xml:space="preserve"> </w:t>
      </w:r>
      <w:r>
        <w:t xml:space="preserve">人工特征数量</w:t>
      </w:r>
      <w:r>
        <w:rPr>
          <w:i/>
          <w:iCs/>
        </w:rPr>
        <w:t xml:space="preserve">K</w:t>
      </w:r>
      <w:r>
        <w:t xml:space="preserve">的敏感性。相对</w:t>
      </w:r>
      <w:r>
        <w:rPr>
          <w:i/>
          <w:iCs/>
        </w:rPr>
        <w:t xml:space="preserve">K</w:t>
      </w:r>
      <w:r>
        <w:t xml:space="preserve"> </w:t>
      </w:r>
      <w:r>
        <w:t xml:space="preserve">= 50的电芯宏平均RMSE差及其95%折分层电芯bootstrap区间；标注为总参数量。空心标记表示区间包含零。</w:t>
      </w:r>
    </w:p>
    <w:p>
      <w:pPr>
        <w:pStyle w:val="CaptionedFigure"/>
      </w:pPr>
      <w:r>
        <w:drawing>
          <wp:inline>
            <wp:extent cx="5334000" cy="2215300"/>
            <wp:effectExtent b="0" l="0" r="0" t="0"/>
            <wp:docPr descr="补充图S3 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 title="" id="35" name="Picture"/>
            <a:graphic>
              <a:graphicData uri="http://schemas.openxmlformats.org/drawingml/2006/picture">
                <pic:pic>
                  <pic:nvPicPr>
                    <pic:cNvPr descr="figures/figS3_bias_soh.png" id="36" name="Picture"/>
                    <pic:cNvPicPr>
                      <a:picLocks noChangeArrowheads="1" noChangeAspect="1"/>
                    </pic:cNvPicPr>
                  </pic:nvPicPr>
                  <pic:blipFill>
                    <a:blip r:embed="rId34"/>
                    <a:stretch>
                      <a:fillRect/>
                    </a:stretch>
                  </pic:blipFill>
                  <pic:spPr bwMode="auto">
                    <a:xfrm>
                      <a:off x="0" y="0"/>
                      <a:ext cx="5334000" cy="2215300"/>
                    </a:xfrm>
                    <a:prstGeom prst="rect">
                      <a:avLst/>
                    </a:prstGeom>
                    <a:noFill/>
                    <a:ln w="9525">
                      <a:noFill/>
                      <a:headEnd/>
                      <a:tailEnd/>
                    </a:ln>
                  </pic:spPr>
                </pic:pic>
              </a:graphicData>
            </a:graphic>
          </wp:inline>
        </w:drawing>
      </w:r>
    </w:p>
    <w:p>
      <w:pPr>
        <w:pStyle w:val="ImageCaption"/>
      </w:pPr>
      <w:r>
        <w:rPr>
          <w:b/>
          <w:bCs/>
        </w:rPr>
        <w:t xml:space="preserve">补充图S3</w:t>
      </w:r>
      <w:r>
        <w:t xml:space="preserve"> </w:t>
      </w:r>
      <w:r>
        <w:t xml:space="preserve">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w:t>
      </w:r>
    </w:p>
    <w:p>
      <w:pPr>
        <w:pStyle w:val="CaptionedFigure"/>
      </w:pPr>
      <w:r>
        <w:drawing>
          <wp:inline>
            <wp:extent cx="5334000" cy="4242767"/>
            <wp:effectExtent b="0" l="0" r="0" t="0"/>
            <wp:docPr descr="补充图S4 代表性电芯12、6、44和3（按R0误差排第1、22、43和64位）的逐记录预测与残差。每个RPT贡献18条记录（3个SOC × 2个方向 × 3个种子），因此横轴为记录序号而非循环数；灰色阶梯线将每个RPT的实测SOH重复显示。蓝色为R0，橙色虚线为A2。" title="" id="38" name="Picture"/>
            <a:graphic>
              <a:graphicData uri="http://schemas.openxmlformats.org/drawingml/2006/picture">
                <pic:pic>
                  <pic:nvPicPr>
                    <pic:cNvPr descr="figures/figS4_cells.png" id="39" name="Picture"/>
                    <pic:cNvPicPr>
                      <a:picLocks noChangeArrowheads="1" noChangeAspect="1"/>
                    </pic:cNvPicPr>
                  </pic:nvPicPr>
                  <pic:blipFill>
                    <a:blip r:embed="rId37"/>
                    <a:stretch>
                      <a:fillRect/>
                    </a:stretch>
                  </pic:blipFill>
                  <pic:spPr bwMode="auto">
                    <a:xfrm>
                      <a:off x="0" y="0"/>
                      <a:ext cx="5334000" cy="4242767"/>
                    </a:xfrm>
                    <a:prstGeom prst="rect">
                      <a:avLst/>
                    </a:prstGeom>
                    <a:noFill/>
                    <a:ln w="9525">
                      <a:noFill/>
                      <a:headEnd/>
                      <a:tailEnd/>
                    </a:ln>
                  </pic:spPr>
                </pic:pic>
              </a:graphicData>
            </a:graphic>
          </wp:inline>
        </w:drawing>
      </w:r>
    </w:p>
    <w:p>
      <w:pPr>
        <w:pStyle w:val="ImageCaption"/>
      </w:pPr>
      <w:r>
        <w:rPr>
          <w:b/>
          <w:bCs/>
        </w:rPr>
        <w:t xml:space="preserve">补充图S4</w:t>
      </w:r>
      <w:r>
        <w:t xml:space="preserve"> </w:t>
      </w:r>
      <w:r>
        <w:t xml:space="preserve">代表性电芯12、6、44和3（按R0误差排第1、22、43和64位）的逐记录预测与残差。每个RPT贡献18条记录（3个SOC × 2个方向 × 3个种子），因此横轴为记录序号而非循环数；灰色阶梯线将每个RPT的实测SOH重复显示。蓝色为R0，橙色虚线为A2。</w:t>
      </w:r>
    </w:p>
    <w:p>
      <w:pPr>
        <w:pStyle w:val="CaptionedFigure"/>
      </w:pPr>
      <w:r>
        <w:drawing>
          <wp:inline>
            <wp:extent cx="5334000" cy="4463569"/>
            <wp:effectExtent b="0" l="0" r="0" t="0"/>
            <wp:docPr descr="补充图S5 R0在11个循环工况组上的SOH估计值与实测SOH。每个点为一个电芯–RPT（预测在种子与工况间取平均，均来自该电芯所在的测试折）；颜色表示绝对误差（在3个百分点处饱和），红色虚线为y = x。各子图中的数字为该组按式（14）计算的电芯宏平均RMSE。" title="" id="41" name="Picture"/>
            <a:graphic>
              <a:graphicData uri="http://schemas.openxmlformats.org/drawingml/2006/picture">
                <pic:pic>
                  <pic:nvPicPr>
                    <pic:cNvPr descr="figures/figS5_groups.png" id="42" name="Picture"/>
                    <pic:cNvPicPr>
                      <a:picLocks noChangeArrowheads="1" noChangeAspect="1"/>
                    </pic:cNvPicPr>
                  </pic:nvPicPr>
                  <pic:blipFill>
                    <a:blip r:embed="rId40"/>
                    <a:stretch>
                      <a:fillRect/>
                    </a:stretch>
                  </pic:blipFill>
                  <pic:spPr bwMode="auto">
                    <a:xfrm>
                      <a:off x="0" y="0"/>
                      <a:ext cx="5334000" cy="4463569"/>
                    </a:xfrm>
                    <a:prstGeom prst="rect">
                      <a:avLst/>
                    </a:prstGeom>
                    <a:noFill/>
                    <a:ln w="9525">
                      <a:noFill/>
                      <a:headEnd/>
                      <a:tailEnd/>
                    </a:ln>
                  </pic:spPr>
                </pic:pic>
              </a:graphicData>
            </a:graphic>
          </wp:inline>
        </w:drawing>
      </w:r>
    </w:p>
    <w:p>
      <w:pPr>
        <w:pStyle w:val="ImageCaption"/>
      </w:pPr>
      <w:r>
        <w:rPr>
          <w:b/>
          <w:bCs/>
        </w:rPr>
        <w:t xml:space="preserve">补充图S5</w:t>
      </w:r>
      <w:r>
        <w:t xml:space="preserve"> </w:t>
      </w:r>
      <w:r>
        <w:t xml:space="preserve">R0在11个循环工况组上的SOH估计值与实测SOH。每个点为一个电芯–RPT（预测在种子与工况间取平均，均来自该电芯所在的测试折）；颜色表示绝对误差（在3个百分点处饱和），红色虚线为</w:t>
      </w:r>
      <w:r>
        <w:rPr>
          <w:i/>
          <w:iCs/>
        </w:rPr>
        <w:t xml:space="preserve">y</w:t>
      </w:r>
      <w:r>
        <w:t xml:space="preserve"> </w:t>
      </w:r>
      <w:r>
        <w:t xml:space="preserve">=</w:t>
      </w:r>
      <w:r>
        <w:t xml:space="preserve"> </w:t>
      </w:r>
      <w:r>
        <w:rPr>
          <w:i/>
          <w:iCs/>
        </w:rPr>
        <w:t xml:space="preserve">x</w:t>
      </w:r>
      <w:r>
        <w:t xml:space="preserve">。各子图中的数字为该组按式（14）计算的电芯宏平均RMSE。</w:t>
      </w:r>
    </w:p>
    <w:bookmarkEnd w:id="43"/>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宋体"/>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Normal"/>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Reference">
    <w:name w:val="Reference"/>
    <w:basedOn w:val="Normal"/>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2026-10-08T13:09:32Z</dcterms:created>
  <dcterms:modified xsi:type="dcterms:W3CDTF">2026-10-08T13:09:32Z</dcterms:modified>
</cp:coreProperties>
</file>

<file path=docProps/custom.xml><?xml version="1.0" encoding="utf-8"?>
<Properties xmlns="http://schemas.openxmlformats.org/officeDocument/2006/custom-properties" xmlns:vt="http://schemas.openxmlformats.org/officeDocument/2006/docPropsVTypes"/>
</file>