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1E3A2F"/>
          <w:sz w:val="72"/>
          <w:szCs w:val="72"/>
        </w:rPr>
        <w:t xml:space="preserve">TailWag</w:t>
      </w:r>
    </w:p>
    <w:p>
      <w:pPr>
        <w:jc w:val="center"/>
      </w:pPr>
      <w:r>
        <w:rPr>
          <w:rFonts w:ascii="Arial" w:cs="Arial" w:eastAsia="Arial" w:hAnsi="Arial"/>
          <w:color w:val="2D6A4F"/>
          <w:sz w:val="36"/>
          <w:szCs w:val="36"/>
        </w:rPr>
        <w:t xml:space="preserve">Technical Specification &amp; Operating Protocol</w:t>
      </w:r>
    </w:p>
    <w:p>
      <w:pPr>
        <w:spacing w:after="0" w:before="80"/>
      </w:pPr>
      <w:r>
        <w:t xml:space="preserve"/>
      </w:r>
    </w:p>
    <w:p>
      <w:pPr>
        <w:pBdr>
          <w:top w:val="single" w:color="C89B3C" w:sz="4" w:space="1"/>
          <w:bottom w:val="single" w:color="C89B3C" w:sz="4" w:space="1"/>
        </w:pBdr>
        <w:shd w:fill="E8F5E9" w:val="clear"/>
        <w:spacing w:after="80" w:before="80"/>
        <w:jc w:val="center"/>
      </w:pPr>
      <w:r>
        <w:rPr>
          <w:rFonts w:ascii="Arial" w:cs="Arial" w:eastAsia="Arial" w:hAnsi="Arial"/>
          <w:color w:val="1E3A2F"/>
          <w:sz w:val="20"/>
          <w:szCs w:val="20"/>
        </w:rPr>
        <w:t xml:space="preserve">Data Ingestion  ·  Review Monitoring  ·  Adherence  ·  Reminders  ·  Reply Handling  ·  Compliance  ·  Legal</w:t>
      </w:r>
    </w:p>
    <w:p>
      <w:pPr>
        <w:spacing w:after="0" w:before="120"/>
      </w:pPr>
      <w:r>
        <w:t xml:space="preserve"/>
      </w:r>
    </w:p>
    <w:p>
      <w:pPr>
        <w:jc w:val="center"/>
      </w:pPr>
      <w:r>
        <w:rPr>
          <w:rFonts w:ascii="Arial" w:cs="Arial" w:eastAsia="Arial" w:hAnsi="Arial"/>
          <w:color w:val="AAAAAA"/>
          <w:sz w:val="24"/>
          <w:szCs w:val="24"/>
        </w:rPr>
        <w:t xml:space="preserve">Version 1.0  —  March 2026</w:t>
      </w:r>
    </w:p>
    <w:p>
      <w:pPr>
        <w:jc w:val="center"/>
      </w:pPr>
      <w:r>
        <w:rPr>
          <w:rFonts w:ascii="Arial" w:cs="Arial" w:eastAsia="Arial" w:hAnsi="Arial"/>
          <w:color w:val="AAAAAA"/>
          <w:sz w:val="22"/>
          <w:szCs w:val="22"/>
        </w:rPr>
        <w:t xml:space="preserve">Confidential — Internal Use Only</w:t>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EXECUTIVE SUMMARY</w:t>
      </w:r>
    </w:p>
    <w:p>
      <w:pPr>
        <w:spacing w:after="0" w:before="60"/>
      </w:pPr>
      <w:r>
        <w:t xml:space="preserve"/>
      </w:r>
    </w:p>
    <w:p>
      <w:pPr>
        <w:spacing w:after="40" w:before="40"/>
      </w:pPr>
      <w:r>
        <w:rPr>
          <w:rFonts w:ascii="Arial" w:cs="Arial" w:eastAsia="Arial" w:hAnsi="Arial"/>
          <w:b w:val="false"/>
          <w:bCs w:val="false"/>
          <w:color w:val="2C2C2C"/>
          <w:sz w:val="22"/>
          <w:szCs w:val="22"/>
        </w:rPr>
        <w:t xml:space="preserve">This document defines the complete technical and operational architecture of TailWag — an AI-powered client communication platform for independent doggie daycares. It covers all eight functional questions raised during product planning, plus supporting protocols required to operate compliantly and at scale. It is intended as both a product roadmap and an operating manual.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2F" w:val="clear"/>
            <w:tcMar>
              <w:top w:type="dxa" w:w="160"/>
              <w:left w:type="dxa" w:w="240"/>
              <w:bottom w:type="dxa" w:w="60"/>
              <w:right w:type="dxa" w:w="160"/>
            </w:tcMar>
          </w:tcPr>
          <w:p>
            <w:r>
              <w:rPr>
                <w:rFonts w:ascii="Arial" w:cs="Arial" w:eastAsia="Arial" w:hAnsi="Arial"/>
                <w:b/>
                <w:bCs/>
                <w:color w:val="C89B3C"/>
                <w:sz w:val="24"/>
                <w:szCs w:val="24"/>
              </w:rPr>
              <w:t xml:space="preserve">Platform Components</w:t>
            </w:r>
          </w:p>
        </w:tc>
        <w:tc>
          <w:tcPr>
            <w:tcW w:type="dxa" w:w="4680"/>
            <w:tcBorders>
              <w:top w:val="none" w:color="FFFFFF" w:sz="0"/>
              <w:left w:val="none" w:color="FFFFFF" w:sz="0"/>
              <w:bottom w:val="none" w:color="FFFFFF" w:sz="0"/>
              <w:right w:val="none" w:color="FFFFFF" w:sz="0"/>
            </w:tcBorders>
            <w:shd w:fill="1E3A2F" w:val="clear"/>
            <w:tcMar>
              <w:top w:type="dxa" w:w="160"/>
              <w:left w:type="dxa" w:w="200"/>
              <w:bottom w:type="dxa" w:w="60"/>
              <w:right w:type="dxa" w:w="240"/>
            </w:tcMar>
          </w:tcPr>
          <w:p>
            <w:r>
              <w:rPr>
                <w:rFonts w:ascii="Arial" w:cs="Arial" w:eastAsia="Arial" w:hAnsi="Arial"/>
                <w:b/>
                <w:bCs/>
                <w:color w:val="C89B3C"/>
                <w:sz w:val="24"/>
                <w:szCs w:val="24"/>
              </w:rPr>
              <w:t xml:space="preserve">External Dependencies</w:t>
            </w:r>
          </w:p>
        </w:tc>
      </w:tr>
      <w:tr>
        <w:tc>
          <w:tcPr>
            <w:tcW w:type="dxa" w:w="4680"/>
            <w:tcBorders>
              <w:top w:val="none" w:color="FFFFFF" w:sz="0"/>
              <w:left w:val="none" w:color="FFFFFF" w:sz="0"/>
              <w:bottom w:val="none" w:color="FFFFFF" w:sz="0"/>
              <w:right w:val="none" w:color="FFFFFF" w:sz="0"/>
            </w:tcBorders>
            <w:shd w:fill="E8F5E9" w:val="clear"/>
            <w:tcMar>
              <w:top w:type="dxa" w:w="60"/>
              <w:left w:type="dxa" w:w="240"/>
              <w:bottom w:type="dxa" w:w="160"/>
              <w:right w:type="dxa" w:w="160"/>
            </w:tcMar>
          </w:tcPr>
          <w:p>
            <w:pPr>
              <w:pStyle w:val="ListParagraph"/>
              <w:numPr>
                <w:ilvl w:val="0"/>
                <w:numId w:val="2"/>
              </w:numPr>
              <w:spacing w:after="30" w:before="30"/>
            </w:pPr>
            <w:r>
              <w:rPr>
                <w:rFonts w:ascii="Arial" w:cs="Arial" w:eastAsia="Arial" w:hAnsi="Arial"/>
                <w:color w:val="2C2C2C"/>
                <w:sz w:val="20"/>
                <w:szCs w:val="20"/>
              </w:rPr>
              <w:t xml:space="preserve">Staff Portal (web app) — report card generation, client management</w:t>
            </w:r>
          </w:p>
          <w:p>
            <w:pPr>
              <w:pStyle w:val="ListParagraph"/>
              <w:numPr>
                <w:ilvl w:val="0"/>
                <w:numId w:val="2"/>
              </w:numPr>
              <w:spacing w:after="30" w:before="30"/>
            </w:pPr>
            <w:r>
              <w:rPr>
                <w:rFonts w:ascii="Arial" w:cs="Arial" w:eastAsia="Arial" w:hAnsi="Arial"/>
                <w:color w:val="2C2C2C"/>
                <w:sz w:val="20"/>
                <w:szCs w:val="20"/>
              </w:rPr>
              <w:t xml:space="preserve">AI Engine (Anthropic Claude API) — SMS personalization</w:t>
            </w:r>
          </w:p>
          <w:p>
            <w:pPr>
              <w:pStyle w:val="ListParagraph"/>
              <w:numPr>
                <w:ilvl w:val="0"/>
                <w:numId w:val="2"/>
              </w:numPr>
              <w:spacing w:after="30" w:before="30"/>
            </w:pPr>
            <w:r>
              <w:rPr>
                <w:rFonts w:ascii="Arial" w:cs="Arial" w:eastAsia="Arial" w:hAnsi="Arial"/>
                <w:color w:val="2C2C2C"/>
                <w:sz w:val="20"/>
                <w:szCs w:val="20"/>
              </w:rPr>
              <w:t xml:space="preserve">Message Queue — scheduled sending with rate limiting</w:t>
            </w:r>
          </w:p>
          <w:p>
            <w:pPr>
              <w:pStyle w:val="ListParagraph"/>
              <w:numPr>
                <w:ilvl w:val="0"/>
                <w:numId w:val="2"/>
              </w:numPr>
              <w:spacing w:after="30" w:before="30"/>
            </w:pPr>
            <w:r>
              <w:rPr>
                <w:rFonts w:ascii="Arial" w:cs="Arial" w:eastAsia="Arial" w:hAnsi="Arial"/>
                <w:color w:val="2C2C2C"/>
                <w:sz w:val="20"/>
                <w:szCs w:val="20"/>
              </w:rPr>
              <w:t xml:space="preserve">Review Monitor — Google Places API polling + attribution</w:t>
            </w:r>
          </w:p>
          <w:p>
            <w:pPr>
              <w:pStyle w:val="ListParagraph"/>
              <w:numPr>
                <w:ilvl w:val="0"/>
                <w:numId w:val="2"/>
              </w:numPr>
              <w:spacing w:after="30" w:before="30"/>
            </w:pPr>
            <w:r>
              <w:rPr>
                <w:rFonts w:ascii="Arial" w:cs="Arial" w:eastAsia="Arial" w:hAnsi="Arial"/>
                <w:color w:val="2C2C2C"/>
                <w:sz w:val="20"/>
                <w:szCs w:val="20"/>
              </w:rPr>
              <w:t xml:space="preserve">Adherence Dashboard — usage metrics per account</w:t>
            </w:r>
          </w:p>
          <w:p>
            <w:pPr>
              <w:pStyle w:val="ListParagraph"/>
              <w:numPr>
                <w:ilvl w:val="0"/>
                <w:numId w:val="2"/>
              </w:numPr>
              <w:spacing w:after="30" w:before="30"/>
            </w:pPr>
            <w:r>
              <w:rPr>
                <w:rFonts w:ascii="Arial" w:cs="Arial" w:eastAsia="Arial" w:hAnsi="Arial"/>
                <w:color w:val="2C2C2C"/>
                <w:sz w:val="20"/>
                <w:szCs w:val="20"/>
              </w:rPr>
              <w:t xml:space="preserve">Inbound Reply Handler — Twilio webhook processor</w:t>
            </w:r>
          </w:p>
          <w:p>
            <w:pPr>
              <w:pStyle w:val="ListParagraph"/>
              <w:numPr>
                <w:ilvl w:val="0"/>
                <w:numId w:val="2"/>
              </w:numPr>
              <w:spacing w:after="30" w:before="30"/>
            </w:pPr>
            <w:r>
              <w:rPr>
                <w:rFonts w:ascii="Arial" w:cs="Arial" w:eastAsia="Arial" w:hAnsi="Arial"/>
                <w:color w:val="2C2C2C"/>
                <w:sz w:val="20"/>
                <w:szCs w:val="20"/>
              </w:rPr>
              <w:t xml:space="preserve">Admin Console — Summer's account-level oversight</w:t>
            </w:r>
          </w:p>
        </w:tc>
        <w:tc>
          <w:tcPr>
            <w:tcW w:type="dxa" w:w="4680"/>
            <w:tcBorders>
              <w:top w:val="none" w:color="FFFFFF" w:sz="0"/>
              <w:left w:val="none" w:color="FFFFFF" w:sz="0"/>
              <w:bottom w:val="none" w:color="FFFFFF" w:sz="0"/>
              <w:right w:val="none" w:color="FFFFFF" w:sz="0"/>
            </w:tcBorders>
            <w:shd w:fill="EEEEEE" w:val="clear"/>
            <w:tcMar>
              <w:top w:type="dxa" w:w="60"/>
              <w:left w:type="dxa" w:w="200"/>
              <w:bottom w:type="dxa" w:w="160"/>
              <w:right w:type="dxa" w:w="240"/>
            </w:tcMar>
          </w:tcPr>
          <w:p>
            <w:pPr>
              <w:pStyle w:val="ListParagraph"/>
              <w:numPr>
                <w:ilvl w:val="0"/>
                <w:numId w:val="2"/>
              </w:numPr>
              <w:spacing w:after="30" w:before="30"/>
            </w:pPr>
            <w:r>
              <w:rPr>
                <w:rFonts w:ascii="Arial" w:cs="Arial" w:eastAsia="Arial" w:hAnsi="Arial"/>
                <w:color w:val="2C2C2C"/>
                <w:sz w:val="20"/>
                <w:szCs w:val="20"/>
              </w:rPr>
              <w:t xml:space="preserve">Twilio — SMS delivery, inbound webhook, opt-out management</w:t>
            </w:r>
          </w:p>
          <w:p>
            <w:pPr>
              <w:pStyle w:val="ListParagraph"/>
              <w:numPr>
                <w:ilvl w:val="0"/>
                <w:numId w:val="2"/>
              </w:numPr>
              <w:spacing w:after="30" w:before="30"/>
            </w:pPr>
            <w:r>
              <w:rPr>
                <w:rFonts w:ascii="Arial" w:cs="Arial" w:eastAsia="Arial" w:hAnsi="Arial"/>
                <w:color w:val="2C2C2C"/>
                <w:sz w:val="20"/>
                <w:szCs w:val="20"/>
              </w:rPr>
              <w:t xml:space="preserve">Anthropic API — Claude claude-haiku-4-5-20251001 for SMS generation</w:t>
            </w:r>
          </w:p>
          <w:p>
            <w:pPr>
              <w:pStyle w:val="ListParagraph"/>
              <w:numPr>
                <w:ilvl w:val="0"/>
                <w:numId w:val="2"/>
              </w:numPr>
              <w:spacing w:after="30" w:before="30"/>
            </w:pPr>
            <w:r>
              <w:rPr>
                <w:rFonts w:ascii="Arial" w:cs="Arial" w:eastAsia="Arial" w:hAnsi="Arial"/>
                <w:color w:val="2C2C2C"/>
                <w:sz w:val="20"/>
                <w:szCs w:val="20"/>
              </w:rPr>
              <w:t xml:space="preserve">Google Places API — review count + rating monitoring</w:t>
            </w:r>
          </w:p>
          <w:p>
            <w:pPr>
              <w:pStyle w:val="ListParagraph"/>
              <w:numPr>
                <w:ilvl w:val="0"/>
                <w:numId w:val="2"/>
              </w:numPr>
              <w:spacing w:after="30" w:before="30"/>
            </w:pPr>
            <w:r>
              <w:rPr>
                <w:rFonts w:ascii="Arial" w:cs="Arial" w:eastAsia="Arial" w:hAnsi="Arial"/>
                <w:color w:val="2C2C2C"/>
                <w:sz w:val="20"/>
                <w:szCs w:val="20"/>
              </w:rPr>
              <w:t xml:space="preserve">Gingrapp Webhooks — appointment sync (Pro tier only)</w:t>
            </w:r>
          </w:p>
          <w:p>
            <w:pPr>
              <w:pStyle w:val="ListParagraph"/>
              <w:numPr>
                <w:ilvl w:val="0"/>
                <w:numId w:val="2"/>
              </w:numPr>
              <w:spacing w:after="30" w:before="30"/>
            </w:pPr>
            <w:r>
              <w:rPr>
                <w:rFonts w:ascii="Arial" w:cs="Arial" w:eastAsia="Arial" w:hAnsi="Arial"/>
                <w:color w:val="2C2C2C"/>
                <w:sz w:val="20"/>
                <w:szCs w:val="20"/>
              </w:rPr>
              <w:t xml:space="preserve">Stripe — subscription billing and invoice management</w:t>
            </w:r>
          </w:p>
          <w:p>
            <w:pPr>
              <w:pStyle w:val="ListParagraph"/>
              <w:numPr>
                <w:ilvl w:val="0"/>
                <w:numId w:val="2"/>
              </w:numPr>
              <w:spacing w:after="30" w:before="30"/>
            </w:pPr>
            <w:r>
              <w:rPr>
                <w:rFonts w:ascii="Arial" w:cs="Arial" w:eastAsia="Arial" w:hAnsi="Arial"/>
                <w:color w:val="2C2C2C"/>
                <w:sz w:val="20"/>
                <w:szCs w:val="20"/>
              </w:rPr>
              <w:t xml:space="preserve">AWS S3 / similar — message log + media storage</w:t>
            </w:r>
          </w:p>
          <w:p>
            <w:pPr>
              <w:pStyle w:val="ListParagraph"/>
              <w:numPr>
                <w:ilvl w:val="0"/>
                <w:numId w:val="2"/>
              </w:numPr>
              <w:spacing w:after="30" w:before="30"/>
            </w:pPr>
            <w:r>
              <w:rPr>
                <w:rFonts w:ascii="Arial" w:cs="Arial" w:eastAsia="Arial" w:hAnsi="Arial"/>
                <w:color w:val="2C2C2C"/>
                <w:sz w:val="20"/>
                <w:szCs w:val="20"/>
              </w:rPr>
              <w:t xml:space="preserve">Campaign Registry (TCR) — 10DLC brand/campaign registration</w:t>
            </w:r>
          </w:p>
        </w:tc>
      </w:tr>
    </w:tbl>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1 — CLIENT &amp; DOG DATA INGESTION</w:t>
      </w:r>
    </w:p>
    <w:p>
      <w:pPr>
        <w:spacing w:after="0" w:before="60"/>
      </w:pPr>
      <w:r>
        <w:t xml:space="preserve"/>
      </w:r>
    </w:p>
    <w:p>
      <w:pPr>
        <w:spacing w:after="40" w:before="40"/>
      </w:pPr>
      <w:r>
        <w:rPr>
          <w:rFonts w:ascii="Arial" w:cs="Arial" w:eastAsia="Arial" w:hAnsi="Arial"/>
          <w:b w:val="false"/>
          <w:bCs w:val="false"/>
          <w:color w:val="2C2C2C"/>
          <w:sz w:val="22"/>
          <w:szCs w:val="22"/>
        </w:rPr>
        <w:t xml:space="preserve">How does client and dog information get from the daycare into TailWag so it can populate each personalized message?</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1.1  Three Ingestion Paths</w:t>
      </w:r>
    </w:p>
    <w:p>
      <w:pPr>
        <w:spacing w:after="40" w:before="40"/>
      </w:pPr>
      <w:r>
        <w:rPr>
          <w:rFonts w:ascii="Arial" w:cs="Arial" w:eastAsia="Arial" w:hAnsi="Arial"/>
          <w:b w:val="false"/>
          <w:bCs w:val="false"/>
          <w:color w:val="2C2C2C"/>
          <w:sz w:val="22"/>
          <w:szCs w:val="22"/>
        </w:rPr>
        <w:t xml:space="preserve">TailWag supports three ingestion methods depending on the daycare's existing setup. All three feed into the same internal data model.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2200"/>
      </w:tblGrid>
      <w:tr>
        <w:trPr>
          <w:tblHeader/>
        </w:trPr>
        <w:tc>
          <w:tcPr>
            <w:tcW w:type="dxa" w:w="16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How It Works</w:t>
            </w:r>
          </w:p>
        </w:tc>
        <w:tc>
          <w:tcPr>
            <w:tcW w:type="dxa" w:w="31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Best For</w:t>
            </w:r>
          </w:p>
        </w:tc>
        <w:tc>
          <w:tcPr>
            <w:tcW w:type="dxa" w:w="22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Tier</w:t>
            </w:r>
          </w:p>
        </w:tc>
      </w:tr>
      <w:tr>
        <w:tc>
          <w:tcPr>
            <w:tcW w:type="dxa" w:w="1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Manual Portal Entry</w:t>
            </w:r>
          </w:p>
        </w:tc>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Staff enters each dog + owner directly via the TailWag web portal. One form per dog. ~2 minutes per entry.</w:t>
            </w:r>
          </w:p>
        </w:tc>
        <w:tc>
          <w:tcPr>
            <w:tcW w:type="dxa" w:w="3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New daycares, small rosters (&lt;30 dogs)</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All tiers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CSV/Excel Import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Staff exports client list from existing software (Gingrapp, spreadsheet, paper scan) and uploads a formatted CSV. TailWag maps fields automatically.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Daycares migrating from another system or maintaining a spreadsheet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All tiers</w:t>
            </w:r>
          </w:p>
        </w:tc>
      </w:tr>
      <w:tr>
        <w:tc>
          <w:tcPr>
            <w:tcW w:type="dxa" w:w="1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Gingrapp Webhook Sync</w:t>
            </w:r>
          </w:p>
        </w:tc>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TailWag connects to Gingrapp via API key. New bookings and client records sync automatically — no manual entry ever required.</w:t>
            </w:r>
          </w:p>
        </w:tc>
        <w:tc>
          <w:tcPr>
            <w:tcW w:type="dxa" w:w="3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Larger daycares already using Gingrapp for scheduling</w:t>
            </w:r>
          </w:p>
        </w:tc>
        <w:tc>
          <w:tcPr>
            <w:tcW w:type="dxa" w:w="2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Pro tier only</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1.2  Required Data Fields</w:t>
      </w:r>
    </w:p>
    <w:p>
      <w:pPr>
        <w:spacing w:after="40" w:before="40"/>
      </w:pPr>
      <w:r>
        <w:rPr>
          <w:rFonts w:ascii="Arial" w:cs="Arial" w:eastAsia="Arial" w:hAnsi="Arial"/>
          <w:b w:val="false"/>
          <w:bCs w:val="false"/>
          <w:color w:val="2C2C2C"/>
          <w:sz w:val="22"/>
          <w:szCs w:val="22"/>
        </w:rPr>
        <w:t xml:space="preserve">The following fields are required or optional for each dog record. Required fields are the minimum needed to generate a personalized report card.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80"/>
            </w:tcMa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Dog name</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REQUIRED</w:t>
            </w:r>
          </w:p>
        </w:tc>
        <w:tc>
          <w:tcPr>
            <w:tcW w:type="dxa" w:w="5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Personalizes the SMS ("Buddy had a great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Owner first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REQUIRED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Opens the message personally ("Hey Sarah...")</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Owner mobile phone</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REQUIRED</w:t>
            </w:r>
          </w:p>
        </w:tc>
        <w:tc>
          <w:tcPr>
            <w:tcW w:type="dxa" w:w="5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SMS delivery target — must be mobile, not landline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Breed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REQUIRED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Drives breed-specific emoji and behavioral context in the AI prompt</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Personality notes</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REQUIRED</w:t>
            </w:r>
          </w:p>
        </w:tc>
        <w:tc>
          <w:tcPr>
            <w:tcW w:type="dxa" w:w="5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Core AI input — what makes this dog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Dog birthday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E67E22"/>
                <w:sz w:val="20"/>
                <w:szCs w:val="20"/>
              </w:rPr>
              <w:t xml:space="preserve">Optional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Birthday texts, age-relevant messaging</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Owner email</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E67E22"/>
                <w:sz w:val="20"/>
                <w:szCs w:val="20"/>
              </w:rPr>
              <w:t xml:space="preserve">Optional</w:t>
            </w:r>
          </w:p>
        </w:tc>
        <w:tc>
          <w:tcPr>
            <w:tcW w:type="dxa" w:w="5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Backup for failed SMS delivery, monthly recap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Vet name + 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E67E22"/>
                <w:sz w:val="20"/>
                <w:szCs w:val="20"/>
              </w:rPr>
              <w:t xml:space="preserve">Optional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Emergency contact — not used in messaging</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Dietary/medical notes</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E67E22"/>
                <w:sz w:val="20"/>
                <w:szCs w:val="20"/>
              </w:rPr>
              <w:t xml:space="preserve">Optional</w:t>
            </w:r>
          </w:p>
        </w:tc>
        <w:tc>
          <w:tcPr>
            <w:tcW w:type="dxa" w:w="5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Surfaced only when relevant to staff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Photo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E67E22"/>
                <w:sz w:val="20"/>
                <w:szCs w:val="20"/>
              </w:rPr>
              <w:t xml:space="preserve">Optional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Reserved for future MMS or social caption feature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Date joined</w:t>
            </w:r>
          </w:p>
        </w:tc>
        <w:tc>
          <w:tcPr>
            <w:tcW w:type="dxa" w:w="1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E67E22"/>
                <w:sz w:val="20"/>
                <w:szCs w:val="20"/>
              </w:rPr>
              <w:t xml:space="preserve">Auto-set</w:t>
            </w:r>
          </w:p>
        </w:tc>
        <w:tc>
          <w:tcPr>
            <w:tcW w:type="dxa" w:w="5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Used for anniversary texts, LTV tracking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CSV FORMAT:  </w:t>
            </w:r>
            <w:r>
              <w:rPr>
                <w:rFonts w:ascii="Arial" w:cs="Arial" w:eastAsia="Arial" w:hAnsi="Arial"/>
                <w:color w:val="2C2C2C"/>
                <w:sz w:val="22"/>
                <w:szCs w:val="22"/>
              </w:rPr>
              <w:t xml:space="preserve">The TailWag import template (downloadable from the portal) includes these columns pre-labeled. Any daycare exporting from Gingrapp, Time to Pet, or a spreadsheet can map their columns to TailWag fields during upload. TailWag validates phone numbers and flags missing required fields before import completes.</w:t>
            </w:r>
          </w:p>
        </w:tc>
      </w:tr>
    </w:tbl>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2 — GOOGLE REVIEW MONITORING &amp; ATTRIBUTION</w:t>
      </w:r>
    </w:p>
    <w:p>
      <w:pPr>
        <w:spacing w:after="0" w:before="60"/>
      </w:pPr>
      <w:r>
        <w:t xml:space="preserve"/>
      </w:r>
    </w:p>
    <w:p>
      <w:pPr>
        <w:spacing w:after="40" w:before="40"/>
      </w:pPr>
      <w:r>
        <w:rPr>
          <w:rFonts w:ascii="Arial" w:cs="Arial" w:eastAsia="Arial" w:hAnsi="Arial"/>
          <w:b w:val="false"/>
          <w:bCs w:val="false"/>
          <w:color w:val="2C2C2C"/>
          <w:sz w:val="22"/>
          <w:szCs w:val="22"/>
        </w:rPr>
        <w:t xml:space="preserve">How does TailWag track Google reviews, ensure clients aren't texted multiple times, and attribute new reviews back to the platform?</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2.1  The Core Challenge</w:t>
      </w:r>
    </w:p>
    <w:p>
      <w:pPr>
        <w:spacing w:after="40" w:before="40"/>
      </w:pPr>
      <w:r>
        <w:rPr>
          <w:rFonts w:ascii="Arial" w:cs="Arial" w:eastAsia="Arial" w:hAnsi="Arial"/>
          <w:b w:val="false"/>
          <w:bCs w:val="false"/>
          <w:color w:val="2C2C2C"/>
          <w:sz w:val="22"/>
          <w:szCs w:val="22"/>
        </w:rPr>
        <w:t xml:space="preserve">Google does not expose a public API that links a reviewer's identity to a phone number. TailWag cannot know with certainty whether a specific client left a specific review. Instead, TailWag uses a combination of rate limiting, opt-out tracking, and aggregate review count monitoring to manage this correctly.</w:t>
      </w:r>
    </w:p>
    <w:p>
      <w:pPr>
        <w:spacing w:after="0" w:before="4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2.2  How Review Requests Are Gated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1</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Great Day Gate</w:t>
            </w:r>
          </w:p>
          <w:p>
            <w:r>
              <w:rPr>
                <w:rFonts w:ascii="Arial" w:cs="Arial" w:eastAsia="Arial" w:hAnsi="Arial"/>
                <w:color w:val="2C2C2C"/>
                <w:sz w:val="20"/>
                <w:szCs w:val="20"/>
              </w:rPr>
              <w:t xml:space="preserve">Staff must mark a visit as a "great day" in the portal before a review request is eligible to send. Visits marked as neutral or poor never trigger a review request. This is TailWag's first and most important filter.</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30-Day Throttle</w:t>
            </w:r>
          </w:p>
          <w:p>
            <w:r>
              <w:rPr>
                <w:rFonts w:ascii="Arial" w:cs="Arial" w:eastAsia="Arial" w:hAnsi="Arial"/>
                <w:color w:val="2C2C2C"/>
                <w:sz w:val="20"/>
                <w:szCs w:val="20"/>
              </w:rPr>
              <w:t xml:space="preserve">Once a review request is sent to an owner's phone number, that number is locked from receiving another review request for 30 days — regardless of how many "great days" they have in between. This is enforced at the database level, not just the application level.</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3</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Review Sent Log</w:t>
            </w:r>
          </w:p>
          <w:p>
            <w:r>
              <w:rPr>
                <w:rFonts w:ascii="Arial" w:cs="Arial" w:eastAsia="Arial" w:hAnsi="Arial"/>
                <w:color w:val="2C2C2C"/>
                <w:sz w:val="20"/>
                <w:szCs w:val="20"/>
              </w:rPr>
              <w:t xml:space="preserve">Every review request sent is recorded: owner_id, daycare_id, sent_at timestamp. Before any review request is queued, the system checks: has this owner received a review request in the last 30 days? If yes, skip. If no, queue it.</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One Active Request Rule</w:t>
            </w:r>
          </w:p>
          <w:p>
            <w:r>
              <w:rPr>
                <w:rFonts w:ascii="Arial" w:cs="Arial" w:eastAsia="Arial" w:hAnsi="Arial"/>
                <w:color w:val="2C2C2C"/>
                <w:sz w:val="20"/>
                <w:szCs w:val="20"/>
              </w:rPr>
              <w:t xml:space="preserve">If a review request is "pending" (sent but not yet past the 30-day window), no new request can be generated — even if the client has multiple great days in that window.</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5</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Manual Override</w:t>
            </w:r>
          </w:p>
          <w:p>
            <w:r>
              <w:rPr>
                <w:rFonts w:ascii="Arial" w:cs="Arial" w:eastAsia="Arial" w:hAnsi="Arial"/>
                <w:color w:val="2C2C2C"/>
                <w:sz w:val="20"/>
                <w:szCs w:val="20"/>
              </w:rPr>
              <w:t xml:space="preserve">The daycare owner/admin can manually flag a client as "review satisfied" which extends the lockout to 180 days. This is for cases where a client verbally tells staff they already left a review.</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2.3  Google Places API Monitoring</w:t>
      </w:r>
    </w:p>
    <w:p>
      <w:pPr>
        <w:spacing w:after="40" w:before="40"/>
      </w:pPr>
      <w:r>
        <w:rPr>
          <w:rFonts w:ascii="Arial" w:cs="Arial" w:eastAsia="Arial" w:hAnsi="Arial"/>
          <w:b w:val="false"/>
          <w:bCs w:val="false"/>
          <w:color w:val="2C2C2C"/>
          <w:sz w:val="22"/>
          <w:szCs w:val="22"/>
        </w:rPr>
        <w:t xml:space="preserve">TailWag uses the Google Places API (Places Details endpoint) to monitor each daycare's aggregate review count and average rating. This requires each daycare to provide their Google Place ID during onboarding (a one-time lookup).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Onboarding</w:t>
            </w:r>
          </w:p>
        </w:tc>
        <w:tc>
          <w:tcPr>
            <w:tcW w:type="dxa" w:w="6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Staff inputs business name; TailWag does a Places Search to locate the Place ID. Staff confirms the correct listing. Place ID stored permanently.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Weekly Polling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Every Monday at 6AM, TailWag calls Places Details for each active daycare account to fetch: user_ratings_total (review count) and rating (average). Stored with a timestamp.</w:t>
            </w:r>
          </w:p>
        </w:tc>
      </w:tr>
      <w:tr>
        <w:tc>
          <w:tcPr>
            <w:tcW w:type="dxa" w:w="3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Delta Calculation</w:t>
            </w:r>
          </w:p>
        </w:tc>
        <w:tc>
          <w:tcPr>
            <w:tcW w:type="dxa" w:w="6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New reviews this month = current user_ratings_total minus last month's snapshot. Displayed in Monthly Insights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Attribution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Of the new reviews this month, TailWag takes credit for: (review requests sent this month / estimated conversion rate of 20%). Labeled clearly as "estimated attribution" — not claimed as exact.</w:t>
            </w:r>
          </w:p>
        </w:tc>
      </w:tr>
      <w:tr>
        <w:tc>
          <w:tcPr>
            <w:tcW w:type="dxa" w:w="32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Rating Alert</w:t>
            </w:r>
          </w:p>
        </w:tc>
        <w:tc>
          <w:tcPr>
            <w:tcW w:type="dxa" w:w="6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If a daycare's Google rating drops by 0.1 or more month-over-month, TailWag sends the owner an alert email with a suggested response strategy.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20"/>
              <w:bottom w:val="single" w:color="CCCCCC" w:sz="1"/>
              <w:right w:val="single" w:color="CCCCCC" w:sz="1"/>
            </w:tcBorders>
            <w:shd w:fill="EBF5FB" w:val="clear"/>
            <w:tcMar>
              <w:top w:type="dxa" w:w="120"/>
              <w:left w:type="dxa" w:w="240"/>
              <w:bottom w:type="dxa" w:w="120"/>
              <w:right w:type="dxa" w:w="240"/>
            </w:tcMar>
          </w:tcPr>
          <w:p>
            <w:r>
              <w:rPr>
                <w:rFonts w:ascii="Arial" w:cs="Arial" w:eastAsia="Arial" w:hAnsi="Arial"/>
                <w:b/>
                <w:bCs/>
                <w:color w:val="1A5276"/>
                <w:sz w:val="22"/>
                <w:szCs w:val="22"/>
              </w:rPr>
              <w:t xml:space="preserve">NOTE:  </w:t>
            </w:r>
            <w:r>
              <w:rPr>
                <w:rFonts w:ascii="Arial" w:cs="Arial" w:eastAsia="Arial" w:hAnsi="Arial"/>
                <w:color w:val="2C2C2C"/>
                <w:sz w:val="22"/>
                <w:szCs w:val="22"/>
              </w:rPr>
              <w:t xml:space="preserve">The Google Places API Basic Data SKU costs $0.017 per request. At 1 request per daycare per week, a 100-daycare portfolio costs ~$88/year. Negligible. Include in operating costs.</w:t>
            </w:r>
          </w:p>
        </w:tc>
      </w:tr>
    </w:tbl>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3 — ADHERENCE MONITORING</w:t>
      </w:r>
    </w:p>
    <w:p>
      <w:pPr>
        <w:spacing w:after="0" w:before="60"/>
      </w:pPr>
      <w:r>
        <w:t xml:space="preserve"/>
      </w:r>
    </w:p>
    <w:p>
      <w:pPr>
        <w:spacing w:after="40" w:before="40"/>
      </w:pPr>
      <w:r>
        <w:rPr>
          <w:rFonts w:ascii="Arial" w:cs="Arial" w:eastAsia="Arial" w:hAnsi="Arial"/>
          <w:b w:val="false"/>
          <w:bCs w:val="false"/>
          <w:color w:val="2C2C2C"/>
          <w:sz w:val="22"/>
          <w:szCs w:val="22"/>
        </w:rPr>
        <w:t xml:space="preserve">Adherence = are daycares consistently using TailWag, or are they letting it go dormant? This is the #1 predictor of churn and is tracked proactively.</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3.1  Metrics Tracked Per Account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Target</w:t>
            </w:r>
          </w:p>
        </w:tc>
        <w:tc>
          <w:tcPr>
            <w:tcW w:type="dxa" w:w="47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Alert Threshold</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Report cards sent / week</w:t>
            </w:r>
          </w:p>
        </w:tc>
        <w:tc>
          <w:tcPr>
            <w:tcW w:type="dxa" w:w="1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 5× per active day</w:t>
            </w:r>
          </w:p>
        </w:tc>
        <w:tc>
          <w:tcPr>
            <w:tcW w:type="dxa" w:w="4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Flag if zero messages sent for 3+ consecutive weekdays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Staff portal logins /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 3 unique sessions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Flag if no login in 7 days</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Review requests sent / month</w:t>
            </w:r>
          </w:p>
        </w:tc>
        <w:tc>
          <w:tcPr>
            <w:tcW w:type="dxa" w:w="1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 4 requests</w:t>
            </w:r>
          </w:p>
        </w:tc>
        <w:tc>
          <w:tcPr>
            <w:tcW w:type="dxa" w:w="4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Alert if no review requests sent in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Active dog roster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Stable or growing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Alert if roster drops &gt;20% month-over-month</w:t>
            </w:r>
          </w:p>
        </w:tc>
      </w:tr>
      <w:tr>
        <w:tc>
          <w:tcPr>
            <w:tcW w:type="dxa" w:w="2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Great day rate</w:t>
            </w:r>
          </w:p>
        </w:tc>
        <w:tc>
          <w:tcPr>
            <w:tcW w:type="dxa" w:w="1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60–80% of visits</w:t>
            </w:r>
          </w:p>
        </w:tc>
        <w:tc>
          <w:tcPr>
            <w:tcW w:type="dxa" w:w="4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Alert if great day rate drops below 40% (may signal staff disengagement)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Opt-out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&lt;2% of clients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Immediate alert if opt-out rate exceeds 2%</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3.2  Automated Intervention Ladder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1</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Day 3 — No Activity</w:t>
            </w:r>
          </w:p>
          <w:p>
            <w:r>
              <w:rPr>
                <w:rFonts w:ascii="Arial" w:cs="Arial" w:eastAsia="Arial" w:hAnsi="Arial"/>
                <w:color w:val="2C2C2C"/>
                <w:sz w:val="20"/>
                <w:szCs w:val="20"/>
              </w:rPr>
              <w:t xml:space="preserve">Automated in-portal banner: "You haven't sent any updates this week. Want to send one now?" One-click from banner to report card generator.</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Day 7 — No Activity</w:t>
            </w:r>
          </w:p>
          <w:p>
            <w:r>
              <w:rPr>
                <w:rFonts w:ascii="Arial" w:cs="Arial" w:eastAsia="Arial" w:hAnsi="Arial"/>
                <w:color w:val="2C2C2C"/>
                <w:sz w:val="20"/>
                <w:szCs w:val="20"/>
              </w:rPr>
              <w:t xml:space="preserve">Email to daycare owner: "Your clients haven't heard from you in 7 days — here's how to get back on track in 5 minutes." Includes a highlight of what they're missing (reviews they could have gotten).</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3</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Day 14 — No Activity</w:t>
            </w:r>
          </w:p>
          <w:p>
            <w:r>
              <w:rPr>
                <w:rFonts w:ascii="Arial" w:cs="Arial" w:eastAsia="Arial" w:hAnsi="Arial"/>
                <w:color w:val="2C2C2C"/>
                <w:sz w:val="20"/>
                <w:szCs w:val="20"/>
              </w:rPr>
              <w:t xml:space="preserve">Personal outreach from Summer (flagged in admin console). Text or call — not automated. This is a relationship intervention, not a bot nudge.</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Day 30 — No Activity</w:t>
            </w:r>
          </w:p>
          <w:p>
            <w:r>
              <w:rPr>
                <w:rFonts w:ascii="Arial" w:cs="Arial" w:eastAsia="Arial" w:hAnsi="Arial"/>
                <w:color w:val="2C2C2C"/>
                <w:sz w:val="20"/>
                <w:szCs w:val="20"/>
              </w:rPr>
              <w:t xml:space="preserve">Account flagged as "At Risk" in admin console. Churn likely unless personal intervention occurs. Trial extension or a coaching call may be appropriate.</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3.3  Admin Console (Summer's View)</w:t>
      </w:r>
    </w:p>
    <w:p>
      <w:pPr>
        <w:spacing w:after="40" w:before="40"/>
      </w:pPr>
      <w:r>
        <w:rPr>
          <w:rFonts w:ascii="Arial" w:cs="Arial" w:eastAsia="Arial" w:hAnsi="Arial"/>
          <w:b w:val="false"/>
          <w:bCs w:val="false"/>
          <w:color w:val="2C2C2C"/>
          <w:sz w:val="22"/>
          <w:szCs w:val="22"/>
        </w:rPr>
        <w:t xml:space="preserve">The TailWag admin console gives Summer a portfolio-level view of all accounts. Key screens:</w:t>
      </w:r>
    </w:p>
    <w:p>
      <w:pPr>
        <w:spacing w:after="0" w:before="2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Account Health Dashboard: All accounts listed with traffic-light status (Green/Yellow/Red) based on adherence score</w:t>
      </w:r>
    </w:p>
    <w:p>
      <w:pPr>
        <w:pStyle w:val="ListParagraph"/>
        <w:numPr>
          <w:ilvl w:val="0"/>
          <w:numId w:val="2"/>
        </w:numPr>
        <w:spacing w:after="40" w:before="40"/>
      </w:pPr>
      <w:r>
        <w:rPr>
          <w:rFonts w:ascii="Arial" w:cs="Arial" w:eastAsia="Arial" w:hAnsi="Arial"/>
          <w:b w:val="false"/>
          <w:bCs w:val="false"/>
          <w:color w:val="2C2C2C"/>
          <w:sz w:val="22"/>
          <w:szCs w:val="22"/>
        </w:rPr>
        <w:t xml:space="preserve">Activity Feed: Real-time log of messages sent across all accounts</w:t>
      </w:r>
    </w:p>
    <w:p>
      <w:pPr>
        <w:pStyle w:val="ListParagraph"/>
        <w:numPr>
          <w:ilvl w:val="0"/>
          <w:numId w:val="2"/>
        </w:numPr>
        <w:spacing w:after="40" w:before="40"/>
      </w:pPr>
      <w:r>
        <w:rPr>
          <w:rFonts w:ascii="Arial" w:cs="Arial" w:eastAsia="Arial" w:hAnsi="Arial"/>
          <w:b w:val="false"/>
          <w:bCs w:val="false"/>
          <w:color w:val="2C2C2C"/>
          <w:sz w:val="22"/>
          <w:szCs w:val="22"/>
        </w:rPr>
        <w:t xml:space="preserve">At-Risk Queue: Accounts hitting alert thresholds, sorted by days since last activity</w:t>
      </w:r>
    </w:p>
    <w:p>
      <w:pPr>
        <w:pStyle w:val="ListParagraph"/>
        <w:numPr>
          <w:ilvl w:val="0"/>
          <w:numId w:val="2"/>
        </w:numPr>
        <w:spacing w:after="40" w:before="40"/>
      </w:pPr>
      <w:r>
        <w:rPr>
          <w:rFonts w:ascii="Arial" w:cs="Arial" w:eastAsia="Arial" w:hAnsi="Arial"/>
          <w:b w:val="false"/>
          <w:bCs w:val="false"/>
          <w:color w:val="2C2C2C"/>
          <w:sz w:val="22"/>
          <w:szCs w:val="22"/>
        </w:rPr>
        <w:t xml:space="preserve">Revenue Overview: MRR, churn rate, new activations this month</w:t>
      </w:r>
    </w:p>
    <w:p>
      <w:pPr>
        <w:pStyle w:val="ListParagraph"/>
        <w:numPr>
          <w:ilvl w:val="0"/>
          <w:numId w:val="2"/>
        </w:numPr>
        <w:spacing w:after="40" w:before="40"/>
      </w:pPr>
      <w:r>
        <w:rPr>
          <w:rFonts w:ascii="Arial" w:cs="Arial" w:eastAsia="Arial" w:hAnsi="Arial"/>
          <w:b w:val="false"/>
          <w:bCs w:val="false"/>
          <w:color w:val="2C2C2C"/>
          <w:sz w:val="22"/>
          <w:szCs w:val="22"/>
        </w:rPr>
        <w:t xml:space="preserve">Review Impact: Aggregate new reviews across portfolio this month, attributed to TailWag</w:t>
      </w:r>
    </w:p>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4 — APPOINTMENT REMINDERS</w:t>
      </w:r>
    </w:p>
    <w:p>
      <w:pPr>
        <w:spacing w:after="0" w:before="60"/>
      </w:pPr>
      <w:r>
        <w:t xml:space="preserve"/>
      </w:r>
    </w:p>
    <w:p>
      <w:pPr>
        <w:spacing w:after="40" w:before="40"/>
      </w:pPr>
      <w:r>
        <w:rPr>
          <w:rFonts w:ascii="Arial" w:cs="Arial" w:eastAsia="Arial" w:hAnsi="Arial"/>
          <w:b w:val="false"/>
          <w:bCs w:val="false"/>
          <w:color w:val="2C2C2C"/>
          <w:sz w:val="22"/>
          <w:szCs w:val="22"/>
        </w:rPr>
        <w:t xml:space="preserve">How does appointment information get into TailWag so reminders can be sent at the right time?</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4.1  Two Reminder Paths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2D6A4F"/>
                <w:sz w:val="22"/>
                <w:szCs w:val="22"/>
              </w:rPr>
              <w:t xml:space="preserve">STARTER/GROWTH:  </w:t>
            </w:r>
            <w:r>
              <w:rPr>
                <w:rFonts w:ascii="Arial" w:cs="Arial" w:eastAsia="Arial" w:hAnsi="Arial"/>
                <w:color w:val="2C2C2C"/>
                <w:sz w:val="22"/>
                <w:szCs w:val="22"/>
              </w:rPr>
              <w:t xml:space="preserve">Staff manually enters upcoming appointments in the TailWag portal. This takes about 20 seconds per appointment and is done at the end of each day for next-day bookings, or in bulk at the start of each week.</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276" w:sz="20"/>
              <w:bottom w:val="single" w:color="CCCCCC" w:sz="1"/>
              <w:right w:val="single" w:color="CCCCCC" w:sz="1"/>
            </w:tcBorders>
            <w:shd w:fill="EBF5FB" w:val="clear"/>
            <w:tcMar>
              <w:top w:type="dxa" w:w="120"/>
              <w:left w:type="dxa" w:w="240"/>
              <w:bottom w:type="dxa" w:w="120"/>
              <w:right w:type="dxa" w:w="240"/>
            </w:tcMar>
          </w:tcPr>
          <w:p>
            <w:r>
              <w:rPr>
                <w:rFonts w:ascii="Arial" w:cs="Arial" w:eastAsia="Arial" w:hAnsi="Arial"/>
                <w:b/>
                <w:bCs/>
                <w:color w:val="1A5276"/>
                <w:sz w:val="22"/>
                <w:szCs w:val="22"/>
              </w:rPr>
              <w:t xml:space="preserve">PRO TIER:  </w:t>
            </w:r>
            <w:r>
              <w:rPr>
                <w:rFonts w:ascii="Arial" w:cs="Arial" w:eastAsia="Arial" w:hAnsi="Arial"/>
                <w:color w:val="2C2C2C"/>
                <w:sz w:val="22"/>
                <w:szCs w:val="22"/>
              </w:rPr>
              <w:t xml:space="preserve">Gingrapp sends a webhook to TailWag every time a new booking is created or modified. TailWag receives the booking data (dog, owner, service type, date/time) and schedules reminders automatically — zero staff input required.</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4.2  Reminder Timing &amp; Cadence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Timing</w:t>
            </w:r>
          </w:p>
        </w:tc>
        <w:tc>
          <w:tcPr>
            <w:tcW w:type="dxa" w:w="48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Message Example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color w:val="2C2C2C"/>
                <w:sz w:val="20"/>
                <w:szCs w:val="20"/>
              </w:rPr>
              <w:t xml:space="preserve">Appointment created</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color w:val="2C2C2C"/>
                <w:sz w:val="20"/>
                <w:szCs w:val="20"/>
              </w:rPr>
              <w:t xml:space="preserve">24 hours before</w:t>
            </w:r>
          </w:p>
        </w:tc>
        <w:tc>
          <w:tcPr>
            <w:tcW w:type="dxa" w:w="4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color w:val="2C2C2C"/>
                <w:sz w:val="20"/>
                <w:szCs w:val="20"/>
              </w:rPr>
              <w:t xml:space="preserve">"Hey Sarah! Reminder: Buddy has daycare tomorrow at 8AM at [Daycare Name]. See you then! 🐾 Reply STOP to opt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20"/>
                <w:szCs w:val="20"/>
              </w:rPr>
              <w:t xml:space="preserve">Day-of reminder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20"/>
                <w:szCs w:val="20"/>
              </w:rPr>
              <w:t xml:space="preserve">2 hours before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20"/>
                <w:szCs w:val="20"/>
              </w:rPr>
              <w:t xml:space="preserve">"Just a quick reminder — Buddy is expected at [Daycare Name] at 8AM this morning. Can't wait to see him!"</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color w:val="2C2C2C"/>
                <w:sz w:val="20"/>
                <w:szCs w:val="20"/>
              </w:rPr>
              <w:t xml:space="preserve">No confirmation received</w:t>
            </w:r>
          </w:p>
        </w:tc>
        <w:tc>
          <w:tcPr>
            <w:tcW w:type="dxa" w:w="21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color w:val="2C2C2C"/>
                <w:sz w:val="20"/>
                <w:szCs w:val="20"/>
              </w:rPr>
              <w:t xml:space="preserve">1 hour before (optional)</w:t>
            </w:r>
          </w:p>
        </w:tc>
        <w:tc>
          <w:tcPr>
            <w:tcW w:type="dxa" w:w="48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color w:val="2C2C2C"/>
                <w:sz w:val="20"/>
                <w:szCs w:val="20"/>
              </w:rPr>
              <w:t xml:space="preserve">"Still planning to bring Buddy today? Let us know so we can hold his spot! Reply YES to confirm."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20"/>
                <w:szCs w:val="20"/>
              </w:rPr>
              <w:t xml:space="preserve">Post-visit confirmation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20"/>
                <w:szCs w:val="20"/>
              </w:rPr>
              <w:t xml:space="preserve">Day of pickup (Evening)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20"/>
                <w:szCs w:val="20"/>
              </w:rPr>
              <w:t xml:space="preserve">Triggers normal end-of-day report card flow — not a separate reminder message.</w:t>
            </w:r>
          </w:p>
        </w:tc>
      </w:tr>
    </w:tbl>
    <w:p>
      <w:pPr>
        <w:spacing w:after="0" w:before="4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4.3  No-Show Tracking</w:t>
      </w:r>
    </w:p>
    <w:p>
      <w:pPr>
        <w:pStyle w:val="ListParagraph"/>
        <w:numPr>
          <w:ilvl w:val="0"/>
          <w:numId w:val="2"/>
        </w:numPr>
        <w:spacing w:after="40" w:before="40"/>
      </w:pPr>
      <w:r>
        <w:rPr>
          <w:rFonts w:ascii="Arial" w:cs="Arial" w:eastAsia="Arial" w:hAnsi="Arial"/>
          <w:b w:val="false"/>
          <w:bCs w:val="false"/>
          <w:color w:val="2C2C2C"/>
          <w:sz w:val="22"/>
          <w:szCs w:val="22"/>
        </w:rPr>
        <w:t xml:space="preserve">If a client doesn't show and staff marks the appointment as a no-show, TailWag logs it against the owner record</w:t>
      </w:r>
    </w:p>
    <w:p>
      <w:pPr>
        <w:pStyle w:val="ListParagraph"/>
        <w:numPr>
          <w:ilvl w:val="0"/>
          <w:numId w:val="2"/>
        </w:numPr>
        <w:spacing w:after="40" w:before="40"/>
      </w:pPr>
      <w:r>
        <w:rPr>
          <w:rFonts w:ascii="Arial" w:cs="Arial" w:eastAsia="Arial" w:hAnsi="Arial"/>
          <w:b w:val="false"/>
          <w:bCs w:val="false"/>
          <w:color w:val="2C2C2C"/>
          <w:sz w:val="22"/>
          <w:szCs w:val="22"/>
        </w:rPr>
        <w:t xml:space="preserve">No-shows do not trigger a review request — ever</w:t>
      </w:r>
    </w:p>
    <w:p>
      <w:pPr>
        <w:pStyle w:val="ListParagraph"/>
        <w:numPr>
          <w:ilvl w:val="0"/>
          <w:numId w:val="2"/>
        </w:numPr>
        <w:spacing w:after="40" w:before="40"/>
      </w:pPr>
      <w:r>
        <w:rPr>
          <w:rFonts w:ascii="Arial" w:cs="Arial" w:eastAsia="Arial" w:hAnsi="Arial"/>
          <w:b w:val="false"/>
          <w:bCs w:val="false"/>
          <w:color w:val="2C2C2C"/>
          <w:sz w:val="22"/>
          <w:szCs w:val="22"/>
        </w:rPr>
        <w:t xml:space="preserve">After 2 no-shows in 60 days, the portal flags the owner as "at-risk" so staff can follow up personally</w:t>
      </w:r>
    </w:p>
    <w:p>
      <w:pPr>
        <w:pStyle w:val="ListParagraph"/>
        <w:numPr>
          <w:ilvl w:val="0"/>
          <w:numId w:val="2"/>
        </w:numPr>
        <w:spacing w:after="40" w:before="40"/>
      </w:pPr>
      <w:r>
        <w:rPr>
          <w:rFonts w:ascii="Arial" w:cs="Arial" w:eastAsia="Arial" w:hAnsi="Arial"/>
          <w:b w:val="false"/>
          <w:bCs w:val="false"/>
          <w:color w:val="2C2C2C"/>
          <w:sz w:val="22"/>
          <w:szCs w:val="22"/>
        </w:rPr>
        <w:t xml:space="preserve">No-show data feeds into the monthly ROI calculation (shows how many no-shows were prevented via reminders vs. baseline)</w:t>
      </w:r>
    </w:p>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5 — TEXT REPLY HANDLING</w:t>
      </w:r>
    </w:p>
    <w:p>
      <w:pPr>
        <w:spacing w:after="0" w:before="60"/>
      </w:pPr>
      <w:r>
        <w:t xml:space="preserve"/>
      </w:r>
    </w:p>
    <w:p>
      <w:pPr>
        <w:spacing w:after="40" w:before="40"/>
      </w:pPr>
      <w:r>
        <w:rPr>
          <w:rFonts w:ascii="Arial" w:cs="Arial" w:eastAsia="Arial" w:hAnsi="Arial"/>
          <w:b w:val="false"/>
          <w:bCs w:val="false"/>
          <w:color w:val="2C2C2C"/>
          <w:sz w:val="22"/>
          <w:szCs w:val="22"/>
        </w:rPr>
        <w:t xml:space="preserve">What happens when a client replies to a TailWag message? Every reply must be captured, categorized, and routed appropriately — some automatically, some to staff.</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5.1  Reply Classification</w:t>
      </w:r>
    </w:p>
    <w:p>
      <w:pPr>
        <w:spacing w:after="40" w:before="40"/>
      </w:pPr>
      <w:r>
        <w:rPr>
          <w:rFonts w:ascii="Arial" w:cs="Arial" w:eastAsia="Arial" w:hAnsi="Arial"/>
          <w:b w:val="false"/>
          <w:bCs w:val="false"/>
          <w:color w:val="2C2C2C"/>
          <w:sz w:val="22"/>
          <w:szCs w:val="22"/>
        </w:rPr>
        <w:t xml:space="preserve">When a reply comes in via Twilio webhook, TailWag classifies it into one of four categories: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Auto-Response?</w:t>
            </w:r>
          </w:p>
        </w:tc>
        <w:tc>
          <w:tcPr>
            <w:tcW w:type="dxa" w:w="37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Positive</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"Thanks so much! He loves it there ❤️"</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Yes — warm acknowledgment</w:t>
            </w:r>
          </w:p>
        </w:tc>
        <w:tc>
          <w:tcPr>
            <w:tcW w:type="dxa" w:w="3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Log reply. Optional: trigger referral text (if enabled). Notify staff via portal.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Opt-Out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"STOP", "Unsubscribe", "Stop 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Yes — legally required confirmation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Immediately opt out the number. Confirm: "You've been unsubscribed. Reply START to re-subscribe." Log permanently.</w:t>
            </w:r>
          </w:p>
        </w:tc>
      </w:tr>
      <w:tr>
        <w:tc>
          <w:tcPr>
            <w:tcW w:type="dxa" w:w="16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Question / Practical</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"What time do you close today?"</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No — needs human</w:t>
            </w:r>
          </w:p>
        </w:tc>
        <w:tc>
          <w:tcPr>
            <w:tcW w:type="dxa" w:w="37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Forward to staff via email + portal notification. Flag as "needs response."</w:t>
            </w:r>
          </w:p>
        </w:tc>
      </w:tr>
      <w:tr>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b/>
                <w:bCs/>
                <w:color w:val="C0392B"/>
                <w:sz w:val="20"/>
                <w:szCs w:val="20"/>
              </w:rPr>
              <w:t xml:space="preserve">Concern / Complaint</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b w:val="false"/>
                <w:bCs w:val="false"/>
                <w:color w:val="C0392B"/>
                <w:sz w:val="20"/>
                <w:szCs w:val="20"/>
              </w:rPr>
              <w:t xml:space="preserve">"Buddy seemed off today, is everything OK?"</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b w:val="false"/>
                <w:bCs w:val="false"/>
                <w:color w:val="C0392B"/>
                <w:sz w:val="20"/>
                <w:szCs w:val="20"/>
              </w:rPr>
              <w:t xml:space="preserve">No — needs human</w:t>
            </w:r>
          </w:p>
        </w:tc>
        <w:tc>
          <w:tcPr>
            <w:tcW w:type="dxa" w:w="3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80"/>
            </w:tcMar>
          </w:tcPr>
          <w:p>
            <w:r>
              <w:rPr>
                <w:rFonts w:ascii="Arial" w:cs="Arial" w:eastAsia="Arial" w:hAnsi="Arial"/>
                <w:b w:val="false"/>
                <w:bCs w:val="false"/>
                <w:color w:val="C0392B"/>
                <w:sz w:val="20"/>
                <w:szCs w:val="20"/>
              </w:rPr>
              <w:t xml:space="preserve">Urgent flag. Notify daycare owner directly via SMS AND email. Escalate to high-priority queue.</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5.2  Staff Reply Interface</w:t>
      </w:r>
    </w:p>
    <w:p>
      <w:pPr>
        <w:spacing w:after="40" w:before="40"/>
      </w:pPr>
      <w:r>
        <w:rPr>
          <w:rFonts w:ascii="Arial" w:cs="Arial" w:eastAsia="Arial" w:hAnsi="Arial"/>
          <w:b w:val="false"/>
          <w:bCs w:val="false"/>
          <w:color w:val="2C2C2C"/>
          <w:sz w:val="22"/>
          <w:szCs w:val="22"/>
        </w:rPr>
        <w:t xml:space="preserve">Daycare staff reply to flagged messages through the TailWag portal OR via their own phone number (configurable). Two modes:</w:t>
      </w:r>
    </w:p>
    <w:p>
      <w:pPr>
        <w:spacing w:after="0" w:before="2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Portal reply: Staff opens the notification in the portal, reads the client's message, types a response, and sends it. The reply goes from the TailWag Twilio number (the number the client already recognizes).</w:t>
      </w:r>
    </w:p>
    <w:p>
      <w:pPr>
        <w:pStyle w:val="ListParagraph"/>
        <w:numPr>
          <w:ilvl w:val="0"/>
          <w:numId w:val="2"/>
        </w:numPr>
        <w:spacing w:after="40" w:before="40"/>
      </w:pPr>
      <w:r>
        <w:rPr>
          <w:rFonts w:ascii="Arial" w:cs="Arial" w:eastAsia="Arial" w:hAnsi="Arial"/>
          <w:b w:val="false"/>
          <w:bCs w:val="false"/>
          <w:color w:val="2C2C2C"/>
          <w:sz w:val="22"/>
          <w:szCs w:val="22"/>
        </w:rPr>
        <w:t xml:space="preserve">Phone forwarding mode (optional): Inbound replies are forwarded via SMS to a designated staff phone number. Staff replies from their personal phone. Reply is routed back through TailWag's Twilio number so the client always sees the same number.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20"/>
              <w:bottom w:val="single" w:color="CCCCCC" w:sz="1"/>
              <w:right w:val="single" w:color="CCCCCC" w:sz="1"/>
            </w:tcBorders>
            <w:shd w:fill="FDEBD0" w:val="clear"/>
            <w:tcMar>
              <w:top w:type="dxa" w:w="120"/>
              <w:left w:type="dxa" w:w="240"/>
              <w:bottom w:type="dxa" w:w="120"/>
              <w:right w:type="dxa" w:w="240"/>
            </w:tcMar>
          </w:tcPr>
          <w:p>
            <w:r>
              <w:rPr>
                <w:rFonts w:ascii="Arial" w:cs="Arial" w:eastAsia="Arial" w:hAnsi="Arial"/>
                <w:b/>
                <w:bCs/>
                <w:color w:val="E67E22"/>
                <w:sz w:val="22"/>
                <w:szCs w:val="22"/>
              </w:rPr>
              <w:t xml:space="preserve">IMPORTANT:  </w:t>
            </w:r>
            <w:r>
              <w:rPr>
                <w:rFonts w:ascii="Arial" w:cs="Arial" w:eastAsia="Arial" w:hAnsi="Arial"/>
                <w:color w:val="2C2C2C"/>
                <w:sz w:val="22"/>
                <w:szCs w:val="22"/>
              </w:rPr>
              <w:t xml:space="preserve">TailWag's AI does NOT auto-generate replies to client questions or complaints. AI is used only for outbound report cards and optional positive acknowledgments. All substantive replies to clients are sent by a human. This is both a legal risk management choice and a quality control decision.</w:t>
            </w:r>
          </w:p>
        </w:tc>
      </w:tr>
    </w:tbl>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6 — NEW CLIENT ONBOARDING FLOW</w:t>
      </w:r>
    </w:p>
    <w:p>
      <w:pPr>
        <w:spacing w:after="0" w:before="60"/>
      </w:pPr>
      <w:r>
        <w:t xml:space="preserve"/>
      </w:r>
    </w:p>
    <w:p>
      <w:pPr>
        <w:spacing w:after="40" w:before="40"/>
      </w:pPr>
      <w:r>
        <w:rPr>
          <w:rFonts w:ascii="Arial" w:cs="Arial" w:eastAsia="Arial" w:hAnsi="Arial"/>
          <w:b w:val="false"/>
          <w:bCs w:val="false"/>
          <w:color w:val="2C2C2C"/>
          <w:sz w:val="22"/>
          <w:szCs w:val="22"/>
        </w:rPr>
        <w:t xml:space="preserve">How does a brand-new dog owner get entered into TailWag, and what happens in the first 24 hours?</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6.1  Standard Onboarding Workflow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1</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Paper/Digital Intake Form at Daycare</w:t>
            </w:r>
          </w:p>
          <w:p>
            <w:r>
              <w:rPr>
                <w:rFonts w:ascii="Arial" w:cs="Arial" w:eastAsia="Arial" w:hAnsi="Arial"/>
                <w:color w:val="2C2C2C"/>
                <w:sz w:val="20"/>
                <w:szCs w:val="20"/>
              </w:rPr>
              <w:t xml:space="preserve">Client fills out the daycare's own intake form (physical or digital). This form MUST include TailWag-compliant SMS consent language (see Section 7). No consent = no TailWag texts. This step happens before any TailWag interaction.</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Staff Adds Client to TailWag Portal</w:t>
            </w:r>
          </w:p>
          <w:p>
            <w:r>
              <w:rPr>
                <w:rFonts w:ascii="Arial" w:cs="Arial" w:eastAsia="Arial" w:hAnsi="Arial"/>
                <w:color w:val="2C2C2C"/>
                <w:sz w:val="20"/>
                <w:szCs w:val="20"/>
              </w:rPr>
              <w:t xml:space="preserve">Staff logs into the TailWag web portal and clicks "Add New Dog." Enters: owner first name, mobile phone, dog name, breed, personality notes. ~2 minutes total.</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3</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Automatic Welcome SMS</w:t>
            </w:r>
          </w:p>
          <w:p>
            <w:r>
              <w:rPr>
                <w:rFonts w:ascii="Arial" w:cs="Arial" w:eastAsia="Arial" w:hAnsi="Arial"/>
                <w:color w:val="2C2C2C"/>
                <w:sz w:val="20"/>
                <w:szCs w:val="20"/>
              </w:rPr>
              <w:t xml:space="preserve">Within 60 seconds of being added, TailWag sends a welcome text: "Hi [Owner]! [Dog] is all set at [Daycare Name]. After each visit, you'll get a quick personal update from us. Reply STOP anytime to opt out." This confirms the number is valid and introduces the service.</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First Visit — Report Card Generated</w:t>
            </w:r>
          </w:p>
          <w:p>
            <w:r>
              <w:rPr>
                <w:rFonts w:ascii="Arial" w:cs="Arial" w:eastAsia="Arial" w:hAnsi="Arial"/>
                <w:color w:val="2C2C2C"/>
                <w:sz w:val="20"/>
                <w:szCs w:val="20"/>
              </w:rPr>
              <w:t xml:space="preserve">At end of first visit, staff enters visit notes and clicks "Generate Report Card." Staff reviews, approves, and sends. The AI knows it's the first visit (flagged in the record) and may reference that in the message.</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5</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7-Day Check-In</w:t>
            </w:r>
          </w:p>
          <w:p>
            <w:r>
              <w:rPr>
                <w:rFonts w:ascii="Arial" w:cs="Arial" w:eastAsia="Arial" w:hAnsi="Arial"/>
                <w:color w:val="2C2C2C"/>
                <w:sz w:val="20"/>
                <w:szCs w:val="20"/>
              </w:rPr>
              <w:t xml:space="preserve">After the first week, TailWag prompts staff: "You've sent 3 updates to Sarah about Buddy — consider personalizing her profile with more detailed notes." This reinforces habit formation.</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6.2  Self-Service Intake Link (Future Feature)</w:t>
      </w:r>
    </w:p>
    <w:p>
      <w:pPr>
        <w:spacing w:after="40" w:before="40"/>
      </w:pPr>
      <w:r>
        <w:rPr>
          <w:rFonts w:ascii="Arial" w:cs="Arial" w:eastAsia="Arial" w:hAnsi="Arial"/>
          <w:b w:val="false"/>
          <w:bCs w:val="false"/>
          <w:color w:val="2C2C2C"/>
          <w:sz w:val="22"/>
          <w:szCs w:val="22"/>
        </w:rPr>
        <w:t xml:space="preserve">In a future version, each daycare gets a unique intake URL. Clients fill out the form online — including digital consent — and their record auto-populates in TailWag. This eliminates staff data entry and creates a fully auditable digital consent trail. Recommended for Phase 2 build.</w:t>
      </w:r>
    </w:p>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7 — CLIENT SMS CONSENT LANGUAGE</w:t>
      </w:r>
    </w:p>
    <w:p>
      <w:pPr>
        <w:spacing w:after="0" w:before="60"/>
      </w:pPr>
      <w:r>
        <w:t xml:space="preserve"/>
      </w:r>
    </w:p>
    <w:p>
      <w:pPr>
        <w:spacing w:after="40" w:before="40"/>
      </w:pPr>
      <w:r>
        <w:rPr>
          <w:rFonts w:ascii="Arial" w:cs="Arial" w:eastAsia="Arial" w:hAnsi="Arial"/>
          <w:b w:val="false"/>
          <w:bCs w:val="false"/>
          <w:color w:val="2C2C2C"/>
          <w:sz w:val="22"/>
          <w:szCs w:val="22"/>
        </w:rPr>
        <w:t xml:space="preserve">What language must appear on the daycare's client intake form or agreement to legally send automated texts through TailWag? This is governed by the Telephone Consumer Protection Act (TCPA) and FCC regulations.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20"/>
              <w:bottom w:val="single" w:color="CCCCCC" w:sz="1"/>
              <w:right w:val="single" w:color="CCCCCC" w:sz="1"/>
            </w:tcBorders>
            <w:shd w:fill="FDEBD0" w:val="clear"/>
            <w:tcMar>
              <w:top w:type="dxa" w:w="120"/>
              <w:left w:type="dxa" w:w="240"/>
              <w:bottom w:type="dxa" w:w="120"/>
              <w:right w:type="dxa" w:w="240"/>
            </w:tcMar>
          </w:tcPr>
          <w:p>
            <w:r>
              <w:rPr>
                <w:rFonts w:ascii="Arial" w:cs="Arial" w:eastAsia="Arial" w:hAnsi="Arial"/>
                <w:b/>
                <w:bCs/>
                <w:color w:val="E67E22"/>
                <w:sz w:val="22"/>
                <w:szCs w:val="22"/>
              </w:rPr>
              <w:t xml:space="preserve">LEGAL CONTEXT:  </w:t>
            </w:r>
            <w:r>
              <w:rPr>
                <w:rFonts w:ascii="Arial" w:cs="Arial" w:eastAsia="Arial" w:hAnsi="Arial"/>
                <w:color w:val="2C2C2C"/>
                <w:sz w:val="22"/>
                <w:szCs w:val="22"/>
              </w:rPr>
              <w:t xml:space="preserve">TailWag messages are sent using an automated messaging platform. Under the TCPA, prior written express consent is required before sending any automated marketing or promotional text message to a consumer. Appointment reminders are considered "transactional" (lower standard) but best practice is to obtain the same consent for all message types to eliminate legal exposure.</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7.1  Required Consent Checkbox Language</w:t>
      </w:r>
    </w:p>
    <w:p>
      <w:pPr>
        <w:spacing w:after="40" w:before="40"/>
      </w:pPr>
      <w:r>
        <w:rPr>
          <w:rFonts w:ascii="Arial" w:cs="Arial" w:eastAsia="Arial" w:hAnsi="Arial"/>
          <w:b w:val="false"/>
          <w:bCs w:val="false"/>
          <w:color w:val="2C2C2C"/>
          <w:sz w:val="22"/>
          <w:szCs w:val="22"/>
        </w:rPr>
        <w:t xml:space="preserve">The following language must appear verbatim (or substantially equivalent) as a checkbox on the client intake form. The checkbox must be UNCHECKED by default — it cannot be pre-checked.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B3C" w:sz="20"/>
              <w:bottom w:val="single" w:color="CCCCCC" w:sz="1"/>
              <w:right w:val="single" w:color="CCCCCC" w:sz="1"/>
            </w:tcBorders>
            <w:shd w:fill="FFFEF0" w:val="clear"/>
            <w:tcMar>
              <w:top w:type="dxa" w:w="180"/>
              <w:left w:type="dxa" w:w="280"/>
              <w:bottom w:type="dxa" w:w="180"/>
              <w:right w:type="dxa" w:w="280"/>
            </w:tcMar>
          </w:tcPr>
          <w:p>
            <w:pPr>
              <w:spacing w:after="120"/>
            </w:pPr>
            <w:r>
              <w:rPr>
                <w:rFonts w:ascii="Arial" w:cs="Arial" w:eastAsia="Arial" w:hAnsi="Arial"/>
                <w:b/>
                <w:bCs/>
                <w:color w:val="1E3A2F"/>
                <w:sz w:val="24"/>
                <w:szCs w:val="24"/>
              </w:rPr>
              <w:t xml:space="preserve">[ ] SMS Update Consent</w:t>
            </w:r>
          </w:p>
          <w:p>
            <w:pPr>
              <w:spacing w:after="80"/>
            </w:pPr>
            <w:r>
              <w:rPr>
                <w:rFonts w:ascii="Arial" w:cs="Arial" w:eastAsia="Arial" w:hAnsi="Arial"/>
                <w:color w:val="2C2C2C"/>
                <w:sz w:val="21"/>
                <w:szCs w:val="21"/>
              </w:rPr>
              <w:t xml:space="preserve">I consent to receive automated text messages from [DAYCARE NAME] at the mobile number provided above, including daily pet care updates, appointment reminders, and occasional satisfaction check-ins. I understand that:</w:t>
            </w:r>
          </w:p>
          <w:p>
            <w:pPr>
              <w:pStyle w:val="ListParagraph"/>
              <w:numPr>
                <w:ilvl w:val="0"/>
                <w:numId w:val="2"/>
              </w:numPr>
              <w:spacing w:after="30" w:before="30"/>
            </w:pPr>
            <w:r>
              <w:rPr>
                <w:rFonts w:ascii="Arial" w:cs="Arial" w:eastAsia="Arial" w:hAnsi="Arial"/>
                <w:color w:val="2C2C2C"/>
                <w:sz w:val="21"/>
                <w:szCs w:val="21"/>
              </w:rPr>
              <w:t xml:space="preserve">Message frequency varies based on visit activity.</w:t>
            </w:r>
          </w:p>
          <w:p>
            <w:pPr>
              <w:pStyle w:val="ListParagraph"/>
              <w:numPr>
                <w:ilvl w:val="0"/>
                <w:numId w:val="2"/>
              </w:numPr>
              <w:spacing w:after="30" w:before="30"/>
            </w:pPr>
            <w:r>
              <w:rPr>
                <w:rFonts w:ascii="Arial" w:cs="Arial" w:eastAsia="Arial" w:hAnsi="Arial"/>
                <w:color w:val="2C2C2C"/>
                <w:sz w:val="21"/>
                <w:szCs w:val="21"/>
              </w:rPr>
              <w:t xml:space="preserve">Message and data rates may apply.</w:t>
            </w:r>
          </w:p>
          <w:p>
            <w:pPr>
              <w:pStyle w:val="ListParagraph"/>
              <w:numPr>
                <w:ilvl w:val="0"/>
                <w:numId w:val="2"/>
              </w:numPr>
              <w:spacing w:after="30" w:before="30"/>
            </w:pPr>
            <w:r>
              <w:rPr>
                <w:rFonts w:ascii="Arial" w:cs="Arial" w:eastAsia="Arial" w:hAnsi="Arial"/>
                <w:color w:val="2C2C2C"/>
                <w:sz w:val="21"/>
                <w:szCs w:val="21"/>
              </w:rPr>
              <w:t xml:space="preserve">I can reply STOP at any time to permanently opt out of all messages.</w:t>
            </w:r>
          </w:p>
          <w:p>
            <w:pPr>
              <w:pStyle w:val="ListParagraph"/>
              <w:numPr>
                <w:ilvl w:val="0"/>
                <w:numId w:val="2"/>
              </w:numPr>
              <w:spacing w:after="30" w:before="30"/>
            </w:pPr>
            <w:r>
              <w:rPr>
                <w:rFonts w:ascii="Arial" w:cs="Arial" w:eastAsia="Arial" w:hAnsi="Arial"/>
                <w:color w:val="2C2C2C"/>
                <w:sz w:val="21"/>
                <w:szCs w:val="21"/>
              </w:rPr>
              <w:t xml:space="preserve">I can reply HELP for assistance.</w:t>
            </w:r>
          </w:p>
          <w:p>
            <w:pPr>
              <w:pStyle w:val="ListParagraph"/>
              <w:numPr>
                <w:ilvl w:val="0"/>
                <w:numId w:val="2"/>
              </w:numPr>
              <w:spacing w:after="30" w:before="30"/>
            </w:pPr>
            <w:r>
              <w:rPr>
                <w:rFonts w:ascii="Arial" w:cs="Arial" w:eastAsia="Arial" w:hAnsi="Arial"/>
                <w:color w:val="2C2C2C"/>
                <w:sz w:val="21"/>
                <w:szCs w:val="21"/>
              </w:rPr>
              <w:t xml:space="preserve">Consent is not a condition of purchasing any service.</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7.2  Additional Requirements</w:t>
      </w:r>
    </w:p>
    <w:p>
      <w:pPr>
        <w:pStyle w:val="ListParagraph"/>
        <w:numPr>
          <w:ilvl w:val="0"/>
          <w:numId w:val="2"/>
        </w:numPr>
        <w:spacing w:after="40" w:before="40"/>
      </w:pPr>
      <w:r>
        <w:rPr>
          <w:rFonts w:ascii="Arial" w:cs="Arial" w:eastAsia="Arial" w:hAnsi="Arial"/>
          <w:b w:val="false"/>
          <w:bCs w:val="false"/>
          <w:color w:val="2C2C2C"/>
          <w:sz w:val="22"/>
          <w:szCs w:val="22"/>
        </w:rPr>
        <w:t xml:space="preserve">The consent language must be visible and legible — not buried in fine print or hidden behind a hyperlink</w:t>
      </w:r>
    </w:p>
    <w:p>
      <w:pPr>
        <w:pStyle w:val="ListParagraph"/>
        <w:numPr>
          <w:ilvl w:val="0"/>
          <w:numId w:val="2"/>
        </w:numPr>
        <w:spacing w:after="40" w:before="40"/>
      </w:pPr>
      <w:r>
        <w:rPr>
          <w:rFonts w:ascii="Arial" w:cs="Arial" w:eastAsia="Arial" w:hAnsi="Arial"/>
          <w:b w:val="false"/>
          <w:bCs w:val="false"/>
          <w:color w:val="2C2C2C"/>
          <w:sz w:val="22"/>
          <w:szCs w:val="22"/>
        </w:rPr>
        <w:t xml:space="preserve">Digital forms: The checkbox must be a distinct, separate action (not bundled with "I agree to all terms")</w:t>
      </w:r>
    </w:p>
    <w:p>
      <w:pPr>
        <w:pStyle w:val="ListParagraph"/>
        <w:numPr>
          <w:ilvl w:val="0"/>
          <w:numId w:val="2"/>
        </w:numPr>
        <w:spacing w:after="40" w:before="40"/>
      </w:pPr>
      <w:r>
        <w:rPr>
          <w:rFonts w:ascii="Arial" w:cs="Arial" w:eastAsia="Arial" w:hAnsi="Arial"/>
          <w:b w:val="false"/>
          <w:bCs w:val="false"/>
          <w:color w:val="2C2C2C"/>
          <w:sz w:val="22"/>
          <w:szCs w:val="22"/>
        </w:rPr>
        <w:t xml:space="preserve">Paper forms: Client must physically check the box and sign/date the form</w:t>
      </w:r>
    </w:p>
    <w:p>
      <w:pPr>
        <w:pStyle w:val="ListParagraph"/>
        <w:numPr>
          <w:ilvl w:val="0"/>
          <w:numId w:val="2"/>
        </w:numPr>
        <w:spacing w:after="40" w:before="40"/>
      </w:pPr>
      <w:r>
        <w:rPr>
          <w:rFonts w:ascii="Arial" w:cs="Arial" w:eastAsia="Arial" w:hAnsi="Arial"/>
          <w:b w:val="false"/>
          <w:bCs w:val="false"/>
          <w:color w:val="2C2C2C"/>
          <w:sz w:val="22"/>
          <w:szCs w:val="22"/>
        </w:rPr>
        <w:t xml:space="preserve">Records must be retained: TailWag's database stores the date a client was added (which correlates to consent date). Paper forms should be retained by the daycare for 4 years (statute of limitations for TCPA claims)</w:t>
      </w:r>
    </w:p>
    <w:p>
      <w:pPr>
        <w:pStyle w:val="ListParagraph"/>
        <w:numPr>
          <w:ilvl w:val="0"/>
          <w:numId w:val="2"/>
        </w:numPr>
        <w:spacing w:after="40" w:before="40"/>
      </w:pPr>
      <w:r>
        <w:rPr>
          <w:rFonts w:ascii="Arial" w:cs="Arial" w:eastAsia="Arial" w:hAnsi="Arial"/>
          <w:b w:val="false"/>
          <w:bCs w:val="false"/>
          <w:color w:val="2C2C2C"/>
          <w:sz w:val="22"/>
          <w:szCs w:val="22"/>
        </w:rPr>
        <w:t xml:space="preserve">The daycare's name should appear as the sender — not "TailWag." TailWag is a backend service, invisible to the client</w:t>
      </w:r>
    </w:p>
    <w:p>
      <w:pPr>
        <w:spacing w:after="0" w:before="4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7.3  TailWag-Provided Template</w:t>
      </w:r>
    </w:p>
    <w:p>
      <w:pPr>
        <w:spacing w:after="40" w:before="40"/>
      </w:pPr>
      <w:r>
        <w:rPr>
          <w:rFonts w:ascii="Arial" w:cs="Arial" w:eastAsia="Arial" w:hAnsi="Arial"/>
          <w:b w:val="false"/>
          <w:bCs w:val="false"/>
          <w:color w:val="2C2C2C"/>
          <w:sz w:val="22"/>
          <w:szCs w:val="22"/>
        </w:rPr>
        <w:t xml:space="preserve">TailWag provides each daycare with a compliant intake form template (PDF + editable Word doc) during onboarding. Daycares may adapt the design to match their branding but may not alter the consent language substantively without legal review.</w:t>
      </w:r>
    </w:p>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8 — TAILWAG–DAYCARE MASTER SERVICE AGREEMENT</w:t>
      </w:r>
    </w:p>
    <w:p>
      <w:pPr>
        <w:spacing w:after="0" w:before="60"/>
      </w:pPr>
      <w:r>
        <w:t xml:space="preserve"/>
      </w:r>
    </w:p>
    <w:p>
      <w:pPr>
        <w:spacing w:after="40" w:before="40"/>
      </w:pPr>
      <w:r>
        <w:rPr>
          <w:rFonts w:ascii="Arial" w:cs="Arial" w:eastAsia="Arial" w:hAnsi="Arial"/>
          <w:b w:val="false"/>
          <w:bCs w:val="false"/>
          <w:color w:val="2C2C2C"/>
          <w:sz w:val="22"/>
          <w:szCs w:val="22"/>
        </w:rPr>
        <w:t xml:space="preserve">What must appear in the contract between TailWag and each daycare to protect both parties and ensure legal compliance? This is the B2B agreement signed at onboarding.</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8.1  Required Clauses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Data Processing Agreement (DPA)</w:t>
            </w:r>
          </w:p>
          <w:p>
            <w:r>
              <w:rPr>
                <w:rFonts w:ascii="Arial" w:cs="Arial" w:eastAsia="Arial" w:hAnsi="Arial"/>
                <w:color w:val="C89B3C"/>
                <w:sz w:val="19"/>
                <w:szCs w:val="19"/>
              </w:rPr>
              <w:t xml:space="preserve">GDPR Art. 28 / CCPA</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TailWag acts as a data processor on behalf of the daycare (the data controller). The DPA must specify: what data is processed, for what purpose, for how long, and what security measures TailWag maintains. This is legally required for any processor handling personal data on behalf of another business.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TCPA Compliance Warranty</w:t>
            </w:r>
          </w:p>
          <w:p>
            <w:r>
              <w:rPr>
                <w:rFonts w:ascii="Arial" w:cs="Arial" w:eastAsia="Arial" w:hAnsi="Arial"/>
                <w:color w:val="C89B3C"/>
                <w:sz w:val="19"/>
                <w:szCs w:val="19"/>
              </w:rPr>
              <w:t xml:space="preserve">TCPA (47 U.S.C. § 227)</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The daycare warrants that: (a) it has obtained valid prior written express consent from every phone number added to TailWag, (b) it will only add numbers for which consent exists, and (c) it will immediately remove any number that opts out. TailWag is not liable for TCPA violations arising from daycare-added numbers without consent.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Indemnification</w:t>
            </w:r>
          </w:p>
          <w:p>
            <w:r>
              <w:rPr>
                <w:rFonts w:ascii="Arial" w:cs="Arial" w:eastAsia="Arial" w:hAnsi="Arial"/>
                <w:color w:val="C89B3C"/>
                <w:sz w:val="19"/>
                <w:szCs w:val="19"/>
              </w:rPr>
              <w:t xml:space="preserve">Risk allocation</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The daycare agrees to indemnify, defend, and hold TailWag harmless from any TCPA claims, FCC actions, or third-party lawsuits arising from the daycare's failure to obtain proper consent or its misuse of the platform. TailWag indemnifies daycare for platform outages and data breaches on TailWag's systems.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Data Ownership &amp; Portability</w:t>
            </w:r>
          </w:p>
          <w:p>
            <w:r>
              <w:rPr>
                <w:rFonts w:ascii="Arial" w:cs="Arial" w:eastAsia="Arial" w:hAnsi="Arial"/>
                <w:color w:val="C89B3C"/>
                <w:sz w:val="19"/>
                <w:szCs w:val="19"/>
              </w:rPr>
              <w:t xml:space="preserve">CCPA / SaaS standard</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All client and dog data belongs to the daycare. TailWag may not use, sell, or share client data for its own purposes. Upon termination, TailWag provides a full data export (CSV) within 5 business days and permanently deletes all records within 30 days of export delivery.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Subprocessor Disclosure</w:t>
            </w:r>
          </w:p>
          <w:p>
            <w:r>
              <w:rPr>
                <w:rFonts w:ascii="Arial" w:cs="Arial" w:eastAsia="Arial" w:hAnsi="Arial"/>
                <w:color w:val="C89B3C"/>
                <w:sz w:val="19"/>
                <w:szCs w:val="19"/>
              </w:rPr>
              <w:t xml:space="preserve">GDPR Art. 28(2)</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TailWag discloses its use of: Twilio (SMS delivery and inbound processing), Anthropic (AI message generation), and Google (review monitoring). The agreement must list these subprocessors and require TailWag to notify the daycare of any subprocessor changes with 30 days' notice.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Acceptable Use Policy</w:t>
            </w:r>
          </w:p>
          <w:p>
            <w:r>
              <w:rPr>
                <w:rFonts w:ascii="Arial" w:cs="Arial" w:eastAsia="Arial" w:hAnsi="Arial"/>
                <w:color w:val="C89B3C"/>
                <w:sz w:val="19"/>
                <w:szCs w:val="19"/>
              </w:rPr>
              <w:t xml:space="preserve">Platform integrity</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The daycare may only use TailWag to send messages to clients who have consented. Prohibited uses: bulk promotional blasts unrelated to pet care, third-party marketing, harassment, or adding numbers without consent. Violation results in immediate account termination.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Service Level Agreement (SLA)</w:t>
            </w:r>
          </w:p>
          <w:p>
            <w:r>
              <w:rPr>
                <w:rFonts w:ascii="Arial" w:cs="Arial" w:eastAsia="Arial" w:hAnsi="Arial"/>
                <w:color w:val="C89B3C"/>
                <w:sz w:val="19"/>
                <w:szCs w:val="19"/>
              </w:rPr>
              <w:t xml:space="preserve">Uptime / reliability</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TailWag commits to 99.5% monthly uptime for the sending infrastructure. Planned maintenance is announced 48 hours in advance. Credits issued for downtime exceeding SLA in a billing period.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Message Content Review</w:t>
            </w:r>
          </w:p>
          <w:p>
            <w:r>
              <w:rPr>
                <w:rFonts w:ascii="Arial" w:cs="Arial" w:eastAsia="Arial" w:hAnsi="Arial"/>
                <w:color w:val="C89B3C"/>
                <w:sz w:val="19"/>
                <w:szCs w:val="19"/>
              </w:rPr>
              <w:t xml:space="preserve">AI quality control</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TailWag uses AI to generate message suggestions. The daycare's staff reviews and approves each message before it is sent. TailWag is not liable for message content that was modified by staff or sent without review.</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Termination &amp; Data Retention</w:t>
            </w:r>
          </w:p>
          <w:p>
            <w:r>
              <w:rPr>
                <w:rFonts w:ascii="Arial" w:cs="Arial" w:eastAsia="Arial" w:hAnsi="Arial"/>
                <w:color w:val="C89B3C"/>
                <w:sz w:val="19"/>
                <w:szCs w:val="19"/>
              </w:rPr>
              <w:t xml:space="preserve">Standard SaaS</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Either party may terminate with 30 days' notice. TailWag does not issue refunds for partial billing periods. After termination, TailWag retains data for 30 days (for export), then permanently deletes it. No data is retained beyond 30 days post-termination.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2F" w:val="clear"/>
            <w:tcMar>
              <w:top w:type="dxa" w:w="100"/>
              <w:left w:type="dxa" w:w="160"/>
              <w:bottom w:type="dxa" w:w="100"/>
              <w:right w:type="dxa" w:w="120"/>
            </w:tcMar>
          </w:tcPr>
          <w:p>
            <w:r>
              <w:rPr>
                <w:rFonts w:ascii="Arial" w:cs="Arial" w:eastAsia="Arial" w:hAnsi="Arial"/>
                <w:b/>
                <w:bCs/>
                <w:color w:val="FFFFFF"/>
                <w:sz w:val="21"/>
                <w:szCs w:val="21"/>
              </w:rPr>
              <w:t xml:space="preserve">Governing Law</w:t>
            </w:r>
          </w:p>
          <w:p>
            <w:r>
              <w:rPr>
                <w:rFonts w:ascii="Arial" w:cs="Arial" w:eastAsia="Arial" w:hAnsi="Arial"/>
                <w:color w:val="C89B3C"/>
                <w:sz w:val="19"/>
                <w:szCs w:val="19"/>
              </w:rPr>
              <w:t xml:space="preserve">Jurisdiction</w:t>
            </w:r>
          </w:p>
        </w:tc>
        <w:tc>
          <w:tcPr>
            <w:tcW w:type="dxa" w:w="656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color w:val="2C2C2C"/>
                <w:sz w:val="20"/>
                <w:szCs w:val="20"/>
              </w:rPr>
              <w:t xml:space="preserve">Texas law governs. Disputes resolved by binding arbitration in Dallas County, Texas. Class action waived.</w:t>
            </w:r>
          </w:p>
        </w:tc>
      </w:tr>
    </w:tbl>
    <w:p>
      <w:pPr>
        <w:spacing w:after="0" w:before="2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20"/>
              <w:bottom w:val="single" w:color="CCCCCC" w:sz="1"/>
              <w:right w:val="single" w:color="CCCCCC" w:sz="1"/>
            </w:tcBorders>
            <w:shd w:fill="FDEBD0" w:val="clear"/>
            <w:tcMar>
              <w:top w:type="dxa" w:w="120"/>
              <w:left w:type="dxa" w:w="240"/>
              <w:bottom w:type="dxa" w:w="120"/>
              <w:right w:type="dxa" w:w="240"/>
            </w:tcMar>
          </w:tcPr>
          <w:p>
            <w:r>
              <w:rPr>
                <w:rFonts w:ascii="Arial" w:cs="Arial" w:eastAsia="Arial" w:hAnsi="Arial"/>
                <w:b/>
                <w:bCs/>
                <w:color w:val="C0392B"/>
                <w:sz w:val="22"/>
                <w:szCs w:val="22"/>
              </w:rPr>
              <w:t xml:space="preserve">RECOMMENDATION:  </w:t>
            </w:r>
            <w:r>
              <w:rPr>
                <w:rFonts w:ascii="Arial" w:cs="Arial" w:eastAsia="Arial" w:hAnsi="Arial"/>
                <w:color w:val="2C2C2C"/>
                <w:sz w:val="22"/>
                <w:szCs w:val="22"/>
              </w:rPr>
              <w:t xml:space="preserve">Have a Texas-licensed attorney review the MSA template before it is used with paying customers. The TCPA has a private right of action with statutory damages of $500–$1,500 per violation. One non-compliant send to 100 numbers = up to $150,000 in exposure. The MSA's TCPA warranty and indemnification clauses are your primary shield.</w:t>
            </w:r>
          </w:p>
        </w:tc>
      </w:tr>
    </w:tbl>
    <w:p>
      <w:pPr>
        <w:spacing w:after="0" w:before="4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9 — ADDITIONAL TECHNICAL PROTOCOLS</w:t>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9.1  Phone Number Provisioning &amp; 10DLC Registration</w:t>
      </w:r>
    </w:p>
    <w:p>
      <w:pPr>
        <w:spacing w:after="40" w:before="40"/>
      </w:pPr>
      <w:r>
        <w:rPr>
          <w:rFonts w:ascii="Arial" w:cs="Arial" w:eastAsia="Arial" w:hAnsi="Arial"/>
          <w:b w:val="false"/>
          <w:bCs w:val="false"/>
          <w:color w:val="2C2C2C"/>
          <w:sz w:val="22"/>
          <w:szCs w:val="22"/>
        </w:rPr>
        <w:t xml:space="preserve">Business SMS in the US requires 10DLC (10-Digit Long Code) registration through The Campaign Registry (TCR). This is a federal requirement as of 2023 and cannot be skipped.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1</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TailWag Brand Registration</w:t>
            </w:r>
          </w:p>
          <w:p>
            <w:r>
              <w:rPr>
                <w:rFonts w:ascii="Arial" w:cs="Arial" w:eastAsia="Arial" w:hAnsi="Arial"/>
                <w:color w:val="2C2C2C"/>
                <w:sz w:val="20"/>
                <w:szCs w:val="20"/>
              </w:rPr>
              <w:t xml:space="preserve">Register TailWag LLC as a brand with The Campaign Registry. One-time, $4 registration fee. Required before any phone numbers can be provisioned.</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Campaign Registration</w:t>
            </w:r>
          </w:p>
          <w:p>
            <w:r>
              <w:rPr>
                <w:rFonts w:ascii="Arial" w:cs="Arial" w:eastAsia="Arial" w:hAnsi="Arial"/>
                <w:color w:val="2C2C2C"/>
                <w:sz w:val="20"/>
                <w:szCs w:val="20"/>
              </w:rPr>
              <w:t xml:space="preserve">Register the TailWag messaging campaign with TCR. Campaign type: "Customer Care." Describe message types (pet updates, reminders, review requests). Campaign approval takes 3–14 business days. One-time fee: ~$10 + $10/month carrier fee.</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3</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Number Provisioning Per Daycare</w:t>
            </w:r>
          </w:p>
          <w:p>
            <w:r>
              <w:rPr>
                <w:rFonts w:ascii="Arial" w:cs="Arial" w:eastAsia="Arial" w:hAnsi="Arial"/>
                <w:color w:val="2C2C2C"/>
                <w:sz w:val="20"/>
                <w:szCs w:val="20"/>
              </w:rPr>
              <w:t xml:space="preserve">Each daycare gets a dedicated local 10DLC number (e.g., a 972 or 214 number for DFW daycares). Local numbers have higher deliverability and open rates than toll-free. Twilio cost: ~$1/month per number.</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1E3A2F"/>
                <w:sz w:val="22"/>
                <w:szCs w:val="22"/>
              </w:rPr>
              <w:t xml:space="preserve">Number Verification</w:t>
            </w:r>
          </w:p>
          <w:p>
            <w:r>
              <w:rPr>
                <w:rFonts w:ascii="Arial" w:cs="Arial" w:eastAsia="Arial" w:hAnsi="Arial"/>
                <w:color w:val="2C2C2C"/>
                <w:sz w:val="20"/>
                <w:szCs w:val="20"/>
              </w:rPr>
              <w:t xml:space="preserve">Each new daycare number is linked to the registered campaign in Twilio. This takes 1–3 business days. During this window, messages can be sent but may have lower deliverability. Avoid launch during provisioning.</w:t>
            </w:r>
          </w:p>
        </w:tc>
      </w:tr>
      <w:tr>
        <w:tc>
          <w:tcPr>
            <w:tcW w:type="dxa" w:w="480"/>
            <w:tcBorders>
              <w:top w:val="none" w:color="FFFFFF" w:sz="0"/>
              <w:left w:val="none" w:color="FFFFFF" w:sz="0"/>
              <w:bottom w:val="none" w:color="FFFFFF" w:sz="0"/>
              <w:right w:val="none" w:color="FFFFFF" w:sz="0"/>
            </w:tcBorders>
            <w:shd w:fill="1E3A2F" w:val="clear"/>
            <w:tcMar>
              <w:top w:type="dxa" w:w="100"/>
              <w:left w:type="dxa" w:w="160"/>
              <w:bottom w:type="dxa" w:w="100"/>
              <w:right w:type="dxa" w:w="120"/>
            </w:tcMar>
            <w:vAlign w:val="center"/>
          </w:tcPr>
          <w:p>
            <w:pPr>
              <w:jc w:val="center"/>
            </w:pPr>
            <w:r>
              <w:rPr>
                <w:rFonts w:ascii="Arial" w:cs="Arial" w:eastAsia="Arial" w:hAnsi="Arial"/>
                <w:b/>
                <w:bCs/>
                <w:color w:val="C89B3C"/>
                <w:sz w:val="24"/>
                <w:szCs w:val="24"/>
              </w:rPr>
              <w:t xml:space="preserve">5</w:t>
            </w:r>
          </w:p>
        </w:tc>
        <w:tc>
          <w:tcPr>
            <w:tcW w:type="dxa" w:w="8880"/>
            <w:tcBorders>
              <w:top w:val="single" w:color="CCCCCC" w:sz="1"/>
              <w:left w:val="single" w:color="CCCCCC" w:sz="1"/>
              <w:bottom w:val="single" w:color="CCCCCC" w:sz="1"/>
              <w:right w:val="single" w:color="CCCCCC" w:sz="1"/>
            </w:tcBorders>
            <w:shd w:fill="F4F9F6" w:val="clear"/>
            <w:tcMar>
              <w:top w:type="dxa" w:w="100"/>
              <w:left w:type="dxa" w:w="200"/>
              <w:bottom w:type="dxa" w:w="100"/>
              <w:right w:type="dxa" w:w="160"/>
            </w:tcMar>
          </w:tcPr>
          <w:p>
            <w:r>
              <w:rPr>
                <w:rFonts w:ascii="Arial" w:cs="Arial" w:eastAsia="Arial" w:hAnsi="Arial"/>
                <w:b/>
                <w:bCs/>
                <w:color w:val="1E3A2F"/>
                <w:sz w:val="22"/>
                <w:szCs w:val="22"/>
              </w:rPr>
              <w:t xml:space="preserve">Opt-Out Handling (Automated)</w:t>
            </w:r>
          </w:p>
          <w:p>
            <w:r>
              <w:rPr>
                <w:rFonts w:ascii="Arial" w:cs="Arial" w:eastAsia="Arial" w:hAnsi="Arial"/>
                <w:color w:val="2C2C2C"/>
                <w:sz w:val="20"/>
                <w:szCs w:val="20"/>
              </w:rPr>
              <w:t xml:space="preserve">Twilio automatically handles STOP/HELP keywords at the carrier level — responses are legally required and sent even if TailWag's application is down. TailWag syncs Twilio's opt-out list to its database daily to keep records consistent.</w:t>
            </w:r>
          </w:p>
        </w:tc>
      </w:tr>
    </w:tbl>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9.2  Data Architecture (Key Tables)</w:t>
      </w:r>
    </w:p>
    <w:p>
      <w:pPr>
        <w:spacing w:after="40" w:before="40"/>
      </w:pPr>
      <w:r>
        <w:rPr>
          <w:rFonts w:ascii="Arial" w:cs="Arial" w:eastAsia="Arial" w:hAnsi="Arial"/>
          <w:b w:val="false"/>
          <w:bCs w:val="false"/>
          <w:color w:val="2C2C2C"/>
          <w:sz w:val="22"/>
          <w:szCs w:val="22"/>
        </w:rPr>
        <w:t xml:space="preserve">The following schema overview covers the core tables in TailWag's database. All tables include created_at, updated_at, and deleted_at (soft delete) timestamps.</w:t>
      </w:r>
    </w:p>
    <w:p>
      <w:pPr>
        <w:spacing w:after="0" w:before="40"/>
      </w:pPr>
      <w:r>
        <w:t xml:space="preserve"/>
      </w:r>
    </w:p>
    <w:p>
      <w:pPr>
        <w:spacing w:after="40" w:before="120"/>
      </w:pPr>
      <w:r>
        <w:rPr>
          <w:rFonts w:ascii="Courier New" w:cs="Courier New" w:eastAsia="Courier New" w:hAnsi="Courier New"/>
          <w:b/>
          <w:bCs/>
          <w:color w:val="6C3483"/>
          <w:sz w:val="22"/>
          <w:szCs w:val="22"/>
        </w:rPr>
        <w:t xml:space="preserve">daycares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Business name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address</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Physical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twilio_number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Dedicated Twilio number for this daycare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google_place_id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For review monitoring via Places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plan_tier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starter | growth | pro</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billing_status</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active | trial | past_due | cancelled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trial_ends_at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Free trial expiration date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owner_name</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contact at the daycare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owner_phone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For adherence alerts and escalations</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owner_email</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For monthly reports and billing</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dogs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daycare_id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daycares.id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dog_name</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Used in all outbound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breed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Used for breed emoji and AI context</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birthday</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DATE</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Optional — used for milestone 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personality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TEXT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Core AI input — free text field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notes</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TEXT</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Dietary, medical, behavioral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joined_at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DATE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First day of service — for anniversary texts</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dog_id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dogs.id (many-to-one)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first_name</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Used in all outbound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mobile_phone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E.164 format (+15551234567)</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email</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Optional backup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sms_opted_out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Set to TRUE on STOP — never send again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opted_out_at</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 of opt-out event</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dog_id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dogs.id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visit_date</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DATE</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Date of daycare visit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staff_notes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TEXT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Staff observations — AI input</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great_day</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TRUE = eligible for review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report_sent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TRUE = report card was sent</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report_sent_at</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When the message was dispatched</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owner_id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owners.id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daycare_id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daycares.id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report_card | review_request | reminder | welcome | birthday</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content</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TEXT</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Full message body as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twilio_sid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Twilio message SID for delivery confirmation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status</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queued | sent | delivered | failed | undelivered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sent_at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Dispatch timestamp</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review_requests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owner_id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owners.id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daycare_id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daycares.id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sent_at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When request was sent</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lockout_until</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sent_at + 30 days — no new requests before this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manually_fulfilled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Staff confirmed client already left a review</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inbound_replies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from_phone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VARCHAR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Sender's phone number</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daycare_id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Matched by the Twilio number that received the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content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TEXT</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Raw reply text</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category</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positive | opt_out | question | complaint |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resolved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TRUE when staff has responded or dismissed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received_at</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Webhook receipt timestamp</w:t>
            </w:r>
          </w:p>
        </w:tc>
      </w:tr>
    </w:tbl>
    <w:p>
      <w:pPr>
        <w:spacing w:after="0" w:before="40"/>
      </w:pPr>
      <w:r>
        <w:t xml:space="preserve"/>
      </w:r>
    </w:p>
    <w:p>
      <w:pPr>
        <w:spacing w:after="40" w:before="120"/>
      </w:pPr>
      <w:r>
        <w:rPr>
          <w:rFonts w:ascii="Courier New" w:cs="Courier New" w:eastAsia="Courier New" w:hAnsi="Courier New"/>
          <w:b/>
          <w:bCs/>
          <w:color w:val="6C3483"/>
          <w:sz w:val="22"/>
          <w:szCs w:val="22"/>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52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id</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PK</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dog_id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UUID FK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References dogs.id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service_type</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daycare | boarding | grooming | training | vet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scheduled_at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TIMESTAMP</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Appointment date and time</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reminder_24h_sent</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TRUE once 24-hour reminder dispatched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reminder_2h_sent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TRUE once 2-hour reminder dispatched</w:t>
            </w:r>
          </w:p>
        </w:tc>
      </w:tr>
      <w:tr>
        <w:tc>
          <w:tcPr>
            <w:tcW w:type="dxa" w:w="24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bCs/>
                <w:color w:val="2D6A4F"/>
                <w:sz w:val="19"/>
                <w:szCs w:val="19"/>
              </w:rPr>
              <w:t xml:space="preserve">no_show</w:t>
            </w:r>
          </w:p>
        </w:tc>
        <w:tc>
          <w:tcPr>
            <w:tcW w:type="dxa" w:w="144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BOOLEAN</w:t>
            </w:r>
          </w:p>
        </w:tc>
        <w:tc>
          <w:tcPr>
            <w:tcW w:type="dxa" w:w="552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Staff-marked — suppresses review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D6A4F"/>
                <w:sz w:val="19"/>
                <w:szCs w:val="19"/>
              </w:rPr>
              <w:t xml:space="preserve">source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ENUM</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2C2C2C"/>
                <w:sz w:val="19"/>
                <w:szCs w:val="19"/>
              </w:rPr>
              <w:t xml:space="preserve">manual | gingrapp_webhook</w:t>
            </w:r>
          </w:p>
        </w:tc>
      </w:tr>
    </w:tbl>
    <w:p>
      <w:pPr>
        <w:spacing w:after="0" w:before="40"/>
      </w:pPr>
      <w:r>
        <w:t xml:space="preserve"/>
      </w:r>
    </w:p>
    <w:p>
      <w:pPr>
        <w:spacing w:after="0" w:before="6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9.3  Message Queue &amp; Rate Limiting</w:t>
      </w:r>
    </w:p>
    <w:p>
      <w:pPr>
        <w:pStyle w:val="ListParagraph"/>
        <w:numPr>
          <w:ilvl w:val="0"/>
          <w:numId w:val="2"/>
        </w:numPr>
        <w:spacing w:after="40" w:before="40"/>
      </w:pPr>
      <w:r>
        <w:rPr>
          <w:rFonts w:ascii="Arial" w:cs="Arial" w:eastAsia="Arial" w:hAnsi="Arial"/>
          <w:b w:val="false"/>
          <w:bCs w:val="false"/>
          <w:color w:val="2C2C2C"/>
          <w:sz w:val="22"/>
          <w:szCs w:val="22"/>
        </w:rPr>
        <w:t xml:space="preserve">All outbound messages are queued (not sent immediately) to prevent Twilio rate limit violations</w:t>
      </w:r>
    </w:p>
    <w:p>
      <w:pPr>
        <w:pStyle w:val="ListParagraph"/>
        <w:numPr>
          <w:ilvl w:val="0"/>
          <w:numId w:val="2"/>
        </w:numPr>
        <w:spacing w:after="40" w:before="40"/>
      </w:pPr>
      <w:r>
        <w:rPr>
          <w:rFonts w:ascii="Arial" w:cs="Arial" w:eastAsia="Arial" w:hAnsi="Arial"/>
          <w:b w:val="false"/>
          <w:bCs w:val="false"/>
          <w:color w:val="2C2C2C"/>
          <w:sz w:val="22"/>
          <w:szCs w:val="22"/>
        </w:rPr>
        <w:t xml:space="preserve">Twilio 10DLC allows ~1 message/second per number. At 40 dogs/day, batch sending takes &lt;1 minute — acceptable</w:t>
      </w:r>
    </w:p>
    <w:p>
      <w:pPr>
        <w:pStyle w:val="ListParagraph"/>
        <w:numPr>
          <w:ilvl w:val="0"/>
          <w:numId w:val="2"/>
        </w:numPr>
        <w:spacing w:after="40" w:before="40"/>
      </w:pPr>
      <w:r>
        <w:rPr>
          <w:rFonts w:ascii="Arial" w:cs="Arial" w:eastAsia="Arial" w:hAnsi="Arial"/>
          <w:b w:val="false"/>
          <w:bCs w:val="false"/>
          <w:color w:val="2C2C2C"/>
          <w:sz w:val="22"/>
          <w:szCs w:val="22"/>
        </w:rPr>
        <w:t xml:space="preserve">Messages are sent between 4PM–8PM local time only — TailWag enforces a sending window to avoid after-hours texts</w:t>
      </w:r>
    </w:p>
    <w:p>
      <w:pPr>
        <w:pStyle w:val="ListParagraph"/>
        <w:numPr>
          <w:ilvl w:val="0"/>
          <w:numId w:val="2"/>
        </w:numPr>
        <w:spacing w:after="40" w:before="40"/>
      </w:pPr>
      <w:r>
        <w:rPr>
          <w:rFonts w:ascii="Arial" w:cs="Arial" w:eastAsia="Arial" w:hAnsi="Arial"/>
          <w:b w:val="false"/>
          <w:bCs w:val="false"/>
          <w:color w:val="2C2C2C"/>
          <w:sz w:val="22"/>
          <w:szCs w:val="22"/>
        </w:rPr>
        <w:t xml:space="preserve">If Twilio delivery fails (wrong number, carrier rejection), TailWag retries once after 15 minutes, then marks as failed and alerts staff</w:t>
      </w:r>
    </w:p>
    <w:p>
      <w:pPr>
        <w:spacing w:after="0" w:before="4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9.4  Security &amp; Data Protection</w:t>
      </w:r>
    </w:p>
    <w:p>
      <w:pPr>
        <w:pStyle w:val="ListParagraph"/>
        <w:numPr>
          <w:ilvl w:val="0"/>
          <w:numId w:val="2"/>
        </w:numPr>
        <w:spacing w:after="40" w:before="40"/>
      </w:pPr>
      <w:r>
        <w:rPr>
          <w:rFonts w:ascii="Arial" w:cs="Arial" w:eastAsia="Arial" w:hAnsi="Arial"/>
          <w:b w:val="false"/>
          <w:bCs w:val="false"/>
          <w:color w:val="2C2C2C"/>
          <w:sz w:val="22"/>
          <w:szCs w:val="22"/>
        </w:rPr>
        <w:t xml:space="preserve">All data encrypted at rest (AES-256) and in transit (TLS 1.3)</w:t>
      </w:r>
    </w:p>
    <w:p>
      <w:pPr>
        <w:pStyle w:val="ListParagraph"/>
        <w:numPr>
          <w:ilvl w:val="0"/>
          <w:numId w:val="2"/>
        </w:numPr>
        <w:spacing w:after="40" w:before="40"/>
      </w:pPr>
      <w:r>
        <w:rPr>
          <w:rFonts w:ascii="Arial" w:cs="Arial" w:eastAsia="Arial" w:hAnsi="Arial"/>
          <w:b w:val="false"/>
          <w:bCs w:val="false"/>
          <w:color w:val="2C2C2C"/>
          <w:sz w:val="22"/>
          <w:szCs w:val="22"/>
        </w:rPr>
        <w:t xml:space="preserve">Phone numbers stored as hashed values in the database; only decrypted at send time</w:t>
      </w:r>
    </w:p>
    <w:p>
      <w:pPr>
        <w:pStyle w:val="ListParagraph"/>
        <w:numPr>
          <w:ilvl w:val="0"/>
          <w:numId w:val="2"/>
        </w:numPr>
        <w:spacing w:after="40" w:before="40"/>
      </w:pPr>
      <w:r>
        <w:rPr>
          <w:rFonts w:ascii="Arial" w:cs="Arial" w:eastAsia="Arial" w:hAnsi="Arial"/>
          <w:b w:val="false"/>
          <w:bCs w:val="false"/>
          <w:color w:val="2C2C2C"/>
          <w:sz w:val="22"/>
          <w:szCs w:val="22"/>
        </w:rPr>
        <w:t xml:space="preserve">Staff portal requires email + password login; MFA optional (required for admin accounts)</w:t>
      </w:r>
    </w:p>
    <w:p>
      <w:pPr>
        <w:pStyle w:val="ListParagraph"/>
        <w:numPr>
          <w:ilvl w:val="0"/>
          <w:numId w:val="2"/>
        </w:numPr>
        <w:spacing w:after="40" w:before="40"/>
      </w:pPr>
      <w:r>
        <w:rPr>
          <w:rFonts w:ascii="Arial" w:cs="Arial" w:eastAsia="Arial" w:hAnsi="Arial"/>
          <w:b w:val="false"/>
          <w:bCs w:val="false"/>
          <w:color w:val="2C2C2C"/>
          <w:sz w:val="22"/>
          <w:szCs w:val="22"/>
        </w:rPr>
        <w:t xml:space="preserve">Role-based access: Admin (full access), Staff (send reports, view roster), Read-Only (reports and metrics only)</w:t>
      </w:r>
    </w:p>
    <w:p>
      <w:pPr>
        <w:pStyle w:val="ListParagraph"/>
        <w:numPr>
          <w:ilvl w:val="0"/>
          <w:numId w:val="2"/>
        </w:numPr>
        <w:spacing w:after="40" w:before="40"/>
      </w:pPr>
      <w:r>
        <w:rPr>
          <w:rFonts w:ascii="Arial" w:cs="Arial" w:eastAsia="Arial" w:hAnsi="Arial"/>
          <w:b w:val="false"/>
          <w:bCs w:val="false"/>
          <w:color w:val="2C2C2C"/>
          <w:sz w:val="22"/>
          <w:szCs w:val="22"/>
        </w:rPr>
        <w:t xml:space="preserve">Penetration testing conducted annually; results shared with enterprise clients on request</w:t>
      </w:r>
    </w:p>
    <w:p>
      <w:pPr>
        <w:spacing w:after="0" w:before="4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9.5  Social Caption Generator (Add-On Module)</w:t>
      </w:r>
    </w:p>
    <w:p>
      <w:pPr>
        <w:spacing w:after="40" w:before="40"/>
      </w:pPr>
      <w:r>
        <w:rPr>
          <w:rFonts w:ascii="Arial" w:cs="Arial" w:eastAsia="Arial" w:hAnsi="Arial"/>
          <w:b w:val="false"/>
          <w:bCs w:val="false"/>
          <w:color w:val="2C2C2C"/>
          <w:sz w:val="22"/>
          <w:szCs w:val="22"/>
        </w:rPr>
        <w:t xml:space="preserve">If implemented, the social caption add-on works as follows:</w:t>
      </w:r>
    </w:p>
    <w:p>
      <w:pPr>
        <w:pStyle w:val="ListParagraph"/>
        <w:numPr>
          <w:ilvl w:val="0"/>
          <w:numId w:val="2"/>
        </w:numPr>
        <w:spacing w:after="40" w:before="40"/>
      </w:pPr>
      <w:r>
        <w:rPr>
          <w:rFonts w:ascii="Arial" w:cs="Arial" w:eastAsia="Arial" w:hAnsi="Arial"/>
          <w:b w:val="false"/>
          <w:bCs w:val="false"/>
          <w:color w:val="2C2C2C"/>
          <w:sz w:val="22"/>
          <w:szCs w:val="22"/>
        </w:rPr>
        <w:t xml:space="preserve">After staff approves a report card, a "Generate Caption" button appears in the portal</w:t>
      </w:r>
    </w:p>
    <w:p>
      <w:pPr>
        <w:pStyle w:val="ListParagraph"/>
        <w:numPr>
          <w:ilvl w:val="0"/>
          <w:numId w:val="2"/>
        </w:numPr>
        <w:spacing w:after="40" w:before="40"/>
      </w:pPr>
      <w:r>
        <w:rPr>
          <w:rFonts w:ascii="Arial" w:cs="Arial" w:eastAsia="Arial" w:hAnsi="Arial"/>
          <w:b w:val="false"/>
          <w:bCs w:val="false"/>
          <w:color w:val="2C2C2C"/>
          <w:sz w:val="22"/>
          <w:szCs w:val="22"/>
        </w:rPr>
        <w:t xml:space="preserve">The same visit data (dog name, notes, breed) is passed to the AI with a different prompt: write a 1–2 sentence Instagram/Facebook caption with relevant hashtags</w:t>
      </w:r>
    </w:p>
    <w:p>
      <w:pPr>
        <w:pStyle w:val="ListParagraph"/>
        <w:numPr>
          <w:ilvl w:val="0"/>
          <w:numId w:val="2"/>
        </w:numPr>
        <w:spacing w:after="40" w:before="40"/>
      </w:pPr>
      <w:r>
        <w:rPr>
          <w:rFonts w:ascii="Arial" w:cs="Arial" w:eastAsia="Arial" w:hAnsi="Arial"/>
          <w:b w:val="false"/>
          <w:bCs w:val="false"/>
          <w:color w:val="2C2C2C"/>
          <w:sz w:val="22"/>
          <w:szCs w:val="22"/>
        </w:rPr>
        <w:t xml:space="preserve">Output: caption text + 5 suggested hashtags, displayed in a copy-ready box</w:t>
      </w:r>
    </w:p>
    <w:p>
      <w:pPr>
        <w:pStyle w:val="ListParagraph"/>
        <w:numPr>
          <w:ilvl w:val="0"/>
          <w:numId w:val="2"/>
        </w:numPr>
        <w:spacing w:after="40" w:before="40"/>
      </w:pPr>
      <w:r>
        <w:rPr>
          <w:rFonts w:ascii="Arial" w:cs="Arial" w:eastAsia="Arial" w:hAnsi="Arial"/>
          <w:b w:val="false"/>
          <w:bCs w:val="false"/>
          <w:color w:val="2C2C2C"/>
          <w:sz w:val="22"/>
          <w:szCs w:val="22"/>
        </w:rPr>
        <w:t xml:space="preserve">Staff copies to their clipboard and pastes directly to Instagram, Facebook, or Google Business Profile</w:t>
      </w:r>
    </w:p>
    <w:p>
      <w:pPr>
        <w:pStyle w:val="ListParagraph"/>
        <w:numPr>
          <w:ilvl w:val="0"/>
          <w:numId w:val="2"/>
        </w:numPr>
        <w:spacing w:after="40" w:before="40"/>
      </w:pPr>
      <w:r>
        <w:rPr>
          <w:rFonts w:ascii="Arial" w:cs="Arial" w:eastAsia="Arial" w:hAnsi="Arial"/>
          <w:b w:val="false"/>
          <w:bCs w:val="false"/>
          <w:color w:val="2C2C2C"/>
          <w:sz w:val="22"/>
          <w:szCs w:val="22"/>
        </w:rPr>
        <w:t xml:space="preserve">No posting is done by TailWag — captions are content suggestions only, not automated publishing</w:t>
      </w:r>
    </w:p>
    <w:p>
      <w:pPr>
        <w:pStyle w:val="ListParagraph"/>
        <w:numPr>
          <w:ilvl w:val="0"/>
          <w:numId w:val="2"/>
        </w:numPr>
        <w:spacing w:after="40" w:before="40"/>
      </w:pPr>
      <w:r>
        <w:rPr>
          <w:rFonts w:ascii="Arial" w:cs="Arial" w:eastAsia="Arial" w:hAnsi="Arial"/>
          <w:b w:val="false"/>
          <w:bCs w:val="false"/>
          <w:color w:val="2C2C2C"/>
          <w:sz w:val="22"/>
          <w:szCs w:val="22"/>
        </w:rPr>
        <w:t xml:space="preserve">Priced as an add-on: $15–$25/month, or included in Pro tier</w:t>
      </w:r>
    </w:p>
    <w:p>
      <w:pPr>
        <w:spacing w:after="0" w:before="40"/>
      </w:pPr>
      <w:r>
        <w:t xml:space="preserve"/>
      </w:r>
    </w:p>
    <w:p>
      <w:pPr>
        <w:pStyle w:val="Heading2"/>
        <w:pBdr>
          <w:bottom w:val="single" w:color="2D6A4F" w:sz="4" w:space="1"/>
        </w:pBdr>
        <w:spacing w:after="120" w:before="280"/>
      </w:pPr>
      <w:r>
        <w:rPr>
          <w:rFonts w:ascii="Arial" w:cs="Arial" w:eastAsia="Arial" w:hAnsi="Arial"/>
          <w:b/>
          <w:bCs/>
          <w:color w:val="1E3A2F"/>
          <w:sz w:val="28"/>
          <w:szCs w:val="28"/>
        </w:rPr>
        <w:t xml:space="preserve">9.6  Monthly Insights Report</w:t>
      </w:r>
    </w:p>
    <w:p>
      <w:pPr>
        <w:spacing w:after="40" w:before="40"/>
      </w:pPr>
      <w:r>
        <w:rPr>
          <w:rFonts w:ascii="Arial" w:cs="Arial" w:eastAsia="Arial" w:hAnsi="Arial"/>
          <w:b w:val="false"/>
          <w:bCs w:val="false"/>
          <w:color w:val="2C2C2C"/>
          <w:sz w:val="22"/>
          <w:szCs w:val="22"/>
        </w:rPr>
        <w:t xml:space="preserve">Automatically generated and emailed to the daycare owner on the 1st of each month:</w:t>
      </w:r>
    </w:p>
    <w:p>
      <w:pPr>
        <w:pStyle w:val="ListParagraph"/>
        <w:numPr>
          <w:ilvl w:val="0"/>
          <w:numId w:val="2"/>
        </w:numPr>
        <w:spacing w:after="40" w:before="40"/>
      </w:pPr>
      <w:r>
        <w:rPr>
          <w:rFonts w:ascii="Arial" w:cs="Arial" w:eastAsia="Arial" w:hAnsi="Arial"/>
          <w:b w:val="false"/>
          <w:bCs w:val="false"/>
          <w:color w:val="2C2C2C"/>
          <w:sz w:val="22"/>
          <w:szCs w:val="22"/>
        </w:rPr>
        <w:t xml:space="preserve">Total report cards sent and open rate (SMS delivery confirmation rate)</w:t>
      </w:r>
    </w:p>
    <w:p>
      <w:pPr>
        <w:pStyle w:val="ListParagraph"/>
        <w:numPr>
          <w:ilvl w:val="0"/>
          <w:numId w:val="2"/>
        </w:numPr>
        <w:spacing w:after="40" w:before="40"/>
      </w:pPr>
      <w:r>
        <w:rPr>
          <w:rFonts w:ascii="Arial" w:cs="Arial" w:eastAsia="Arial" w:hAnsi="Arial"/>
          <w:b w:val="false"/>
          <w:bCs w:val="false"/>
          <w:color w:val="2C2C2C"/>
          <w:sz w:val="22"/>
          <w:szCs w:val="22"/>
        </w:rPr>
        <w:t xml:space="preserve">Google review delta: reviews gained this month vs. last month vs. same month prior year</w:t>
      </w:r>
    </w:p>
    <w:p>
      <w:pPr>
        <w:pStyle w:val="ListParagraph"/>
        <w:numPr>
          <w:ilvl w:val="0"/>
          <w:numId w:val="2"/>
        </w:numPr>
        <w:spacing w:after="40" w:before="40"/>
      </w:pPr>
      <w:r>
        <w:rPr>
          <w:rFonts w:ascii="Arial" w:cs="Arial" w:eastAsia="Arial" w:hAnsi="Arial"/>
          <w:b w:val="false"/>
          <w:bCs w:val="false"/>
          <w:color w:val="2C2C2C"/>
          <w:sz w:val="22"/>
          <w:szCs w:val="22"/>
        </w:rPr>
        <w:t xml:space="preserve">Estimated TailWag attribution (review requests sent × 20% conversion)</w:t>
      </w:r>
    </w:p>
    <w:p>
      <w:pPr>
        <w:pStyle w:val="ListParagraph"/>
        <w:numPr>
          <w:ilvl w:val="0"/>
          <w:numId w:val="2"/>
        </w:numPr>
        <w:spacing w:after="40" w:before="40"/>
      </w:pPr>
      <w:r>
        <w:rPr>
          <w:rFonts w:ascii="Arial" w:cs="Arial" w:eastAsia="Arial" w:hAnsi="Arial"/>
          <w:b w:val="false"/>
          <w:bCs w:val="false"/>
          <w:color w:val="2C2C2C"/>
          <w:sz w:val="22"/>
          <w:szCs w:val="22"/>
        </w:rPr>
        <w:t xml:space="preserve">No-shows this month vs. prior period (reminder effectiveness)</w:t>
      </w:r>
    </w:p>
    <w:p>
      <w:pPr>
        <w:pStyle w:val="ListParagraph"/>
        <w:numPr>
          <w:ilvl w:val="0"/>
          <w:numId w:val="2"/>
        </w:numPr>
        <w:spacing w:after="40" w:before="40"/>
      </w:pPr>
      <w:r>
        <w:rPr>
          <w:rFonts w:ascii="Arial" w:cs="Arial" w:eastAsia="Arial" w:hAnsi="Arial"/>
          <w:b w:val="false"/>
          <w:bCs w:val="false"/>
          <w:color w:val="2C2C2C"/>
          <w:sz w:val="22"/>
          <w:szCs w:val="22"/>
        </w:rPr>
        <w:t xml:space="preserve">Opt-out count and opt-out rate</w:t>
      </w:r>
    </w:p>
    <w:p>
      <w:pPr>
        <w:pStyle w:val="ListParagraph"/>
        <w:numPr>
          <w:ilvl w:val="0"/>
          <w:numId w:val="2"/>
        </w:numPr>
        <w:spacing w:after="40" w:before="40"/>
      </w:pPr>
      <w:r>
        <w:rPr>
          <w:rFonts w:ascii="Arial" w:cs="Arial" w:eastAsia="Arial" w:hAnsi="Arial"/>
          <w:b w:val="false"/>
          <w:bCs w:val="false"/>
          <w:color w:val="2C2C2C"/>
          <w:sz w:val="22"/>
          <w:szCs w:val="22"/>
        </w:rPr>
        <w:t xml:space="preserve">Top 3 most-mentioned words in staff notes this month (fun data insight)</w:t>
      </w:r>
    </w:p>
    <w:p>
      <w:pPr>
        <w:pStyle w:val="ListParagraph"/>
        <w:numPr>
          <w:ilvl w:val="0"/>
          <w:numId w:val="2"/>
        </w:numPr>
        <w:spacing w:after="40" w:before="40"/>
      </w:pPr>
      <w:r>
        <w:rPr>
          <w:rFonts w:ascii="Arial" w:cs="Arial" w:eastAsia="Arial" w:hAnsi="Arial"/>
          <w:b w:val="false"/>
          <w:bCs w:val="false"/>
          <w:color w:val="2C2C2C"/>
          <w:sz w:val="22"/>
          <w:szCs w:val="22"/>
        </w:rPr>
        <w:t xml:space="preserve">Estimated ROI: total gross benefit vs. TailWag subscription cost</w:t>
      </w:r>
    </w:p>
    <w:p>
      <w:pPr>
        <w:spacing w:after="0" w:before="80"/>
      </w:pPr>
      <w:r>
        <w:t xml:space="preserve"/>
      </w:r>
    </w:p>
    <w:p>
      <w:r>
        <w:br w:type="page"/>
      </w:r>
    </w:p>
    <w:p>
      <w:pPr>
        <w:pStyle w:val="Heading1"/>
        <w:pBdr>
          <w:bottom w:val="single" w:color="C89B3C" w:sz="12" w:space="1"/>
        </w:pBdr>
        <w:shd w:fill="1E3A2F" w:val="clear"/>
        <w:spacing w:after="200" w:before="0"/>
        <w:ind w:left="200" w:right="200"/>
      </w:pPr>
      <w:r>
        <w:rPr>
          <w:rFonts w:ascii="Arial" w:cs="Arial" w:eastAsia="Arial" w:hAnsi="Arial"/>
          <w:b/>
          <w:bCs/>
          <w:color w:val="FFFFFF"/>
          <w:sz w:val="36"/>
          <w:szCs w:val="36"/>
        </w:rPr>
        <w:t xml:space="preserve">QUICK REFERENCE — KEY VENDOR CONTACTS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Vendor</w:t>
            </w:r>
          </w:p>
        </w:tc>
        <w:tc>
          <w:tcPr>
            <w:tcW w:type="dxa" w:w="2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Service</w:t>
            </w:r>
          </w:p>
        </w:tc>
        <w:tc>
          <w:tcPr>
            <w:tcW w:type="dxa" w:w="23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Portal</w:t>
            </w:r>
          </w:p>
        </w:tc>
        <w:tc>
          <w:tcPr>
            <w:tcW w:type="dxa" w:w="30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Twilio</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SMS delivery</w:t>
            </w:r>
          </w:p>
        </w:tc>
        <w:tc>
          <w:tcPr>
            <w:tcW w:type="dxa" w:w="2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console.twilio.com</w:t>
            </w:r>
          </w:p>
        </w:tc>
        <w:tc>
          <w:tcPr>
            <w:tcW w:type="dxa" w:w="3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10DLC registration, number provisioning, webhook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Anthropic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AI generation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console.anthropic.com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API key management, usage monitoring</w:t>
            </w:r>
          </w:p>
        </w:tc>
      </w:tr>
      <w:tr>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Google Cloud</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Places API</w:t>
            </w:r>
          </w:p>
        </w:tc>
        <w:tc>
          <w:tcPr>
            <w:tcW w:type="dxa" w:w="2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console.cloud.google.com</w:t>
            </w:r>
          </w:p>
        </w:tc>
        <w:tc>
          <w:tcPr>
            <w:tcW w:type="dxa" w:w="3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Enable Places API, set billing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The Campaign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10DLC compliance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campaignregistry.com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Brand + campaign registration (one-time setup)</w:t>
            </w:r>
          </w:p>
        </w:tc>
      </w:tr>
      <w:tr>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bCs/>
                <w:color w:val="2D6A4F"/>
                <w:sz w:val="20"/>
                <w:szCs w:val="20"/>
              </w:rPr>
              <w:t xml:space="preserve">Stripe</w:t>
            </w:r>
          </w:p>
        </w:tc>
        <w:tc>
          <w:tcPr>
            <w:tcW w:type="dxa" w:w="2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Billing</w:t>
            </w:r>
          </w:p>
        </w:tc>
        <w:tc>
          <w:tcPr>
            <w:tcW w:type="dxa" w:w="236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dashboard.stripe.com</w:t>
            </w:r>
          </w:p>
        </w:tc>
        <w:tc>
          <w:tcPr>
            <w:tcW w:type="dxa" w:w="3000"/>
            <w:tcBorders>
              <w:top w:val="single" w:color="CCCCCC" w:sz="1"/>
              <w:left w:val="single" w:color="CCCCCC" w:sz="1"/>
              <w:bottom w:val="single" w:color="CCCCCC" w:sz="1"/>
              <w:right w:val="single" w:color="CCCCCC" w:sz="1"/>
            </w:tcBorders>
            <w:shd w:fill="F4F9F6" w:val="clear"/>
            <w:tcMar>
              <w:top w:type="dxa" w:w="80"/>
              <w:left w:type="dxa" w:w="120"/>
              <w:bottom w:type="dxa" w:w="80"/>
              <w:right w:type="dxa" w:w="80"/>
            </w:tcMar>
          </w:tcPr>
          <w:p>
            <w:r>
              <w:rPr>
                <w:rFonts w:ascii="Arial" w:cs="Arial" w:eastAsia="Arial" w:hAnsi="Arial"/>
                <w:b w:val="false"/>
                <w:bCs w:val="false"/>
                <w:color w:val="2C2C2C"/>
                <w:sz w:val="20"/>
                <w:szCs w:val="20"/>
              </w:rPr>
              <w:t xml:space="preserve">Subscription plans, invoicing, failed payment 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D6A4F"/>
                <w:sz w:val="20"/>
                <w:szCs w:val="20"/>
              </w:rPr>
              <w:t xml:space="preserve">Gingrapp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Webhook sync (Pro)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gingrapp.com/api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C2C2C"/>
                <w:sz w:val="20"/>
                <w:szCs w:val="20"/>
              </w:rPr>
              <w:t xml:space="preserve">API key required from each Pro-tier daycare</w:t>
            </w:r>
          </w:p>
        </w:tc>
      </w:tr>
    </w:tbl>
    <w:p>
      <w:pPr>
        <w:spacing w:after="0" w:before="80"/>
      </w:pPr>
      <w:r>
        <w:t xml:space="preserve"/>
      </w:r>
    </w:p>
    <w:p>
      <w:pPr>
        <w:spacing w:after="40" w:before="40"/>
      </w:pPr>
      <w:r>
        <w:rPr>
          <w:rFonts w:ascii="Arial" w:cs="Arial" w:eastAsia="Arial" w:hAnsi="Arial"/>
          <w:b w:val="false"/>
          <w:bCs w:val="false"/>
          <w:color w:val="AAAAAA"/>
          <w:sz w:val="22"/>
          <w:szCs w:val="22"/>
        </w:rPr>
        <w:t xml:space="preserve">Document maintained by: TailWag Internal Team  —  Last updated: March 2026</w:t>
      </w:r>
    </w:p>
    <w:p>
      <w:pPr>
        <w:spacing w:after="40" w:before="40"/>
      </w:pPr>
      <w:r>
        <w:rPr>
          <w:rFonts w:ascii="Arial" w:cs="Arial" w:eastAsia="Arial" w:hAnsi="Arial"/>
          <w:b w:val="false"/>
          <w:bCs w:val="false"/>
          <w:color w:val="AAAAAA"/>
          <w:sz w:val="22"/>
          <w:szCs w:val="22"/>
        </w:rPr>
        <w:t xml:space="preserve">This document is confidential and intended for internal use only. Distribution outside the TailWag organization requires written authorization.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tabs>
        <w:tab w:val="right" w:pos="9026"/>
      </w:tabs>
    </w:pPr>
    <w:r>
      <w:rPr>
        <w:rFonts w:ascii="Arial" w:cs="Arial" w:eastAsia="Arial" w:hAnsi="Arial"/>
        <w:color w:val="AAAAAA"/>
        <w:sz w:val="16"/>
        <w:szCs w:val="16"/>
      </w:rPr>
      <w:t xml:space="preserve">Confidential —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tabs>
        <w:tab w:val="right" w:pos="9026"/>
      </w:tabs>
    </w:pPr>
    <w:r>
      <w:rPr>
        <w:rFonts w:ascii="Arial" w:cs="Arial" w:eastAsia="Arial" w:hAnsi="Arial"/>
        <w:b/>
        <w:bCs/>
        <w:color w:val="2D6A4F"/>
        <w:sz w:val="18"/>
        <w:szCs w:val="18"/>
      </w:rPr>
      <w:t xml:space="preserve">TailWag — Technical Specification &amp; Operating Protocol</w:t>
    </w:r>
    <w:r>
      <w:rPr>
        <w:rFonts w:ascii="Arial" w:cs="Arial" w:eastAsia="Arial" w:hAnsi="Arial"/>
        <w:color w:val="AAAAAA"/>
        <w:sz w:val="18"/>
        <w:szCs w:val="18"/>
      </w:rPr>
      <w:t xml:space="preserve">	v1.0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2026-03-13T03:49:41.569Z</dcterms:created>
  <dcterms:modified xsi:type="dcterms:W3CDTF">2026-03-13T03:49:41.579Z</dcterms:modified>
</cp:coreProperties>
</file>

<file path=docProps/custom.xml><?xml version="1.0" encoding="utf-8"?>
<Properties xmlns="http://schemas.openxmlformats.org/officeDocument/2006/custom-properties" xmlns:vt="http://schemas.openxmlformats.org/officeDocument/2006/docPropsVTypes"/>
</file>