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E6B4A"/>
          <w:sz w:val="40"/>
          <w:szCs w:val="40"/>
        </w:rPr>
        <w:t xml:space="preserve">SUBSCRIPTION SERVICE AGREEMENT</w:t>
      </w:r>
    </w:p>
    <w:p>
      <w:pPr>
        <w:spacing w:after="400"/>
        <w:jc w:val="center"/>
      </w:pPr>
      <w:r>
        <w:rPr>
          <w:rFonts w:ascii="Inter" w:cs="Inter" w:eastAsia="Inter" w:hAnsi="Inter"/>
          <w:color w:val="2D3748"/>
          <w:sz w:val="22"/>
          <w:szCs w:val="22"/>
        </w:rPr>
        <w:t xml:space="preserve">TailWag — Personalized SMS for Independent Daycares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0E8" w:val="clear"/>
            <w:tcMar>
              <w:top w:type="dxa" w:w="60"/>
              <w:left w:type="dxa" w:w="120"/>
              <w:bottom w:type="dxa" w:w="60"/>
              <w:right w:type="dxa" w:w="120"/>
            </w:tcMar>
          </w:tcPr>
          <w:p>
            <w:r>
              <w:rPr>
                <w:b/>
                <w:bCs/>
                <w:color w:val="0F1410"/>
                <w:sz w:val="21"/>
                <w:szCs w:val="21"/>
              </w:rPr>
              <w:t xml:space="preserve">Effective Date:</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color w:val="2D3748"/>
                <w:sz w:val="21"/>
                <w:szCs w:val="21"/>
              </w:rPr>
              <w:t xml:space="preserve">[Date]</w:t>
            </w:r>
          </w:p>
        </w:tc>
      </w:tr>
      <w:tr>
        <w:tc>
          <w:tcPr>
            <w:tcW w:type="dxa" w:w="2800"/>
            <w:tcBorders>
              <w:top w:val="single" w:color="DDDDDD" w:sz="1"/>
              <w:left w:val="single" w:color="DDDDDD" w:sz="1"/>
              <w:bottom w:val="single" w:color="DDDDDD" w:sz="1"/>
              <w:right w:val="single" w:color="DDDDDD" w:sz="1"/>
            </w:tcBorders>
            <w:shd w:fill="F5F0E8" w:val="clear"/>
            <w:tcMar>
              <w:top w:type="dxa" w:w="60"/>
              <w:left w:type="dxa" w:w="120"/>
              <w:bottom w:type="dxa" w:w="60"/>
              <w:right w:type="dxa" w:w="120"/>
            </w:tcMar>
          </w:tcPr>
          <w:p>
            <w:r>
              <w:rPr>
                <w:b/>
                <w:bCs/>
                <w:color w:val="0F1410"/>
                <w:sz w:val="21"/>
                <w:szCs w:val="21"/>
              </w:rPr>
              <w:t xml:space="preserve">Provider:</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color w:val="2D3748"/>
                <w:sz w:val="21"/>
                <w:szCs w:val="21"/>
              </w:rPr>
              <w:t xml:space="preserve">TailWag (operated by Summer Wright)</w:t>
            </w:r>
          </w:p>
        </w:tc>
      </w:tr>
      <w:tr>
        <w:tc>
          <w:tcPr>
            <w:tcW w:type="dxa" w:w="2800"/>
            <w:tcBorders>
              <w:top w:val="single" w:color="DDDDDD" w:sz="1"/>
              <w:left w:val="single" w:color="DDDDDD" w:sz="1"/>
              <w:bottom w:val="single" w:color="DDDDDD" w:sz="1"/>
              <w:right w:val="single" w:color="DDDDDD" w:sz="1"/>
            </w:tcBorders>
            <w:shd w:fill="F5F0E8" w:val="clear"/>
            <w:tcMar>
              <w:top w:type="dxa" w:w="60"/>
              <w:left w:type="dxa" w:w="120"/>
              <w:bottom w:type="dxa" w:w="60"/>
              <w:right w:type="dxa" w:w="120"/>
            </w:tcMar>
          </w:tcPr>
          <w:p>
            <w:r>
              <w:rPr>
                <w:b/>
                <w:bCs/>
                <w:color w:val="0F1410"/>
                <w:sz w:val="21"/>
                <w:szCs w:val="21"/>
              </w:rPr>
              <w:t xml:space="preserve">Provider Contact:</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color w:val="2D3748"/>
                <w:sz w:val="21"/>
                <w:szCs w:val="21"/>
              </w:rPr>
              <w:t xml:space="preserve">summer@usetailwag.com</w:t>
            </w:r>
          </w:p>
        </w:tc>
      </w:tr>
      <w:tr>
        <w:tc>
          <w:tcPr>
            <w:tcW w:type="dxa" w:w="2800"/>
            <w:tcBorders>
              <w:top w:val="single" w:color="DDDDDD" w:sz="1"/>
              <w:left w:val="single" w:color="DDDDDD" w:sz="1"/>
              <w:bottom w:val="single" w:color="DDDDDD" w:sz="1"/>
              <w:right w:val="single" w:color="DDDDDD" w:sz="1"/>
            </w:tcBorders>
            <w:shd w:fill="F5F0E8" w:val="clear"/>
            <w:tcMar>
              <w:top w:type="dxa" w:w="60"/>
              <w:left w:type="dxa" w:w="120"/>
              <w:bottom w:type="dxa" w:w="60"/>
              <w:right w:type="dxa" w:w="120"/>
            </w:tcMar>
          </w:tcPr>
          <w:p>
            <w:r>
              <w:rPr>
                <w:b/>
                <w:bCs/>
                <w:color w:val="0F1410"/>
                <w:sz w:val="21"/>
                <w:szCs w:val="21"/>
              </w:rPr>
              <w:t xml:space="preserve">Client (“Subscriber”):</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color w:val="2D3748"/>
                <w:sz w:val="21"/>
                <w:szCs w:val="21"/>
              </w:rPr>
              <w:t xml:space="preserve">[Business Name]</w:t>
            </w:r>
          </w:p>
        </w:tc>
      </w:tr>
      <w:tr>
        <w:tc>
          <w:tcPr>
            <w:tcW w:type="dxa" w:w="2800"/>
            <w:tcBorders>
              <w:top w:val="single" w:color="DDDDDD" w:sz="1"/>
              <w:left w:val="single" w:color="DDDDDD" w:sz="1"/>
              <w:bottom w:val="single" w:color="DDDDDD" w:sz="1"/>
              <w:right w:val="single" w:color="DDDDDD" w:sz="1"/>
            </w:tcBorders>
            <w:shd w:fill="F5F0E8" w:val="clear"/>
            <w:tcMar>
              <w:top w:type="dxa" w:w="60"/>
              <w:left w:type="dxa" w:w="120"/>
              <w:bottom w:type="dxa" w:w="60"/>
              <w:right w:type="dxa" w:w="120"/>
            </w:tcMar>
          </w:tcPr>
          <w:p>
            <w:r>
              <w:rPr>
                <w:b/>
                <w:bCs/>
                <w:color w:val="0F1410"/>
                <w:sz w:val="21"/>
                <w:szCs w:val="21"/>
              </w:rPr>
              <w:t xml:space="preserve">Client Contact:</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color w:val="2D3748"/>
                <w:sz w:val="21"/>
                <w:szCs w:val="21"/>
              </w:rPr>
              <w:t xml:space="preserve">[Name / Email / Phone]</w:t>
            </w:r>
          </w:p>
        </w:tc>
      </w:tr>
      <w:tr>
        <w:tc>
          <w:tcPr>
            <w:tcW w:type="dxa" w:w="2800"/>
            <w:tcBorders>
              <w:top w:val="single" w:color="DDDDDD" w:sz="1"/>
              <w:left w:val="single" w:color="DDDDDD" w:sz="1"/>
              <w:bottom w:val="single" w:color="DDDDDD" w:sz="1"/>
              <w:right w:val="single" w:color="DDDDDD" w:sz="1"/>
            </w:tcBorders>
            <w:shd w:fill="F5F0E8" w:val="clear"/>
            <w:tcMar>
              <w:top w:type="dxa" w:w="60"/>
              <w:left w:type="dxa" w:w="120"/>
              <w:bottom w:type="dxa" w:w="60"/>
              <w:right w:type="dxa" w:w="120"/>
            </w:tcMar>
          </w:tcPr>
          <w:p>
            <w:r>
              <w:rPr>
                <w:b/>
                <w:bCs/>
                <w:color w:val="0F1410"/>
                <w:sz w:val="21"/>
                <w:szCs w:val="21"/>
              </w:rPr>
              <w:t xml:space="preserve">Selected Plan: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color w:val="2D3748"/>
                <w:sz w:val="21"/>
                <w:szCs w:val="21"/>
              </w:rPr>
              <w:t xml:space="preserve">[TailWag Essentials / TailWag Strategic Partner]</w:t>
            </w:r>
          </w:p>
        </w:tc>
      </w:tr>
      <w:tr>
        <w:tc>
          <w:tcPr>
            <w:tcW w:type="dxa" w:w="2800"/>
            <w:tcBorders>
              <w:top w:val="single" w:color="DDDDDD" w:sz="1"/>
              <w:left w:val="single" w:color="DDDDDD" w:sz="1"/>
              <w:bottom w:val="single" w:color="DDDDDD" w:sz="1"/>
              <w:right w:val="single" w:color="DDDDDD" w:sz="1"/>
            </w:tcBorders>
            <w:shd w:fill="F5F0E8" w:val="clear"/>
            <w:tcMar>
              <w:top w:type="dxa" w:w="60"/>
              <w:left w:type="dxa" w:w="120"/>
              <w:bottom w:type="dxa" w:w="60"/>
              <w:right w:type="dxa" w:w="120"/>
            </w:tcMar>
          </w:tcPr>
          <w:p>
            <w:r>
              <w:rPr>
                <w:b/>
                <w:bCs/>
                <w:color w:val="0F1410"/>
                <w:sz w:val="21"/>
                <w:szCs w:val="21"/>
              </w:rPr>
              <w:t xml:space="preserve">Monthly Fee:</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color w:val="2D3748"/>
                <w:sz w:val="21"/>
                <w:szCs w:val="21"/>
              </w:rPr>
              <w:t xml:space="preserve">[$___/month]</w:t>
            </w:r>
          </w:p>
        </w:tc>
      </w:tr>
    </w:tbl>
    <w:p>
      <w:pPr>
        <w:spacing w:after="200" w:before="400"/>
      </w:pPr>
    </w:p>
    <w:p>
      <w:pPr>
        <w:pStyle w:val="Heading2"/>
      </w:pPr>
      <w:r>
        <w:t xml:space="preserve">1. Services Provided</w:t>
      </w:r>
    </w:p>
    <w:p>
      <w:pPr>
        <w:spacing w:after="120"/>
      </w:pPr>
      <w:r>
        <w:t xml:space="preserve">TailWag provides the Subscriber with access to its SMS communication platform, which includes:</w:t>
      </w:r>
    </w:p>
    <w:p>
      <w:pPr>
        <w:pStyle w:val="ListParagraph"/>
        <w:numPr>
          <w:ilvl w:val="0"/>
          <w:numId w:val="2"/>
        </w:numPr>
        <w:spacing w:after="80"/>
      </w:pPr>
      <w:r>
        <w:rPr>
          <w:color w:val="2D3748"/>
          <w:sz w:val="22"/>
          <w:szCs w:val="22"/>
        </w:rPr>
        <w:t xml:space="preserve">Personalized daily report cards sent via SMS to pet parents after each visit</w:t>
      </w:r>
    </w:p>
    <w:p>
      <w:pPr>
        <w:pStyle w:val="ListParagraph"/>
        <w:numPr>
          <w:ilvl w:val="0"/>
          <w:numId w:val="2"/>
        </w:numPr>
        <w:spacing w:after="80"/>
      </w:pPr>
      <w:r>
        <w:rPr>
          <w:color w:val="2D3748"/>
          <w:sz w:val="22"/>
          <w:szCs w:val="22"/>
        </w:rPr>
        <w:t xml:space="preserve">Automated appointment reminders to reduce no-shows</w:t>
      </w:r>
    </w:p>
    <w:p>
      <w:pPr>
        <w:pStyle w:val="ListParagraph"/>
        <w:numPr>
          <w:ilvl w:val="0"/>
          <w:numId w:val="2"/>
        </w:numPr>
        <w:spacing w:after="80"/>
      </w:pPr>
      <w:r>
        <w:rPr>
          <w:color w:val="2D3748"/>
          <w:sz w:val="22"/>
          <w:szCs w:val="22"/>
        </w:rPr>
        <w:t xml:space="preserve">Automated Google review requests to build the Subscriber’s online reputation</w:t>
      </w:r>
    </w:p>
    <w:p>
      <w:pPr>
        <w:pStyle w:val="ListParagraph"/>
        <w:numPr>
          <w:ilvl w:val="0"/>
          <w:numId w:val="2"/>
        </w:numPr>
        <w:spacing w:after="80"/>
      </w:pPr>
      <w:r>
        <w:rPr>
          <w:color w:val="2D3748"/>
          <w:sz w:val="22"/>
          <w:szCs w:val="22"/>
        </w:rPr>
        <w:t xml:space="preserve">A dedicated local phone number for outbound messaging</w:t>
      </w:r>
    </w:p>
    <w:p>
      <w:pPr>
        <w:pStyle w:val="ListParagraph"/>
        <w:numPr>
          <w:ilvl w:val="0"/>
          <w:numId w:val="2"/>
        </w:numPr>
        <w:spacing w:after="80"/>
      </w:pPr>
      <w:r>
        <w:rPr>
          <w:color w:val="2D3748"/>
          <w:sz w:val="22"/>
          <w:szCs w:val="22"/>
        </w:rPr>
        <w:t xml:space="preserve">Ongoing platform updates and improvements during the subscription term</w:t>
      </w:r>
    </w:p>
    <w:p>
      <w:pPr>
        <w:spacing w:after="120" w:before="120"/>
      </w:pPr>
      <w:r>
        <w:t xml:space="preserve">Specific features included depend on the Subscriber’s selected plan, as outlined at the time of enrollment.</w:t>
      </w:r>
    </w:p>
    <w:p>
      <w:pPr>
        <w:pStyle w:val="Heading2"/>
      </w:pPr>
      <w:r>
        <w:t xml:space="preserve">2. Subscriber Responsibilities</w:t>
      </w:r>
    </w:p>
    <w:p>
      <w:pPr>
        <w:spacing w:after="120"/>
      </w:pPr>
      <w:r>
        <w:t xml:space="preserve">The Subscriber agrees to:</w:t>
      </w:r>
    </w:p>
    <w:p>
      <w:pPr>
        <w:pStyle w:val="ListParagraph"/>
        <w:numPr>
          <w:ilvl w:val="0"/>
          <w:numId w:val="2"/>
        </w:numPr>
        <w:spacing w:after="80"/>
      </w:pPr>
      <w:r>
        <w:rPr>
          <w:color w:val="2D3748"/>
          <w:sz w:val="22"/>
          <w:szCs w:val="22"/>
        </w:rPr>
        <w:t xml:space="preserve">Provide accurate, up-to-date client contact information for use with the platform</w:t>
      </w:r>
    </w:p>
    <w:p>
      <w:pPr>
        <w:pStyle w:val="ListParagraph"/>
        <w:numPr>
          <w:ilvl w:val="0"/>
          <w:numId w:val="2"/>
        </w:numPr>
        <w:spacing w:after="80"/>
      </w:pPr>
      <w:r>
        <w:rPr>
          <w:color w:val="2D3748"/>
          <w:sz w:val="22"/>
          <w:szCs w:val="22"/>
        </w:rPr>
        <w:t xml:space="preserve">Ensure that pet parents have consented to receive SMS communications (opt-in)</w:t>
      </w:r>
    </w:p>
    <w:p>
      <w:pPr>
        <w:pStyle w:val="ListParagraph"/>
        <w:numPr>
          <w:ilvl w:val="0"/>
          <w:numId w:val="2"/>
        </w:numPr>
        <w:spacing w:after="80"/>
      </w:pPr>
      <w:r>
        <w:rPr>
          <w:color w:val="2D3748"/>
          <w:sz w:val="22"/>
          <w:szCs w:val="22"/>
        </w:rPr>
        <w:t xml:space="preserve">Use the platform only for legitimate business communication related to daycare, boarding, training, or grooming services</w:t>
      </w:r>
    </w:p>
    <w:p>
      <w:pPr>
        <w:pStyle w:val="ListParagraph"/>
        <w:numPr>
          <w:ilvl w:val="0"/>
          <w:numId w:val="2"/>
        </w:numPr>
        <w:spacing w:after="80"/>
      </w:pPr>
      <w:r>
        <w:rPr>
          <w:color w:val="2D3748"/>
          <w:sz w:val="22"/>
          <w:szCs w:val="22"/>
        </w:rPr>
        <w:t xml:space="preserve">Not use the platform for spam, unsolicited marketing to non-clients, or any unlawful purpose</w:t>
      </w:r>
    </w:p>
    <w:p>
      <w:pPr>
        <w:pStyle w:val="ListParagraph"/>
        <w:numPr>
          <w:ilvl w:val="0"/>
          <w:numId w:val="2"/>
        </w:numPr>
        <w:spacing w:after="80"/>
      </w:pPr>
      <w:r>
        <w:rPr>
          <w:color w:val="2D3748"/>
          <w:sz w:val="22"/>
          <w:szCs w:val="22"/>
        </w:rPr>
        <w:t xml:space="preserve">Promptly notify TailWag of any errors, issues, or client opt-out requests</w:t>
      </w:r>
    </w:p>
    <w:p>
      <w:pPr>
        <w:pStyle w:val="Heading2"/>
      </w:pPr>
      <w:r>
        <w:t xml:space="preserve">3. SMS Compliance &amp; Consent</w:t>
      </w:r>
    </w:p>
    <w:p>
      <w:pPr>
        <w:spacing w:after="120"/>
      </w:pPr>
      <w:r>
        <w:t xml:space="preserve">TailWag sends SMS messages on behalf of the Subscriber to the Subscriber’s clients (pet parents). Federal law, including the Telephone Consumer Protection Act (TCPA), requires prior express consent before sending non-emergency text messages. The Subscriber acknowledges and agrees to the following:</w:t>
      </w:r>
    </w:p>
    <w:p>
      <w:pPr>
        <w:pStyle w:val="ListParagraph"/>
        <w:numPr>
          <w:ilvl w:val="0"/>
          <w:numId w:val="2"/>
        </w:numPr>
        <w:spacing w:after="80"/>
      </w:pPr>
      <w:r>
        <w:rPr>
          <w:color w:val="2D3748"/>
          <w:sz w:val="22"/>
          <w:szCs w:val="22"/>
        </w:rPr>
        <w:t xml:space="preserve">The Subscriber is solely responsible for obtaining valid, documented opt-in consent from each pet parent before their contact information is entered into the TailWag platform</w:t>
      </w:r>
    </w:p>
    <w:p>
      <w:pPr>
        <w:pStyle w:val="ListParagraph"/>
        <w:numPr>
          <w:ilvl w:val="0"/>
          <w:numId w:val="2"/>
        </w:numPr>
        <w:spacing w:after="80"/>
      </w:pPr>
      <w:r>
        <w:rPr>
          <w:color w:val="2D3748"/>
          <w:sz w:val="22"/>
          <w:szCs w:val="22"/>
        </w:rPr>
        <w:t xml:space="preserve">Opt-in consent must be collected in writing (physical or electronic) and must clearly disclose that the pet parent will receive automated SMS messages from the Subscriber’s business via TailWag</w:t>
      </w:r>
    </w:p>
    <w:p>
      <w:pPr>
        <w:pStyle w:val="ListParagraph"/>
        <w:numPr>
          <w:ilvl w:val="0"/>
          <w:numId w:val="2"/>
        </w:numPr>
        <w:spacing w:after="80"/>
      </w:pPr>
      <w:r>
        <w:rPr>
          <w:color w:val="2D3748"/>
          <w:sz w:val="22"/>
          <w:szCs w:val="22"/>
        </w:rPr>
        <w:t xml:space="preserve">The Subscriber’s intake forms, registration documents, or digital sign-up process must include language substantially similar to: “By providing your phone number, you consent to receive automated text messages from [Business Name] regarding your pet’s visits, appointment reminders, and review requests. Message frequency varies. Message and data rates may apply. Reply STOP to opt out at any time.”</w:t>
      </w:r>
    </w:p>
    <w:p>
      <w:pPr>
        <w:pStyle w:val="ListParagraph"/>
        <w:numPr>
          <w:ilvl w:val="0"/>
          <w:numId w:val="2"/>
        </w:numPr>
        <w:spacing w:after="80"/>
      </w:pPr>
      <w:r>
        <w:rPr>
          <w:color w:val="2D3748"/>
          <w:sz w:val="22"/>
          <w:szCs w:val="22"/>
        </w:rPr>
        <w:t xml:space="preserve">The Subscriber must maintain records of each pet parent’s opt-in consent and make them available to TailWag upon request</w:t>
      </w:r>
    </w:p>
    <w:p>
      <w:pPr>
        <w:pStyle w:val="ListParagraph"/>
        <w:numPr>
          <w:ilvl w:val="0"/>
          <w:numId w:val="2"/>
        </w:numPr>
        <w:spacing w:after="80"/>
      </w:pPr>
      <w:r>
        <w:rPr>
          <w:color w:val="2D3748"/>
          <w:sz w:val="22"/>
          <w:szCs w:val="22"/>
        </w:rPr>
        <w:t xml:space="preserve">The Subscriber must honor all opt-out (STOP) requests promptly and remove opted-out contacts from the platform within 48 hours</w:t>
      </w:r>
    </w:p>
    <w:p>
      <w:pPr>
        <w:pStyle w:val="ListParagraph"/>
        <w:numPr>
          <w:ilvl w:val="0"/>
          <w:numId w:val="2"/>
        </w:numPr>
        <w:spacing w:after="80"/>
      </w:pPr>
      <w:r>
        <w:rPr>
          <w:color w:val="2D3748"/>
          <w:sz w:val="22"/>
          <w:szCs w:val="22"/>
        </w:rPr>
        <w:t xml:space="preserve">TailWag will include standard opt-out language in messages where required by carrier or regulatory guidelines</w:t>
      </w:r>
    </w:p>
    <w:p>
      <w:pPr>
        <w:pStyle w:val="ListParagraph"/>
        <w:numPr>
          <w:ilvl w:val="0"/>
          <w:numId w:val="2"/>
        </w:numPr>
        <w:spacing w:after="80"/>
      </w:pPr>
      <w:r>
        <w:rPr>
          <w:color w:val="2D3748"/>
          <w:sz w:val="22"/>
          <w:szCs w:val="22"/>
        </w:rPr>
        <w:t xml:space="preserve">If TailWag receives a complaint or legal inquiry related to messages sent on the Subscriber’s behalf, the Subscriber agrees to cooperate fully and provide documentation of consent</w:t>
      </w:r>
    </w:p>
    <w:p>
      <w:pPr>
        <w:pStyle w:val="ListParagraph"/>
        <w:numPr>
          <w:ilvl w:val="0"/>
          <w:numId w:val="2"/>
        </w:numPr>
        <w:spacing w:after="80"/>
      </w:pPr>
      <w:r>
        <w:rPr>
          <w:color w:val="2D3748"/>
          <w:sz w:val="22"/>
          <w:szCs w:val="22"/>
        </w:rPr>
        <w:t xml:space="preserve">The Subscriber agrees to indemnify and hold TailWag harmless from any claims, fines, or damages arising from the Subscriber’s failure to obtain or document proper consent</w:t>
      </w:r>
    </w:p>
    <w:p>
      <w:pPr>
        <w:spacing w:after="120" w:before="120"/>
      </w:pPr>
      <w:r>
        <w:rPr>
          <w:i/>
          <w:iCs/>
          <w:color w:val="2D3748"/>
          <w:sz w:val="21"/>
          <w:szCs w:val="21"/>
        </w:rPr>
        <w:t xml:space="preserve">TailWag will provide sample opt-in language and guidance during onboarding, but the Subscriber is ultimately responsible for compliance with all applicable federal, state, and local laws governing SMS communication.</w:t>
      </w:r>
    </w:p>
    <w:p>
      <w:pPr>
        <w:pStyle w:val="Heading2"/>
      </w:pPr>
      <w:r>
        <w:t xml:space="preserve">4. Billing &amp; Payment</w:t>
      </w:r>
    </w:p>
    <w:p>
      <w:pPr>
        <w:pStyle w:val="ListParagraph"/>
        <w:numPr>
          <w:ilvl w:val="0"/>
          <w:numId w:val="2"/>
        </w:numPr>
        <w:spacing w:after="80"/>
      </w:pPr>
      <w:r>
        <w:rPr>
          <w:color w:val="2D3748"/>
          <w:sz w:val="22"/>
          <w:szCs w:val="22"/>
        </w:rPr>
        <w:t xml:space="preserve">The Subscriber will be billed the Monthly Fee on a recurring monthly basis via Stripe</w:t>
      </w:r>
    </w:p>
    <w:p>
      <w:pPr>
        <w:pStyle w:val="ListParagraph"/>
        <w:numPr>
          <w:ilvl w:val="0"/>
          <w:numId w:val="2"/>
        </w:numPr>
        <w:spacing w:after="80"/>
      </w:pPr>
      <w:r>
        <w:rPr>
          <w:color w:val="2D3748"/>
          <w:sz w:val="22"/>
          <w:szCs w:val="22"/>
        </w:rPr>
        <w:t xml:space="preserve">Billing begins on the Effective Date, or at the end of any agreed-upon trial or launch period</w:t>
      </w:r>
    </w:p>
    <w:p>
      <w:pPr>
        <w:pStyle w:val="ListParagraph"/>
        <w:numPr>
          <w:ilvl w:val="0"/>
          <w:numId w:val="2"/>
        </w:numPr>
        <w:spacing w:after="80"/>
      </w:pPr>
      <w:r>
        <w:rPr>
          <w:color w:val="2D3748"/>
          <w:sz w:val="22"/>
          <w:szCs w:val="22"/>
        </w:rPr>
        <w:t xml:space="preserve">Payments are due automatically on the billing date each month</w:t>
      </w:r>
    </w:p>
    <w:p>
      <w:pPr>
        <w:pStyle w:val="ListParagraph"/>
        <w:numPr>
          <w:ilvl w:val="0"/>
          <w:numId w:val="2"/>
        </w:numPr>
        <w:spacing w:after="80"/>
      </w:pPr>
      <w:r>
        <w:rPr>
          <w:color w:val="2D3748"/>
          <w:sz w:val="22"/>
          <w:szCs w:val="22"/>
        </w:rPr>
        <w:t xml:space="preserve">If payment fails, TailWag will attempt to collect for up to 7 days before suspending service</w:t>
      </w:r>
    </w:p>
    <w:p>
      <w:pPr>
        <w:pStyle w:val="ListParagraph"/>
        <w:numPr>
          <w:ilvl w:val="0"/>
          <w:numId w:val="2"/>
        </w:numPr>
        <w:spacing w:after="80"/>
      </w:pPr>
      <w:r>
        <w:rPr>
          <w:color w:val="2D3748"/>
          <w:sz w:val="22"/>
          <w:szCs w:val="22"/>
        </w:rPr>
        <w:t xml:space="preserve">All fees are in U.S. dollars. TailWag does not currently charge setup fees, but reserves the right to introduce them for future add-on services with advance notice</w:t>
      </w:r>
    </w:p>
    <w:p>
      <w:pPr>
        <w:pStyle w:val="Heading2"/>
      </w:pPr>
      <w:r>
        <w:t xml:space="preserve">5. Founders Circle Pricing (If Applicable)</w:t>
      </w:r>
    </w:p>
    <w:p>
      <w:pPr>
        <w:spacing w:after="120"/>
      </w:pPr>
      <w:r>
        <w:t xml:space="preserve">If the Subscriber is enrolling under TailWag’s Founders Circle program:</w:t>
      </w:r>
    </w:p>
    <w:p>
      <w:pPr>
        <w:pStyle w:val="ListParagraph"/>
        <w:numPr>
          <w:ilvl w:val="0"/>
          <w:numId w:val="2"/>
        </w:numPr>
        <w:spacing w:after="80"/>
      </w:pPr>
      <w:r>
        <w:rPr>
          <w:color w:val="2D3748"/>
          <w:sz w:val="22"/>
          <w:szCs w:val="22"/>
        </w:rPr>
        <w:t xml:space="preserve">The Founders Circle monthly rate is locked for twelve (12) months from the billing start date</w:t>
      </w:r>
    </w:p>
    <w:p>
      <w:pPr>
        <w:pStyle w:val="ListParagraph"/>
        <w:numPr>
          <w:ilvl w:val="0"/>
          <w:numId w:val="2"/>
        </w:numPr>
        <w:spacing w:after="80"/>
      </w:pPr>
      <w:r>
        <w:rPr>
          <w:color w:val="2D3748"/>
          <w:sz w:val="22"/>
          <w:szCs w:val="22"/>
        </w:rPr>
        <w:t xml:space="preserve">After 12 months, TailWag may adjust pricing with at least 30 days’ written notice</w:t>
      </w:r>
    </w:p>
    <w:p>
      <w:pPr>
        <w:pStyle w:val="ListParagraph"/>
        <w:numPr>
          <w:ilvl w:val="0"/>
          <w:numId w:val="2"/>
        </w:numPr>
        <w:spacing w:after="80"/>
      </w:pPr>
      <w:r>
        <w:rPr>
          <w:color w:val="2D3748"/>
          <w:sz w:val="22"/>
          <w:szCs w:val="22"/>
        </w:rPr>
        <w:t xml:space="preserve">Any adjusted rate will not exceed TailWag’s then-current standard published pricing</w:t>
      </w:r>
    </w:p>
    <w:p>
      <w:pPr>
        <w:pStyle w:val="ListParagraph"/>
        <w:numPr>
          <w:ilvl w:val="0"/>
          <w:numId w:val="2"/>
        </w:numPr>
        <w:spacing w:after="80"/>
      </w:pPr>
      <w:r>
        <w:rPr>
          <w:color w:val="2D3748"/>
          <w:sz w:val="22"/>
          <w:szCs w:val="22"/>
        </w:rPr>
        <w:t xml:space="preserve">Founders Circle members receive priority access to new features and direct input into platform development</w:t>
      </w:r>
    </w:p>
    <w:p>
      <w:pPr>
        <w:pStyle w:val="Heading2"/>
      </w:pPr>
      <w:r>
        <w:t xml:space="preserve">6. Term &amp; Cancellation</w:t>
      </w:r>
    </w:p>
    <w:p>
      <w:pPr>
        <w:pStyle w:val="ListParagraph"/>
        <w:numPr>
          <w:ilvl w:val="0"/>
          <w:numId w:val="2"/>
        </w:numPr>
        <w:spacing w:after="80"/>
      </w:pPr>
      <w:r>
        <w:rPr>
          <w:color w:val="2D3748"/>
          <w:sz w:val="22"/>
          <w:szCs w:val="22"/>
        </w:rPr>
        <w:t xml:space="preserve">This agreement begins on the Effective Date and continues on a month-to-month basis</w:t>
      </w:r>
    </w:p>
    <w:p>
      <w:pPr>
        <w:pStyle w:val="ListParagraph"/>
        <w:numPr>
          <w:ilvl w:val="0"/>
          <w:numId w:val="2"/>
        </w:numPr>
        <w:spacing w:after="80"/>
      </w:pPr>
      <w:r>
        <w:rPr>
          <w:color w:val="2D3748"/>
          <w:sz w:val="22"/>
          <w:szCs w:val="22"/>
        </w:rPr>
        <w:t xml:space="preserve">Either party may cancel with 30 days’ written notice (email is sufficient)</w:t>
      </w:r>
    </w:p>
    <w:p>
      <w:pPr>
        <w:pStyle w:val="ListParagraph"/>
        <w:numPr>
          <w:ilvl w:val="0"/>
          <w:numId w:val="2"/>
        </w:numPr>
        <w:spacing w:after="80"/>
      </w:pPr>
      <w:r>
        <w:rPr>
          <w:color w:val="2D3748"/>
          <w:sz w:val="22"/>
          <w:szCs w:val="22"/>
        </w:rPr>
        <w:t xml:space="preserve">Upon cancellation, the Subscriber’s access to the platform will end at the close of the current billing cycle</w:t>
      </w:r>
    </w:p>
    <w:p>
      <w:pPr>
        <w:pStyle w:val="ListParagraph"/>
        <w:numPr>
          <w:ilvl w:val="0"/>
          <w:numId w:val="2"/>
        </w:numPr>
        <w:spacing w:after="80"/>
      </w:pPr>
      <w:r>
        <w:rPr>
          <w:color w:val="2D3748"/>
          <w:sz w:val="22"/>
          <w:szCs w:val="22"/>
        </w:rPr>
        <w:t xml:space="preserve">No refunds will be issued for partial months</w:t>
      </w:r>
    </w:p>
    <w:p>
      <w:pPr>
        <w:pStyle w:val="ListParagraph"/>
        <w:numPr>
          <w:ilvl w:val="0"/>
          <w:numId w:val="2"/>
        </w:numPr>
        <w:spacing w:after="80"/>
      </w:pPr>
      <w:r>
        <w:rPr>
          <w:color w:val="2D3748"/>
          <w:sz w:val="22"/>
          <w:szCs w:val="22"/>
        </w:rPr>
        <w:t xml:space="preserve">TailWag may suspend or terminate service immediately if the Subscriber violates Section 2 or Section 3 of this agreement</w:t>
      </w:r>
    </w:p>
    <w:p>
      <w:pPr>
        <w:pStyle w:val="Heading2"/>
      </w:pPr>
      <w:r>
        <w:t xml:space="preserve">7. Data &amp; Privacy</w:t>
      </w:r>
    </w:p>
    <w:p>
      <w:pPr>
        <w:pStyle w:val="ListParagraph"/>
        <w:numPr>
          <w:ilvl w:val="0"/>
          <w:numId w:val="2"/>
        </w:numPr>
        <w:spacing w:after="80"/>
      </w:pPr>
      <w:r>
        <w:rPr>
          <w:color w:val="2D3748"/>
          <w:sz w:val="22"/>
          <w:szCs w:val="22"/>
        </w:rPr>
        <w:t xml:space="preserve">TailWag will handle all client data (pet parent names, phone numbers, pet information) in accordance with applicable privacy laws</w:t>
      </w:r>
    </w:p>
    <w:p>
      <w:pPr>
        <w:pStyle w:val="ListParagraph"/>
        <w:numPr>
          <w:ilvl w:val="0"/>
          <w:numId w:val="2"/>
        </w:numPr>
        <w:spacing w:after="80"/>
      </w:pPr>
      <w:r>
        <w:rPr>
          <w:color w:val="2D3748"/>
          <w:sz w:val="22"/>
          <w:szCs w:val="22"/>
        </w:rPr>
        <w:t xml:space="preserve">TailWag will not sell, share, or use Subscriber client data for any purpose other than delivering the agreed-upon services</w:t>
      </w:r>
    </w:p>
    <w:p>
      <w:pPr>
        <w:pStyle w:val="ListParagraph"/>
        <w:numPr>
          <w:ilvl w:val="0"/>
          <w:numId w:val="2"/>
        </w:numPr>
        <w:spacing w:after="80"/>
      </w:pPr>
      <w:r>
        <w:rPr>
          <w:color w:val="2D3748"/>
          <w:sz w:val="22"/>
          <w:szCs w:val="22"/>
        </w:rPr>
        <w:t xml:space="preserve">Upon termination, the Subscriber may request deletion of their client data within 30 days. After that period, TailWag will delete stored client data</w:t>
      </w:r>
    </w:p>
    <w:p>
      <w:pPr>
        <w:pStyle w:val="ListParagraph"/>
        <w:numPr>
          <w:ilvl w:val="0"/>
          <w:numId w:val="2"/>
        </w:numPr>
        <w:spacing w:after="80"/>
      </w:pPr>
      <w:r>
        <w:rPr>
          <w:color w:val="2D3748"/>
          <w:sz w:val="22"/>
          <w:szCs w:val="22"/>
        </w:rPr>
        <w:t xml:space="preserve">TailWag uses Twilio for SMS delivery and Supabase for data storage. These third-party services have their own security and privacy policies</w:t>
      </w:r>
    </w:p>
    <w:p>
      <w:pPr>
        <w:pStyle w:val="Heading2"/>
      </w:pPr>
      <w:r>
        <w:t xml:space="preserve">8. Limitation of Liability</w:t>
      </w:r>
    </w:p>
    <w:p>
      <w:pPr>
        <w:pStyle w:val="ListParagraph"/>
        <w:numPr>
          <w:ilvl w:val="0"/>
          <w:numId w:val="2"/>
        </w:numPr>
        <w:spacing w:after="80"/>
      </w:pPr>
      <w:r>
        <w:rPr>
          <w:color w:val="2D3748"/>
          <w:sz w:val="22"/>
          <w:szCs w:val="22"/>
        </w:rPr>
        <w:t xml:space="preserve">TailWag provides a communication platform. It does not provide veterinary, training, behavioral, or professional pet care advice</w:t>
      </w:r>
    </w:p>
    <w:p>
      <w:pPr>
        <w:pStyle w:val="ListParagraph"/>
        <w:numPr>
          <w:ilvl w:val="0"/>
          <w:numId w:val="2"/>
        </w:numPr>
        <w:spacing w:after="80"/>
      </w:pPr>
      <w:r>
        <w:rPr>
          <w:color w:val="2D3748"/>
          <w:sz w:val="22"/>
          <w:szCs w:val="22"/>
        </w:rPr>
        <w:t xml:space="preserve">TailWag is not liable for the content of AI-generated messages beyond making reasonable efforts to ensure accuracy and appropriateness</w:t>
      </w:r>
    </w:p>
    <w:p>
      <w:pPr>
        <w:pStyle w:val="ListParagraph"/>
        <w:numPr>
          <w:ilvl w:val="0"/>
          <w:numId w:val="2"/>
        </w:numPr>
        <w:spacing w:after="80"/>
      </w:pPr>
      <w:r>
        <w:rPr>
          <w:color w:val="2D3748"/>
          <w:sz w:val="22"/>
          <w:szCs w:val="22"/>
        </w:rPr>
        <w:t xml:space="preserve">The Subscriber is responsible for reviewing and addressing any client concerns that arise from platform communications</w:t>
      </w:r>
    </w:p>
    <w:p>
      <w:pPr>
        <w:pStyle w:val="ListParagraph"/>
        <w:numPr>
          <w:ilvl w:val="0"/>
          <w:numId w:val="2"/>
        </w:numPr>
        <w:spacing w:after="80"/>
      </w:pPr>
      <w:r>
        <w:rPr>
          <w:color w:val="2D3748"/>
          <w:sz w:val="22"/>
          <w:szCs w:val="22"/>
        </w:rPr>
        <w:t xml:space="preserve">TailWag’s total liability under this agreement shall not exceed the total fees paid by the Subscriber in the three (3) months preceding any claim</w:t>
      </w:r>
    </w:p>
    <w:p>
      <w:pPr>
        <w:pStyle w:val="ListParagraph"/>
        <w:numPr>
          <w:ilvl w:val="0"/>
          <w:numId w:val="2"/>
        </w:numPr>
        <w:spacing w:after="80"/>
      </w:pPr>
      <w:r>
        <w:rPr>
          <w:color w:val="2D3748"/>
          <w:sz w:val="22"/>
          <w:szCs w:val="22"/>
        </w:rPr>
        <w:t xml:space="preserve">TailWag does not guarantee specific business outcomes (e.g., a certain number of reviews, revenue increase, or client retention rate)</w:t>
      </w:r>
    </w:p>
    <w:p>
      <w:pPr>
        <w:pStyle w:val="Heading2"/>
      </w:pPr>
      <w:r>
        <w:t xml:space="preserve">9. Service Availability</w:t>
      </w:r>
    </w:p>
    <w:p>
      <w:pPr>
        <w:pStyle w:val="ListParagraph"/>
        <w:numPr>
          <w:ilvl w:val="0"/>
          <w:numId w:val="2"/>
        </w:numPr>
        <w:spacing w:after="80"/>
      </w:pPr>
      <w:r>
        <w:rPr>
          <w:color w:val="2D3748"/>
          <w:sz w:val="22"/>
          <w:szCs w:val="22"/>
        </w:rPr>
        <w:t xml:space="preserve">TailWag will make reasonable efforts to maintain platform uptime and reliability</w:t>
      </w:r>
    </w:p>
    <w:p>
      <w:pPr>
        <w:pStyle w:val="ListParagraph"/>
        <w:numPr>
          <w:ilvl w:val="0"/>
          <w:numId w:val="2"/>
        </w:numPr>
        <w:spacing w:after="80"/>
      </w:pPr>
      <w:r>
        <w:rPr>
          <w:color w:val="2D3748"/>
          <w:sz w:val="22"/>
          <w:szCs w:val="22"/>
        </w:rPr>
        <w:t xml:space="preserve">Scheduled maintenance or updates will be communicated in advance when possible</w:t>
      </w:r>
    </w:p>
    <w:p>
      <w:pPr>
        <w:pStyle w:val="ListParagraph"/>
        <w:numPr>
          <w:ilvl w:val="0"/>
          <w:numId w:val="2"/>
        </w:numPr>
        <w:spacing w:after="80"/>
      </w:pPr>
      <w:r>
        <w:rPr>
          <w:color w:val="2D3748"/>
          <w:sz w:val="22"/>
          <w:szCs w:val="22"/>
        </w:rPr>
        <w:t xml:space="preserve">TailWag is not liable for service interruptions caused by third-party providers (Twilio, hosting services), internet outages, or circumstances beyond its reasonable control</w:t>
      </w:r>
    </w:p>
    <w:p>
      <w:pPr>
        <w:pStyle w:val="Heading2"/>
      </w:pPr>
      <w:r>
        <w:t xml:space="preserve">10. Changes to This Agreement</w:t>
      </w:r>
    </w:p>
    <w:p>
      <w:pPr>
        <w:spacing w:after="120"/>
      </w:pPr>
      <w:r>
        <w:t xml:space="preserve">TailWag may update the terms of this agreement with at least 30 days’ written notice. Continued use of the platform after changes take effect constitutes acceptance. If the Subscriber does not agree with changes, they may cancel under Section 6.</w:t>
      </w:r>
    </w:p>
    <w:p>
      <w:pPr>
        <w:pStyle w:val="Heading2"/>
      </w:pPr>
      <w:r>
        <w:t xml:space="preserve">11. Governing Law</w:t>
      </w:r>
    </w:p>
    <w:p>
      <w:pPr>
        <w:spacing w:after="120"/>
      </w:pPr>
      <w:r>
        <w:t xml:space="preserve">This agreement shall be governed by the laws of the State of Texas. Any disputes will be resolved in the courts of Dallas County, Texas.</w:t>
      </w:r>
    </w:p>
    <w:p>
      <w:pPr>
        <w:pStyle w:val="Heading2"/>
      </w:pPr>
      <w:r>
        <w:t xml:space="preserve">12. Entire Agreement</w:t>
      </w:r>
    </w:p>
    <w:p>
      <w:pPr>
        <w:spacing w:after="200"/>
      </w:pPr>
      <w:r>
        <w:t xml:space="preserve">This document represents the entire agreement between TailWag and the Subscriber regarding the services described. It supersedes any prior verbal or written agreements. Any amendments must be made in writing and agreed to by both parties.</w:t>
      </w:r>
    </w:p>
    <w:p>
      <w:r>
        <w:br w:type="page"/>
      </w:r>
    </w:p>
    <w:p>
      <w:pPr>
        <w:pStyle w:val="Heading2"/>
        <w:spacing w:after="300" w:before="200"/>
      </w:pPr>
      <w:r>
        <w:t xml:space="preserve">Signatures</w:t>
      </w:r>
    </w:p>
    <w:p>
      <w:pPr>
        <w:spacing w:after="60"/>
      </w:pPr>
      <w:r>
        <w:rPr>
          <w:b/>
          <w:bCs/>
          <w:color w:val="1E6B4A"/>
          <w:sz w:val="22"/>
          <w:szCs w:val="22"/>
        </w:rPr>
        <w:t xml:space="preserve">PROVIDER — TailWag</w:t>
      </w:r>
    </w:p>
    <w:p>
      <w:pPr>
        <w:spacing w:after="20"/>
      </w:pPr>
    </w:p>
    <w:p>
      <w:pPr>
        <w:pBdr>
          <w:bottom w:val="single" w:color="999999" w:sz="2" w:space="1"/>
        </w:pBdr>
        <w:spacing w:after="60"/>
      </w:pPr>
      <w:r>
        <w:rPr>
          <w:sz w:val="22"/>
          <w:szCs w:val="22"/>
        </w:rPr>
        <w:t xml:space="preserve"> </w:t>
      </w:r>
    </w:p>
    <w:p>
      <w:pPr>
        <w:spacing w:after="20"/>
      </w:pPr>
      <w:r>
        <w:rPr>
          <w:i/>
          <w:iCs/>
          <w:color w:val="999999"/>
          <w:sz w:val="18"/>
          <w:szCs w:val="18"/>
        </w:rPr>
        <w:t xml:space="preserve">Signature</w:t>
      </w:r>
    </w:p>
    <w:p>
      <w:pPr>
        <w:spacing w:after="20"/>
      </w:pPr>
    </w:p>
    <w:p>
      <w:pPr>
        <w:pBdr>
          <w:bottom w:val="single" w:color="999999" w:sz="2" w:space="1"/>
        </w:pBdr>
        <w:spacing w:after="60"/>
      </w:pPr>
      <w:r>
        <w:rPr>
          <w:sz w:val="22"/>
          <w:szCs w:val="22"/>
        </w:rPr>
        <w:t xml:space="preserve"> </w:t>
      </w:r>
    </w:p>
    <w:p>
      <w:pPr>
        <w:spacing w:after="20"/>
      </w:pPr>
      <w:r>
        <w:rPr>
          <w:i/>
          <w:iCs/>
          <w:color w:val="999999"/>
          <w:sz w:val="18"/>
          <w:szCs w:val="18"/>
        </w:rPr>
        <w:t xml:space="preserve">Printed Name</w:t>
      </w:r>
    </w:p>
    <w:p>
      <w:pPr>
        <w:spacing w:after="20"/>
      </w:pPr>
    </w:p>
    <w:p>
      <w:pPr>
        <w:pBdr>
          <w:bottom w:val="single" w:color="999999" w:sz="2" w:space="1"/>
        </w:pBdr>
        <w:spacing w:after="60"/>
      </w:pPr>
      <w:r>
        <w:rPr>
          <w:sz w:val="22"/>
          <w:szCs w:val="22"/>
        </w:rPr>
        <w:t xml:space="preserve"> </w:t>
      </w:r>
    </w:p>
    <w:p>
      <w:pPr>
        <w:spacing w:after="300"/>
      </w:pPr>
      <w:r>
        <w:rPr>
          <w:i/>
          <w:iCs/>
          <w:color w:val="999999"/>
          <w:sz w:val="18"/>
          <w:szCs w:val="18"/>
        </w:rPr>
        <w:t xml:space="preserve">Date</w:t>
      </w:r>
    </w:p>
    <w:p>
      <w:pPr>
        <w:spacing w:after="60"/>
      </w:pPr>
      <w:r>
        <w:rPr>
          <w:b/>
          <w:bCs/>
          <w:color w:val="1E6B4A"/>
          <w:sz w:val="22"/>
          <w:szCs w:val="22"/>
        </w:rPr>
        <w:t xml:space="preserve">SUBSCRIBER</w:t>
      </w:r>
    </w:p>
    <w:p>
      <w:pPr>
        <w:spacing w:after="20"/>
      </w:pPr>
    </w:p>
    <w:p>
      <w:pPr>
        <w:pBdr>
          <w:bottom w:val="single" w:color="999999" w:sz="2" w:space="1"/>
        </w:pBdr>
        <w:spacing w:after="60"/>
      </w:pPr>
      <w:r>
        <w:rPr>
          <w:sz w:val="22"/>
          <w:szCs w:val="22"/>
        </w:rPr>
        <w:t xml:space="preserve"> </w:t>
      </w:r>
    </w:p>
    <w:p>
      <w:pPr>
        <w:spacing w:after="20"/>
      </w:pPr>
      <w:r>
        <w:rPr>
          <w:i/>
          <w:iCs/>
          <w:color w:val="999999"/>
          <w:sz w:val="18"/>
          <w:szCs w:val="18"/>
        </w:rPr>
        <w:t xml:space="preserve">Signature</w:t>
      </w:r>
    </w:p>
    <w:p>
      <w:pPr>
        <w:spacing w:after="20"/>
      </w:pPr>
    </w:p>
    <w:p>
      <w:pPr>
        <w:pBdr>
          <w:bottom w:val="single" w:color="999999" w:sz="2" w:space="1"/>
        </w:pBdr>
        <w:spacing w:after="60"/>
      </w:pPr>
      <w:r>
        <w:rPr>
          <w:sz w:val="22"/>
          <w:szCs w:val="22"/>
        </w:rPr>
        <w:t xml:space="preserve"> </w:t>
      </w:r>
    </w:p>
    <w:p>
      <w:pPr>
        <w:spacing w:after="20"/>
      </w:pPr>
      <w:r>
        <w:rPr>
          <w:i/>
          <w:iCs/>
          <w:color w:val="999999"/>
          <w:sz w:val="18"/>
          <w:szCs w:val="18"/>
        </w:rPr>
        <w:t xml:space="preserve">Printed Name &amp; Title</w:t>
      </w:r>
    </w:p>
    <w:p>
      <w:pPr>
        <w:spacing w:after="20"/>
      </w:pPr>
    </w:p>
    <w:p>
      <w:pPr>
        <w:pBdr>
          <w:bottom w:val="single" w:color="999999" w:sz="2" w:space="1"/>
        </w:pBdr>
        <w:spacing w:after="60"/>
      </w:pPr>
      <w:r>
        <w:rPr>
          <w:sz w:val="22"/>
          <w:szCs w:val="22"/>
        </w:rPr>
        <w:t xml:space="preserve"> </w:t>
      </w:r>
    </w:p>
    <w:p>
      <w:pPr>
        <w:spacing w:after="20"/>
      </w:pPr>
      <w:r>
        <w:rPr>
          <w:i/>
          <w:iCs/>
          <w:color w:val="999999"/>
          <w:sz w:val="18"/>
          <w:szCs w:val="18"/>
        </w:rPr>
        <w:t xml:space="preserve">Business Name</w:t>
      </w:r>
    </w:p>
    <w:p>
      <w:pPr>
        <w:spacing w:after="20"/>
      </w:pPr>
    </w:p>
    <w:p>
      <w:pPr>
        <w:pBdr>
          <w:bottom w:val="single" w:color="999999" w:sz="2" w:space="1"/>
        </w:pBdr>
        <w:spacing w:after="60"/>
      </w:pPr>
      <w:r>
        <w:rPr>
          <w:sz w:val="22"/>
          <w:szCs w:val="22"/>
        </w:rPr>
        <w:t xml:space="preserve"> </w:t>
      </w:r>
    </w:p>
    <w:p>
      <w:pPr>
        <w:spacing w:after="200"/>
      </w:pPr>
      <w:r>
        <w:rPr>
          <w:i/>
          <w:iCs/>
          <w:color w:val="999999"/>
          <w:sz w:val="18"/>
          <w:szCs w:val="18"/>
        </w:rPr>
        <w:t xml:space="preserve">Date</w:t>
      </w:r>
    </w:p>
    <w:p>
      <w:pPr>
        <w:shd w:fill="F5F0E8" w:val="clear"/>
        <w:spacing w:before="400"/>
        <w:jc w:val="center"/>
      </w:pPr>
      <w:r>
        <w:rPr>
          <w:i/>
          <w:iCs/>
          <w:color w:val="2D3748"/>
          <w:sz w:val="20"/>
          <w:szCs w:val="20"/>
        </w:rPr>
        <w:t xml:space="preserve">Questions? Reach out to Summer at </w:t>
      </w:r>
      <w:r>
        <w:rPr>
          <w:i/>
          <w:iCs/>
          <w:color w:val="1E6B4A"/>
          <w:sz w:val="20"/>
          <w:szCs w:val="20"/>
        </w:rPr>
        <w:t xml:space="preserve">summer@usetailwag.com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8"/>
      </w:pBdr>
      <w:jc w:val="center"/>
    </w:pPr>
    <w:r>
      <w:rPr>
        <w:rFonts w:ascii="Inter" w:cs="Inter" w:eastAsia="Inter" w:hAnsi="Inter"/>
        <w:i/>
        <w:iCs/>
        <w:color w:val="2D3748"/>
        <w:sz w:val="16"/>
        <w:szCs w:val="16"/>
      </w:rPr>
      <w:t xml:space="preserve">TailWag — Built for dog people by dog people.</w:t>
    </w:r>
    <w:r>
      <w:rPr>
        <w:rFonts w:ascii="Inter" w:cs="Inter" w:eastAsia="Inter" w:hAnsi="Inter"/>
        <w:color w:val="2D3748"/>
        <w:sz w:val="16"/>
        <w:szCs w:val="16"/>
      </w:rPr>
      <w:t xml:space="preserve">  |  Page </w:t>
    </w:r>
    <w:r>
      <w:rPr>
        <w:rFonts w:ascii="Inter" w:cs="Inter" w:eastAsia="Inter" w:hAnsi="Inter"/>
        <w:color w:val="2D374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B4A" w:sz="6" w:space="8"/>
      </w:pBdr>
      <w:spacing w:after="120"/>
    </w:pPr>
    <w:r>
      <w:rPr>
        <w:rFonts w:ascii="Arial" w:cs="Arial" w:eastAsia="Arial" w:hAnsi="Arial"/>
        <w:b/>
        <w:bCs/>
        <w:color w:val="1E6B4A"/>
        <w:sz w:val="24"/>
        <w:szCs w:val="24"/>
      </w:rPr>
      <w:t xml:space="preserve">TailWag</w:t>
    </w:r>
    <w:r>
      <w:rPr>
        <w:rFonts w:ascii="Inter" w:cs="Inter" w:eastAsia="Inter" w:hAnsi="Inter"/>
        <w:color w:val="2D3748"/>
        <w:sz w:val="18"/>
        <w:szCs w:val="18"/>
      </w:rPr>
      <w:t xml:space="preserve">  |  Subscription Service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6B4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F14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2026-03-30T01:35:30.455Z</dcterms:created>
  <dcterms:modified xsi:type="dcterms:W3CDTF">2026-03-30T01:35:30.465Z</dcterms:modified>
</cp:coreProperties>
</file>

<file path=docProps/custom.xml><?xml version="1.0" encoding="utf-8"?>
<Properties xmlns="http://schemas.openxmlformats.org/officeDocument/2006/custom-properties" xmlns:vt="http://schemas.openxmlformats.org/officeDocument/2006/docPropsVTypes"/>
</file>