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80" w:before="0"/>
      </w:pPr>
      <w:r>
        <w:rPr>
          <w:rFonts w:ascii="Arial" w:cs="Arial" w:eastAsia="Arial" w:hAnsi="Arial"/>
          <w:b/>
          <w:bCs/>
          <w:color w:val="2563EB"/>
          <w:spacing w:val="60"/>
          <w:sz w:val="20"/>
          <w:szCs w:val="20"/>
        </w:rPr>
        <w:t xml:space="preserve">SIERRA WARREN DEVELOPMENTS, LLC</w:t>
      </w:r>
    </w:p>
    <w:p>
      <w:pPr>
        <w:spacing w:after="200" w:before="0"/>
      </w:pPr>
      <w:r>
        <w:rPr>
          <w:rFonts w:ascii="Arial" w:cs="Arial" w:eastAsia="Arial" w:hAnsi="Arial"/>
          <w:i/>
          <w:iCs/>
          <w:color w:val="94A3B8"/>
          <w:sz w:val="20"/>
          <w:szCs w:val="20"/>
        </w:rPr>
        <w:t xml:space="preserve">Technical Architecture Document</w:t>
      </w:r>
    </w:p>
    <w:p>
      <w:pPr>
        <w:spacing w:after="120" w:before="0"/>
      </w:pPr>
      <w:r>
        <w:rPr>
          <w:rFonts w:ascii="Arial" w:cs="Arial" w:eastAsia="Arial" w:hAnsi="Arial"/>
          <w:b/>
          <w:bCs/>
          <w:color w:val="0A1628"/>
          <w:sz w:val="52"/>
          <w:szCs w:val="52"/>
        </w:rPr>
        <w:t xml:space="preserve">Market Pressure Intelligence Engine</w:t>
      </w:r>
    </w:p>
    <w:p>
      <w:pPr>
        <w:spacing w:after="80" w:before="0"/>
      </w:pPr>
      <w:r>
        <w:rPr>
          <w:rFonts w:ascii="Arial" w:cs="Arial" w:eastAsia="Arial" w:hAnsi="Arial"/>
          <w:b/>
          <w:bCs/>
          <w:color w:val="2563EB"/>
          <w:sz w:val="40"/>
          <w:szCs w:val="40"/>
        </w:rPr>
        <w:t xml:space="preserve">MPIE</w:t>
      </w:r>
    </w:p>
    <w:p>
      <w:pPr>
        <w:spacing w:after="400" w:before="0"/>
      </w:pPr>
      <w:r>
        <w:rPr>
          <w:rFonts w:ascii="Arial" w:cs="Arial" w:eastAsia="Arial" w:hAnsi="Arial"/>
          <w:i/>
          <w:iCs/>
          <w:color w:val="1A3A6B"/>
          <w:sz w:val="28"/>
          <w:szCs w:val="28"/>
        </w:rPr>
        <w:t xml:space="preserve">Predictive Pressure Modeling for Sports Markets</w:t>
      </w:r>
    </w:p>
    <w:p>
      <w:pPr>
        <w:spacing w:after="200" w:before="0"/>
      </w:pPr>
    </w:p>
    <w:p>
      <w:pPr>
        <w:spacing w:after="120" w:before="0"/>
      </w:pPr>
    </w:p>
    <w:p>
      <w:pPr>
        <w:spacing w:after="60" w:before="0"/>
      </w:pPr>
      <w:r>
        <w:rPr>
          <w:rFonts w:ascii="Arial" w:cs="Arial" w:eastAsia="Arial" w:hAnsi="Arial"/>
          <w:b/>
          <w:bCs/>
          <w:color w:val="0A1628"/>
          <w:sz w:val="20"/>
          <w:szCs w:val="20"/>
        </w:rPr>
        <w:t xml:space="preserve">Authored by: </w:t>
      </w:r>
      <w:r>
        <w:rPr>
          <w:rFonts w:ascii="Arial" w:cs="Arial" w:eastAsia="Arial" w:hAnsi="Arial"/>
          <w:color w:val="0A1628"/>
          <w:sz w:val="20"/>
          <w:szCs w:val="20"/>
        </w:rPr>
        <w:t xml:space="preserve">Sierra N. Warren, M.Eng.</w:t>
      </w:r>
    </w:p>
    <w:p>
      <w:pPr>
        <w:spacing w:after="60" w:before="0"/>
      </w:pPr>
      <w:r>
        <w:rPr>
          <w:rFonts w:ascii="Arial" w:cs="Arial" w:eastAsia="Arial" w:hAnsi="Arial"/>
          <w:b/>
          <w:bCs/>
          <w:color w:val="0A1628"/>
          <w:sz w:val="20"/>
          <w:szCs w:val="20"/>
        </w:rPr>
        <w:t xml:space="preserve">Organization: </w:t>
      </w:r>
      <w:r>
        <w:rPr>
          <w:rFonts w:ascii="Arial" w:cs="Arial" w:eastAsia="Arial" w:hAnsi="Arial"/>
          <w:color w:val="0A1628"/>
          <w:sz w:val="20"/>
          <w:szCs w:val="20"/>
        </w:rPr>
        <w:t xml:space="preserve">Sierra Warren Developments, LLC</w:t>
      </w:r>
    </w:p>
    <w:p>
      <w:pPr>
        <w:spacing w:after="60" w:before="0"/>
      </w:pPr>
      <w:r>
        <w:rPr>
          <w:rFonts w:ascii="Arial" w:cs="Arial" w:eastAsia="Arial" w:hAnsi="Arial"/>
          <w:b/>
          <w:bCs/>
          <w:color w:val="0A1628"/>
          <w:sz w:val="20"/>
          <w:szCs w:val="20"/>
        </w:rPr>
        <w:t xml:space="preserve">Framework Origin: </w:t>
      </w:r>
      <w:r>
        <w:rPr>
          <w:rFonts w:ascii="Arial" w:cs="Arial" w:eastAsia="Arial" w:hAnsi="Arial"/>
          <w:color w:val="0A1628"/>
          <w:sz w:val="20"/>
          <w:szCs w:val="20"/>
        </w:rPr>
        <w:t xml:space="preserve">NBA Playoff Pressure Index (NBAPPI)</w:t>
      </w:r>
    </w:p>
    <w:p>
      <w:pPr>
        <w:spacing w:after="60" w:before="0"/>
      </w:pPr>
      <w:r>
        <w:rPr>
          <w:rFonts w:ascii="Arial" w:cs="Arial" w:eastAsia="Arial" w:hAnsi="Arial"/>
          <w:b/>
          <w:bCs/>
          <w:color w:val="0A1628"/>
          <w:sz w:val="20"/>
          <w:szCs w:val="20"/>
        </w:rPr>
        <w:t xml:space="preserve">Status: </w:t>
      </w:r>
      <w:r>
        <w:rPr>
          <w:rFonts w:ascii="Arial" w:cs="Arial" w:eastAsia="Arial" w:hAnsi="Arial"/>
          <w:color w:val="0A1628"/>
          <w:sz w:val="20"/>
          <w:szCs w:val="20"/>
        </w:rPr>
        <w:t xml:space="preserve">Active Development | Proprietary &amp; Confidential</w:t>
      </w:r>
    </w:p>
    <w:p>
      <w:pPr>
        <w:spacing w:after="60" w:before="0"/>
      </w:pPr>
      <w:r>
        <w:rPr>
          <w:rFonts w:ascii="Arial" w:cs="Arial" w:eastAsia="Arial" w:hAnsi="Arial"/>
          <w:b/>
          <w:bCs/>
          <w:color w:val="0A1628"/>
          <w:sz w:val="20"/>
          <w:szCs w:val="20"/>
        </w:rPr>
        <w:t xml:space="preserve">Document Version: </w:t>
      </w:r>
      <w:r>
        <w:rPr>
          <w:rFonts w:ascii="Arial" w:cs="Arial" w:eastAsia="Arial" w:hAnsi="Arial"/>
          <w:color w:val="0A1628"/>
          <w:sz w:val="20"/>
          <w:szCs w:val="20"/>
        </w:rPr>
        <w:t xml:space="preserve">1.0 — June 2026</w:t>
      </w:r>
    </w:p>
    <w:p>
      <w:pPr>
        <w:spacing w:after="800" w:before="0"/>
      </w:pPr>
    </w:p>
    <w:p>
      <w:r>
        <w:br w:type="page"/>
      </w:r>
    </w:p>
    <w:p>
      <w:pPr>
        <w:pStyle w:val="Heading1"/>
        <w:spacing w:after="120" w:before="400"/>
      </w:pPr>
      <w:r>
        <w:rPr>
          <w:rFonts w:ascii="Arial" w:cs="Arial" w:eastAsia="Arial" w:hAnsi="Arial"/>
          <w:b/>
          <w:bCs/>
          <w:color w:val="0A1628"/>
          <w:sz w:val="32"/>
          <w:szCs w:val="32"/>
        </w:rPr>
        <w:t xml:space="preserve">1. Executive Summary</w:t>
      </w:r>
    </w:p>
    <w:p>
      <w:pPr>
        <w:spacing w:after="200" w:before="0"/>
      </w:pPr>
    </w:p>
    <w:p>
      <w:pPr>
        <w:spacing w:after="80" w:before="0"/>
      </w:pPr>
    </w:p>
    <w:p>
      <w:pPr>
        <w:spacing w:after="100" w:before="80"/>
      </w:pPr>
      <w:r>
        <w:rPr>
          <w:rFonts w:ascii="Arial" w:cs="Arial" w:eastAsia="Arial" w:hAnsi="Arial"/>
          <w:color w:val="0A1628"/>
          <w:sz w:val="22"/>
          <w:szCs w:val="22"/>
        </w:rPr>
        <w:t xml:space="preserve">The Market Pressure Intelligence Engine (MPIE) is a proprietary predictive modeling system developed by Sierra Warren Developments, LLC, designed to forecast sports market outcomes by quantifying pressure as a primary analytical variable. MPIE extends beyond conventional statistical approaches by modeling the compounding situational, psychological, and contextual forces that determine performance in high-stakes competitive environments.</w:t>
      </w:r>
    </w:p>
    <w:p>
      <w:pPr>
        <w:spacing w:after="100" w:before="0"/>
      </w:pPr>
    </w:p>
    <w:p>
      <w:pPr>
        <w:spacing w:after="100" w:before="80"/>
      </w:pPr>
      <w:r>
        <w:rPr>
          <w:rFonts w:ascii="Arial" w:cs="Arial" w:eastAsia="Arial" w:hAnsi="Arial"/>
          <w:color w:val="0A1628"/>
          <w:sz w:val="22"/>
          <w:szCs w:val="22"/>
        </w:rPr>
        <w:t xml:space="preserve">MPIE originates from the NBA Playoff Pressure Index (NBAPPI) framework — a Sierra Warren Developments methodology for measuring the differential impact of postseason pressure on player and team performance relative to regular-season baselines. The MPIE generalizes this framework into a deployable, production-grade prediction and analytics infrastructure applicable across multiple sports markets.</w:t>
      </w:r>
    </w:p>
    <w:p>
      <w:pPr>
        <w:spacing w:after="100" w:before="0"/>
      </w:pPr>
    </w:p>
    <w:p>
      <w:pPr>
        <w:spacing w:after="100" w:before="80"/>
      </w:pPr>
      <w:r>
        <w:rPr>
          <w:rFonts w:ascii="Arial" w:cs="Arial" w:eastAsia="Arial" w:hAnsi="Arial"/>
          <w:color w:val="0A1628"/>
          <w:sz w:val="22"/>
          <w:szCs w:val="22"/>
        </w:rPr>
        <w:t xml:space="preserve">The system is engineered on a full production stack encompassing machine learning (scikit-learn, PyTorch), API infrastructure (FastAPI), distributed caching (Redis), and container orchestration (Kubernetes) — built for scale, reliability, and institutional deployment.</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THESIS</w:t>
            </w:r>
          </w:p>
        </w:tc>
        <w:tc>
          <w:tcPr>
            <w:tcW w:type="dxa" w:w="8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i/>
                <w:iCs/>
                <w:color w:val="0A1628"/>
                <w:sz w:val="21"/>
                <w:szCs w:val="21"/>
              </w:rPr>
              <w:t xml:space="preserve">Pressure is not noise — it is signal. Standard sports models treat psychological and situational load as variance to be filtered. MPIE treats it as a primary predictive feature class with measurable, computable structure.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FF6FF" w:val="clear"/>
            <w:tcMar>
              <w:top w:type="dxa" w:w="200"/>
              <w:left w:type="dxa" w:w="180"/>
              <w:bottom w:type="dxa" w:w="200"/>
              <w:right w:type="dxa" w:w="180"/>
            </w:tcMar>
          </w:tcPr>
          <w:p>
            <w:pPr>
              <w:jc w:val="center"/>
            </w:pPr>
            <w:r>
              <w:rPr>
                <w:rFonts w:ascii="Arial" w:cs="Arial" w:eastAsia="Arial" w:hAnsi="Arial"/>
                <w:b/>
                <w:bCs/>
                <w:color w:val="2563EB"/>
                <w:sz w:val="28"/>
                <w:szCs w:val="28"/>
              </w:rPr>
              <w:t xml:space="preserve">Multi-Class</w:t>
            </w:r>
          </w:p>
          <w:p>
            <w:pPr>
              <w:spacing w:before="80"/>
              <w:jc w:val="center"/>
            </w:pPr>
            <w:r>
              <w:rPr>
                <w:rFonts w:ascii="Arial" w:cs="Arial" w:eastAsia="Arial" w:hAnsi="Arial"/>
                <w:color w:val="334155"/>
                <w:sz w:val="18"/>
                <w:szCs w:val="18"/>
              </w:rPr>
              <w:t xml:space="preserve">Pressure-Indexed
Feature Classes</w:t>
            </w:r>
          </w:p>
        </w:tc>
        <w:tc>
          <w:tcPr>
            <w:tcW w:type="dxa" w:w="3120"/>
            <w:tcBorders>
              <w:top w:val="single" w:color="CBD5E1" w:sz="1"/>
              <w:left w:val="single" w:color="CBD5E1" w:sz="1"/>
              <w:bottom w:val="single" w:color="CBD5E1" w:sz="1"/>
              <w:right w:val="single" w:color="CBD5E1" w:sz="1"/>
            </w:tcBorders>
            <w:shd w:fill="EFF6FF" w:val="clear"/>
            <w:tcMar>
              <w:top w:type="dxa" w:w="200"/>
              <w:left w:type="dxa" w:w="180"/>
              <w:bottom w:type="dxa" w:w="200"/>
              <w:right w:type="dxa" w:w="180"/>
            </w:tcMar>
          </w:tcPr>
          <w:p>
            <w:pPr>
              <w:jc w:val="center"/>
            </w:pPr>
            <w:r>
              <w:rPr>
                <w:rFonts w:ascii="Arial" w:cs="Arial" w:eastAsia="Arial" w:hAnsi="Arial"/>
                <w:b/>
                <w:bCs/>
                <w:color w:val="2563EB"/>
                <w:sz w:val="28"/>
                <w:szCs w:val="28"/>
              </w:rPr>
              <w:t xml:space="preserve">Dual-Engine</w:t>
            </w:r>
          </w:p>
          <w:p>
            <w:pPr>
              <w:spacing w:before="80"/>
              <w:jc w:val="center"/>
            </w:pPr>
            <w:r>
              <w:rPr>
                <w:rFonts w:ascii="Arial" w:cs="Arial" w:eastAsia="Arial" w:hAnsi="Arial"/>
                <w:color w:val="334155"/>
                <w:sz w:val="18"/>
                <w:szCs w:val="18"/>
              </w:rPr>
              <w:t xml:space="preserve">ML Model
Architecture Layers</w:t>
            </w:r>
          </w:p>
        </w:tc>
        <w:tc>
          <w:tcPr>
            <w:tcW w:type="dxa" w:w="3120"/>
            <w:tcBorders>
              <w:top w:val="single" w:color="CBD5E1" w:sz="1"/>
              <w:left w:val="single" w:color="CBD5E1" w:sz="1"/>
              <w:bottom w:val="single" w:color="CBD5E1" w:sz="1"/>
              <w:right w:val="single" w:color="CBD5E1" w:sz="1"/>
            </w:tcBorders>
            <w:shd w:fill="EFF6FF" w:val="clear"/>
            <w:tcMar>
              <w:top w:type="dxa" w:w="200"/>
              <w:left w:type="dxa" w:w="180"/>
              <w:bottom w:type="dxa" w:w="200"/>
              <w:right w:type="dxa" w:w="180"/>
            </w:tcMar>
          </w:tcPr>
          <w:p>
            <w:pPr>
              <w:jc w:val="center"/>
            </w:pPr>
            <w:r>
              <w:rPr>
                <w:rFonts w:ascii="Arial" w:cs="Arial" w:eastAsia="Arial" w:hAnsi="Arial"/>
                <w:b/>
                <w:bCs/>
                <w:color w:val="2563EB"/>
                <w:sz w:val="28"/>
                <w:szCs w:val="28"/>
              </w:rPr>
              <w:t xml:space="preserve">Full-Stack</w:t>
            </w:r>
          </w:p>
          <w:p>
            <w:pPr>
              <w:spacing w:before="80"/>
              <w:jc w:val="center"/>
            </w:pPr>
            <w:r>
              <w:rPr>
                <w:rFonts w:ascii="Arial" w:cs="Arial" w:eastAsia="Arial" w:hAnsi="Arial"/>
                <w:color w:val="334155"/>
                <w:sz w:val="18"/>
                <w:szCs w:val="18"/>
              </w:rPr>
              <w:t xml:space="preserve">Production
Deployment Stack</w:t>
            </w:r>
          </w:p>
        </w:tc>
      </w:tr>
    </w:tbl>
    <w:p>
      <w:pPr>
        <w:spacing w:after="300" w:before="0"/>
      </w:pPr>
    </w:p>
    <w:p>
      <w:pPr>
        <w:pStyle w:val="Heading1"/>
        <w:spacing w:after="120" w:before="400"/>
      </w:pPr>
      <w:r>
        <w:rPr>
          <w:rFonts w:ascii="Arial" w:cs="Arial" w:eastAsia="Arial" w:hAnsi="Arial"/>
          <w:b/>
          <w:bCs/>
          <w:color w:val="0A1628"/>
          <w:sz w:val="32"/>
          <w:szCs w:val="32"/>
        </w:rPr>
        <w:t xml:space="preserve">2. Problem Statement: The Pressure Gap in Sports Prediction</w:t>
      </w:r>
    </w:p>
    <w:p>
      <w:pPr>
        <w:spacing w:after="200" w:before="0"/>
      </w:pPr>
    </w:p>
    <w:p>
      <w:pPr>
        <w:spacing w:after="80" w:before="0"/>
      </w:pPr>
    </w:p>
    <w:p>
      <w:pPr>
        <w:spacing w:after="100" w:before="80"/>
      </w:pPr>
      <w:r>
        <w:rPr>
          <w:rFonts w:ascii="Arial" w:cs="Arial" w:eastAsia="Arial" w:hAnsi="Arial"/>
          <w:color w:val="0A1628"/>
          <w:sz w:val="22"/>
          <w:szCs w:val="22"/>
        </w:rPr>
        <w:t xml:space="preserve">The sports analytics industry has advanced significantly in the modeling of physical performance metrics — player efficiency ratings, possession statistics, shot quality distributions, and win probability models based on in-game state. However, a persistent and material gap exists across virtually all publicly available and commercially deployed sports prediction systems: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 GAP</w:t>
            </w:r>
          </w:p>
        </w:tc>
        <w:tc>
          <w:tcPr>
            <w:tcW w:type="dxa" w:w="8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i/>
                <w:iCs/>
                <w:color w:val="0A1628"/>
                <w:sz w:val="21"/>
                <w:szCs w:val="21"/>
              </w:rPr>
              <w:t xml:space="preserve">Existing sports prediction models treat situational pressure as random variance — something to be averaged out. MPIE treats it as a structured, computable variable that has measurable directional impact on performance outcomes.</w:t>
            </w:r>
          </w:p>
        </w:tc>
      </w:tr>
    </w:tbl>
    <w:p>
      <w:pPr>
        <w:spacing w:after="160" w:before="0"/>
      </w:pPr>
    </w:p>
    <w:p>
      <w:pPr>
        <w:spacing w:after="100" w:before="80"/>
      </w:pPr>
      <w:r>
        <w:rPr>
          <w:rFonts w:ascii="Arial" w:cs="Arial" w:eastAsia="Arial" w:hAnsi="Arial"/>
          <w:color w:val="0A1628"/>
          <w:sz w:val="22"/>
          <w:szCs w:val="22"/>
        </w:rPr>
        <w:t xml:space="preserve">Conventional models fail to capture:</w:t>
      </w:r>
    </w:p>
    <w:p>
      <w:pPr>
        <w:pStyle w:val="ListParagraph"/>
        <w:numPr>
          <w:ilvl w:val="0"/>
          <w:numId w:val="2"/>
        </w:numPr>
        <w:spacing w:after="60" w:before="60"/>
      </w:pPr>
      <w:r>
        <w:rPr>
          <w:rFonts w:ascii="Arial" w:cs="Arial" w:eastAsia="Arial" w:hAnsi="Arial"/>
          <w:color w:val="0A1628"/>
          <w:sz w:val="22"/>
          <w:szCs w:val="22"/>
        </w:rPr>
        <w:t xml:space="preserve">The compounding effect of elimination scenarios, game-seven conditions, and series momentum on individual and team decision-making quality</w:t>
      </w:r>
    </w:p>
    <w:p>
      <w:pPr>
        <w:pStyle w:val="ListParagraph"/>
        <w:numPr>
          <w:ilvl w:val="0"/>
          <w:numId w:val="2"/>
        </w:numPr>
        <w:spacing w:after="60" w:before="60"/>
      </w:pPr>
      <w:r>
        <w:rPr>
          <w:rFonts w:ascii="Arial" w:cs="Arial" w:eastAsia="Arial" w:hAnsi="Arial"/>
          <w:color w:val="0A1628"/>
          <w:sz w:val="22"/>
          <w:szCs w:val="22"/>
        </w:rPr>
        <w:t xml:space="preserve">The divergence between players who perform above baseline under pressure versus those who regress — and the predictability of this divergence</w:t>
      </w:r>
    </w:p>
    <w:p>
      <w:pPr>
        <w:pStyle w:val="ListParagraph"/>
        <w:numPr>
          <w:ilvl w:val="0"/>
          <w:numId w:val="2"/>
        </w:numPr>
        <w:spacing w:after="60" w:before="60"/>
      </w:pPr>
      <w:r>
        <w:rPr>
          <w:rFonts w:ascii="Arial" w:cs="Arial" w:eastAsia="Arial" w:hAnsi="Arial"/>
          <w:color w:val="0A1628"/>
          <w:sz w:val="22"/>
          <w:szCs w:val="22"/>
        </w:rPr>
        <w:t xml:space="preserve">Market inefficiencies created when public betting lines are set primarily from aggregate statistical baselines, without pressure-adjusted performance modeling</w:t>
      </w:r>
    </w:p>
    <w:p>
      <w:pPr>
        <w:pStyle w:val="ListParagraph"/>
        <w:numPr>
          <w:ilvl w:val="0"/>
          <w:numId w:val="2"/>
        </w:numPr>
        <w:spacing w:after="60" w:before="60"/>
      </w:pPr>
      <w:r>
        <w:rPr>
          <w:rFonts w:ascii="Arial" w:cs="Arial" w:eastAsia="Arial" w:hAnsi="Arial"/>
          <w:color w:val="0A1628"/>
          <w:sz w:val="22"/>
          <w:szCs w:val="22"/>
        </w:rPr>
        <w:t xml:space="preserve">The interaction between crowd-sourced line movement, media narrative pressure, and actual on-court performance distributions</w:t>
      </w:r>
    </w:p>
    <w:p>
      <w:pPr>
        <w:pStyle w:val="ListParagraph"/>
        <w:numPr>
          <w:ilvl w:val="0"/>
          <w:numId w:val="2"/>
        </w:numPr>
        <w:spacing w:after="60" w:before="60"/>
      </w:pPr>
      <w:r>
        <w:rPr>
          <w:rFonts w:ascii="Arial" w:cs="Arial" w:eastAsia="Arial" w:hAnsi="Arial"/>
          <w:color w:val="0A1628"/>
          <w:sz w:val="22"/>
          <w:szCs w:val="22"/>
        </w:rPr>
        <w:t xml:space="preserve">Organizational-level pressure transmission — how front-office urgency, coaching instability, and playoff seeding anxiety propagate into player performance variance</w:t>
      </w:r>
    </w:p>
    <w:p>
      <w:pPr>
        <w:spacing w:after="160" w:before="0"/>
      </w:pPr>
    </w:p>
    <w:p>
      <w:pPr>
        <w:spacing w:after="100" w:before="80"/>
      </w:pPr>
      <w:r>
        <w:rPr>
          <w:rFonts w:ascii="Arial" w:cs="Arial" w:eastAsia="Arial" w:hAnsi="Arial"/>
          <w:color w:val="0A1628"/>
          <w:sz w:val="22"/>
          <w:szCs w:val="22"/>
        </w:rPr>
        <w:t xml:space="preserve">MPIE is built to close this gap: to give pressure a number, give that number a model, and give that model a production infrastructure.</w:t>
      </w:r>
    </w:p>
    <w:p>
      <w:pPr>
        <w:spacing w:after="200" w:before="0"/>
      </w:pPr>
    </w:p>
    <w:p>
      <w:pPr>
        <w:pStyle w:val="Heading1"/>
        <w:spacing w:after="120" w:before="400"/>
      </w:pPr>
      <w:r>
        <w:rPr>
          <w:rFonts w:ascii="Arial" w:cs="Arial" w:eastAsia="Arial" w:hAnsi="Arial"/>
          <w:b/>
          <w:bCs/>
          <w:color w:val="0A1628"/>
          <w:sz w:val="32"/>
          <w:szCs w:val="32"/>
        </w:rPr>
        <w:t xml:space="preserve">3. Framework Origin: NBA Playoff Pressure Index (NBAPPI)</w:t>
      </w:r>
    </w:p>
    <w:p>
      <w:pPr>
        <w:spacing w:after="200" w:before="0"/>
      </w:pPr>
    </w:p>
    <w:p>
      <w:pPr>
        <w:spacing w:after="80" w:before="0"/>
      </w:pPr>
    </w:p>
    <w:p>
      <w:pPr>
        <w:spacing w:after="100" w:before="80"/>
      </w:pPr>
      <w:r>
        <w:rPr>
          <w:rFonts w:ascii="Arial" w:cs="Arial" w:eastAsia="Arial" w:hAnsi="Arial"/>
          <w:color w:val="0A1628"/>
          <w:sz w:val="22"/>
          <w:szCs w:val="22"/>
        </w:rPr>
        <w:t xml:space="preserve">MPIE is a generalization and productionization of the NBA Playoff Pressure Index (NBAPPI), a proprietary analytical framework developed by Sierra Warren Developments to measure the quantitative impact of postseason conditions on NBA player and team performance.</w:t>
      </w:r>
    </w:p>
    <w:p>
      <w:pPr>
        <w:spacing w:after="120" w:before="0"/>
      </w:pPr>
    </w:p>
    <w:p>
      <w:pPr>
        <w:pStyle w:val="Heading2"/>
        <w:spacing w:after="100" w:before="280"/>
      </w:pPr>
      <w:r>
        <w:rPr>
          <w:rFonts w:ascii="Arial" w:cs="Arial" w:eastAsia="Arial" w:hAnsi="Arial"/>
          <w:b/>
          <w:bCs/>
          <w:color w:val="1A3A6B"/>
          <w:sz w:val="26"/>
          <w:szCs w:val="26"/>
        </w:rPr>
        <w:t xml:space="preserve">3.1  NBAPPI Core Methodology</w:t>
      </w:r>
    </w:p>
    <w:p>
      <w:pPr>
        <w:spacing w:after="100" w:before="80"/>
      </w:pPr>
      <w:r>
        <w:rPr>
          <w:rFonts w:ascii="Arial" w:cs="Arial" w:eastAsia="Arial" w:hAnsi="Arial"/>
          <w:color w:val="0A1628"/>
          <w:sz w:val="22"/>
          <w:szCs w:val="22"/>
        </w:rPr>
        <w:t xml:space="preserve">The NBAPPI framework established several foundational constructs that carry directly into MPIE:</w:t>
      </w:r>
    </w:p>
    <w:p>
      <w:pPr>
        <w:spacing w:after="80" w:before="0"/>
      </w:pPr>
    </w:p>
    <w:p>
      <w:pPr>
        <w:pStyle w:val="ListParagraph"/>
        <w:numPr>
          <w:ilvl w:val="0"/>
          <w:numId w:val="2"/>
        </w:numPr>
        <w:spacing w:after="60" w:before="60"/>
      </w:pPr>
      <w:r>
        <w:rPr>
          <w:rFonts w:ascii="Arial" w:cs="Arial" w:eastAsia="Arial" w:hAnsi="Arial"/>
          <w:b/>
          <w:bCs/>
          <w:color w:val="0A1628"/>
          <w:sz w:val="22"/>
          <w:szCs w:val="22"/>
        </w:rPr>
        <w:t xml:space="preserve">Concept: </w:t>
      </w:r>
      <w:r>
        <w:rPr>
          <w:rFonts w:ascii="Arial" w:cs="Arial" w:eastAsia="Arial" w:hAnsi="Arial"/>
          <w:color w:val="0A1628"/>
          <w:sz w:val="22"/>
          <w:szCs w:val="22"/>
        </w:rPr>
        <w:t xml:space="preserve">Pressure Differential Score (PDS)</w:t>
      </w:r>
    </w:p>
    <w:p>
      <w:pPr>
        <w:pStyle w:val="ListParagraph"/>
        <w:numPr>
          <w:ilvl w:val="0"/>
          <w:numId w:val="3"/>
        </w:numPr>
        <w:spacing w:after="40" w:before="40"/>
      </w:pPr>
      <w:r>
        <w:rPr>
          <w:rFonts w:ascii="Arial" w:cs="Arial" w:eastAsia="Arial" w:hAnsi="Arial"/>
          <w:color w:val="334155"/>
          <w:sz w:val="20"/>
          <w:szCs w:val="20"/>
        </w:rPr>
        <w:t xml:space="preserve">Measures the delta between a player's regular-season performance baseline and their postseason performance, normalized for opponent quality and game stakes</w:t>
      </w:r>
    </w:p>
    <w:p>
      <w:pPr>
        <w:pStyle w:val="ListParagraph"/>
        <w:numPr>
          <w:ilvl w:val="0"/>
          <w:numId w:val="3"/>
        </w:numPr>
        <w:spacing w:after="40" w:before="40"/>
      </w:pPr>
      <w:r>
        <w:rPr>
          <w:rFonts w:ascii="Arial" w:cs="Arial" w:eastAsia="Arial" w:hAnsi="Arial"/>
          <w:color w:val="334155"/>
          <w:sz w:val="20"/>
          <w:szCs w:val="20"/>
        </w:rPr>
        <w:t xml:space="preserve">Produces a signed scalar value: positive PDS indicates pressure amplification (performs better under pressure); negative indicates pressure regression</w:t>
      </w:r>
    </w:p>
    <w:p>
      <w:pPr>
        <w:spacing w:after="60" w:before="0"/>
      </w:pPr>
    </w:p>
    <w:p>
      <w:pPr>
        <w:pStyle w:val="ListParagraph"/>
        <w:numPr>
          <w:ilvl w:val="0"/>
          <w:numId w:val="2"/>
        </w:numPr>
        <w:spacing w:after="60" w:before="60"/>
      </w:pPr>
      <w:r>
        <w:rPr>
          <w:rFonts w:ascii="Arial" w:cs="Arial" w:eastAsia="Arial" w:hAnsi="Arial"/>
          <w:b/>
          <w:bCs/>
          <w:color w:val="0A1628"/>
          <w:sz w:val="22"/>
          <w:szCs w:val="22"/>
        </w:rPr>
        <w:t xml:space="preserve">Concept: </w:t>
      </w:r>
      <w:r>
        <w:rPr>
          <w:rFonts w:ascii="Arial" w:cs="Arial" w:eastAsia="Arial" w:hAnsi="Arial"/>
          <w:color w:val="0A1628"/>
          <w:sz w:val="22"/>
          <w:szCs w:val="22"/>
        </w:rPr>
        <w:t xml:space="preserve">Stake Escalation Weighting</w:t>
      </w:r>
    </w:p>
    <w:p>
      <w:pPr>
        <w:pStyle w:val="ListParagraph"/>
        <w:numPr>
          <w:ilvl w:val="0"/>
          <w:numId w:val="3"/>
        </w:numPr>
        <w:spacing w:after="40" w:before="40"/>
      </w:pPr>
      <w:r>
        <w:rPr>
          <w:rFonts w:ascii="Arial" w:cs="Arial" w:eastAsia="Arial" w:hAnsi="Arial"/>
          <w:color w:val="334155"/>
          <w:sz w:val="20"/>
          <w:szCs w:val="20"/>
        </w:rPr>
        <w:t xml:space="preserve">Games are weighted by elimination probability, series position, and seed differential</w:t>
      </w:r>
    </w:p>
    <w:p>
      <w:pPr>
        <w:pStyle w:val="ListParagraph"/>
        <w:numPr>
          <w:ilvl w:val="0"/>
          <w:numId w:val="3"/>
        </w:numPr>
        <w:spacing w:after="40" w:before="40"/>
      </w:pPr>
      <w:r>
        <w:rPr>
          <w:rFonts w:ascii="Arial" w:cs="Arial" w:eastAsia="Arial" w:hAnsi="Arial"/>
          <w:color w:val="334155"/>
          <w:sz w:val="20"/>
          <w:szCs w:val="20"/>
        </w:rPr>
        <w:t xml:space="preserve">Game 7, elimination games, and upset-scenario games are assigned higher stake weights in model training</w:t>
      </w:r>
    </w:p>
    <w:p>
      <w:pPr>
        <w:spacing w:after="60" w:before="0"/>
      </w:pPr>
    </w:p>
    <w:p>
      <w:pPr>
        <w:pStyle w:val="ListParagraph"/>
        <w:numPr>
          <w:ilvl w:val="0"/>
          <w:numId w:val="2"/>
        </w:numPr>
        <w:spacing w:after="60" w:before="60"/>
      </w:pPr>
      <w:r>
        <w:rPr>
          <w:rFonts w:ascii="Arial" w:cs="Arial" w:eastAsia="Arial" w:hAnsi="Arial"/>
          <w:b/>
          <w:bCs/>
          <w:color w:val="0A1628"/>
          <w:sz w:val="22"/>
          <w:szCs w:val="22"/>
        </w:rPr>
        <w:t xml:space="preserve">Concept: </w:t>
      </w:r>
      <w:r>
        <w:rPr>
          <w:rFonts w:ascii="Arial" w:cs="Arial" w:eastAsia="Arial" w:hAnsi="Arial"/>
          <w:color w:val="0A1628"/>
          <w:sz w:val="22"/>
          <w:szCs w:val="22"/>
        </w:rPr>
        <w:t xml:space="preserve">Pressure Load Index (PLI)</w:t>
      </w:r>
    </w:p>
    <w:p>
      <w:pPr>
        <w:pStyle w:val="ListParagraph"/>
        <w:numPr>
          <w:ilvl w:val="0"/>
          <w:numId w:val="3"/>
        </w:numPr>
        <w:spacing w:after="40" w:before="40"/>
      </w:pPr>
      <w:r>
        <w:rPr>
          <w:rFonts w:ascii="Arial" w:cs="Arial" w:eastAsia="Arial" w:hAnsi="Arial"/>
          <w:color w:val="334155"/>
          <w:sz w:val="20"/>
          <w:szCs w:val="20"/>
        </w:rPr>
        <w:t xml:space="preserve">A composite measure of the total situational, narrative, and organizational pressure on a team at a given point in a series</w:t>
      </w:r>
    </w:p>
    <w:p>
      <w:pPr>
        <w:pStyle w:val="ListParagraph"/>
        <w:numPr>
          <w:ilvl w:val="0"/>
          <w:numId w:val="3"/>
        </w:numPr>
        <w:spacing w:after="40" w:before="40"/>
      </w:pPr>
      <w:r>
        <w:rPr>
          <w:rFonts w:ascii="Arial" w:cs="Arial" w:eastAsia="Arial" w:hAnsi="Arial"/>
          <w:color w:val="334155"/>
          <w:sz w:val="20"/>
          <w:szCs w:val="20"/>
        </w:rPr>
        <w:t xml:space="preserve">Inputs include: media coverage intensity, betting line movement, coaching tenure security, star player contract status, prior playoff history</w:t>
      </w:r>
    </w:p>
    <w:p>
      <w:pPr>
        <w:spacing w:after="60" w:before="0"/>
      </w:pPr>
    </w:p>
    <w:p>
      <w:pPr>
        <w:pStyle w:val="ListParagraph"/>
        <w:numPr>
          <w:ilvl w:val="0"/>
          <w:numId w:val="2"/>
        </w:numPr>
        <w:spacing w:after="60" w:before="60"/>
      </w:pPr>
      <w:r>
        <w:rPr>
          <w:rFonts w:ascii="Arial" w:cs="Arial" w:eastAsia="Arial" w:hAnsi="Arial"/>
          <w:b/>
          <w:bCs/>
          <w:color w:val="0A1628"/>
          <w:sz w:val="22"/>
          <w:szCs w:val="22"/>
        </w:rPr>
        <w:t xml:space="preserve">Concept: </w:t>
      </w:r>
      <w:r>
        <w:rPr>
          <w:rFonts w:ascii="Arial" w:cs="Arial" w:eastAsia="Arial" w:hAnsi="Arial"/>
          <w:color w:val="0A1628"/>
          <w:sz w:val="22"/>
          <w:szCs w:val="22"/>
        </w:rPr>
        <w:t xml:space="preserve">Performer Classification</w:t>
      </w:r>
    </w:p>
    <w:p>
      <w:pPr>
        <w:pStyle w:val="ListParagraph"/>
        <w:numPr>
          <w:ilvl w:val="0"/>
          <w:numId w:val="3"/>
        </w:numPr>
        <w:spacing w:after="40" w:before="40"/>
      </w:pPr>
      <w:r>
        <w:rPr>
          <w:rFonts w:ascii="Arial" w:cs="Arial" w:eastAsia="Arial" w:hAnsi="Arial"/>
          <w:color w:val="334155"/>
          <w:sz w:val="20"/>
          <w:szCs w:val="20"/>
        </w:rPr>
        <w:t xml:space="preserve">Players classified into pressure archetypes: Amplifiers, Regulars, and Regressors — predictive clustering that informs lineup and matchup modeling</w:t>
      </w:r>
    </w:p>
    <w:p>
      <w:pPr>
        <w:spacing w:after="200" w:before="0"/>
      </w:pPr>
    </w:p>
    <w:p>
      <w:pPr>
        <w:pStyle w:val="Heading1"/>
        <w:spacing w:after="120" w:before="400"/>
      </w:pPr>
      <w:r>
        <w:rPr>
          <w:rFonts w:ascii="Arial" w:cs="Arial" w:eastAsia="Arial" w:hAnsi="Arial"/>
          <w:b/>
          <w:bCs/>
          <w:color w:val="0A1628"/>
          <w:sz w:val="32"/>
          <w:szCs w:val="32"/>
        </w:rPr>
        <w:t xml:space="preserve">4. Technical Architecture</w:t>
      </w:r>
    </w:p>
    <w:p>
      <w:pPr>
        <w:spacing w:after="200" w:before="0"/>
      </w:pPr>
    </w:p>
    <w:p>
      <w:pPr>
        <w:spacing w:after="80" w:before="0"/>
      </w:pPr>
    </w:p>
    <w:p>
      <w:pPr>
        <w:spacing w:after="100" w:before="80"/>
      </w:pPr>
      <w:r>
        <w:rPr>
          <w:rFonts w:ascii="Arial" w:cs="Arial" w:eastAsia="Arial" w:hAnsi="Arial"/>
          <w:color w:val="0A1628"/>
          <w:sz w:val="22"/>
          <w:szCs w:val="22"/>
        </w:rPr>
        <w:t xml:space="preserve">MPIE is built as a layered prediction and analytics system. Each layer performs a distinct function and connects to adjacent layers through well-defined data contracts and API interfaces.</w:t>
      </w:r>
    </w:p>
    <w:p>
      <w:pPr>
        <w:spacing w:after="160" w:before="0"/>
      </w:pPr>
    </w:p>
    <w:p>
      <w:pPr>
        <w:pStyle w:val="Heading2"/>
        <w:spacing w:after="100" w:before="280"/>
      </w:pPr>
      <w:r>
        <w:rPr>
          <w:rFonts w:ascii="Arial" w:cs="Arial" w:eastAsia="Arial" w:hAnsi="Arial"/>
          <w:b/>
          <w:bCs/>
          <w:color w:val="1A3A6B"/>
          <w:sz w:val="26"/>
          <w:szCs w:val="26"/>
        </w:rPr>
        <w:t xml:space="preserve">4.1  Architecture Layers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00"/>
            </w:tcMar>
          </w:tcPr>
          <w:p>
            <w:r>
              <w:rPr>
                <w:rFonts w:ascii="Arial" w:cs="Arial" w:eastAsia="Arial" w:hAnsi="Arial"/>
                <w:b/>
                <w:bCs/>
                <w:color w:val="FFFFFF"/>
                <w:sz w:val="20"/>
                <w:szCs w:val="20"/>
              </w:rPr>
              <w:t xml:space="preserve">Layer</w:t>
            </w:r>
          </w:p>
        </w:tc>
        <w:tc>
          <w:tcPr>
            <w:tcW w:type="dxa" w:w="46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00"/>
            </w:tcMar>
          </w:tcPr>
          <w:p>
            <w:r>
              <w:rPr>
                <w:rFonts w:ascii="Arial" w:cs="Arial" w:eastAsia="Arial" w:hAnsi="Arial"/>
                <w:b/>
                <w:bCs/>
                <w:color w:val="FFFFFF"/>
                <w:sz w:val="20"/>
                <w:szCs w:val="20"/>
              </w:rPr>
              <w:t xml:space="preserve">Function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0A1628"/>
                <w:sz w:val="20"/>
                <w:szCs w:val="20"/>
              </w:rPr>
              <w:t xml:space="preserve">L1 — Data Ingestion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color w:val="334155"/>
                <w:sz w:val="20"/>
                <w:szCs w:val="20"/>
              </w:rPr>
              <w:t xml:space="preserve">Real-time and historical sports data collection, normalization, and feature engineering. Handles game logs, play-by-play, betting line feeds, and contextual metadata.</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0A1628"/>
                <w:sz w:val="20"/>
                <w:szCs w:val="20"/>
              </w:rPr>
              <w:t xml:space="preserve">L2 — Pressure Feature Extraction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color w:val="334155"/>
                <w:sz w:val="20"/>
                <w:szCs w:val="20"/>
              </w:rPr>
              <w:t xml:space="preserve">Computes pressure feature classes from raw inputs. Includes Stake Escalation Weighting, PLI calculation, and narrative pressure signal parsing.</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0A1628"/>
                <w:sz w:val="20"/>
                <w:szCs w:val="20"/>
              </w:rPr>
              <w:t xml:space="preserve">L3 — ML Prediction Engine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color w:val="334155"/>
                <w:sz w:val="20"/>
                <w:szCs w:val="20"/>
              </w:rPr>
              <w:t xml:space="preserve">Dual-engine architecture: scikit-learn classical models for baseline prediction; PyTorch deep learning for pressure-interaction feature modeling.</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0A1628"/>
                <w:sz w:val="20"/>
                <w:szCs w:val="20"/>
              </w:rPr>
              <w:t xml:space="preserve">L4 — Inference API</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color w:val="334155"/>
                <w:sz w:val="20"/>
                <w:szCs w:val="20"/>
              </w:rPr>
              <w:t xml:space="preserve">FastAPI service exposing real-time prediction endpoints, model confidence scores, and pressure-adjusted probability distributions.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0A1628"/>
                <w:sz w:val="20"/>
                <w:szCs w:val="20"/>
              </w:rPr>
              <w:t xml:space="preserve">L5 — Caching &amp; State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color w:val="334155"/>
                <w:sz w:val="20"/>
                <w:szCs w:val="20"/>
              </w:rPr>
              <w:t xml:space="preserve">Redis layer managing high-frequency line data, prediction caches, and session state for concurrent model inference requests.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0A1628"/>
                <w:sz w:val="20"/>
                <w:szCs w:val="20"/>
              </w:rPr>
              <w:t xml:space="preserve">L6 — Orchestration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color w:val="334155"/>
                <w:sz w:val="20"/>
                <w:szCs w:val="20"/>
              </w:rPr>
              <w:t xml:space="preserve">Kubernetes deployment managing containerized model serving, auto-scaling inference pods, and rolling model updates.</w:t>
            </w:r>
          </w:p>
        </w:tc>
      </w:tr>
    </w:tbl>
    <w:p>
      <w:pPr>
        <w:spacing w:after="200" w:before="0"/>
      </w:pPr>
    </w:p>
    <w:p>
      <w:pPr>
        <w:pStyle w:val="Heading2"/>
        <w:spacing w:after="100" w:before="280"/>
      </w:pPr>
      <w:r>
        <w:rPr>
          <w:rFonts w:ascii="Arial" w:cs="Arial" w:eastAsia="Arial" w:hAnsi="Arial"/>
          <w:b/>
          <w:bCs/>
          <w:color w:val="1A3A6B"/>
          <w:sz w:val="26"/>
          <w:szCs w:val="26"/>
        </w:rPr>
        <w:t xml:space="preserve">4.2  Technology Stack</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560"/>
        <w:gridCol w:w="3200"/>
      </w:tblGrid>
      <w:tr>
        <w:trPr>
          <w:tblHeader/>
        </w:trPr>
        <w:tc>
          <w:tcPr>
            <w:tcW w:type="dxa" w:w="2600"/>
            <w:tcBorders>
              <w:top w:val="single" w:color="CBD5E1" w:sz="1"/>
              <w:left w:val="single" w:color="CBD5E1" w:sz="1"/>
              <w:bottom w:val="single" w:color="CBD5E1" w:sz="1"/>
              <w:right w:val="single" w:color="CBD5E1" w:sz="1"/>
            </w:tcBorders>
            <w:shd w:fill="1A3A6B" w:val="clear"/>
            <w:tcMar>
              <w:top w:type="dxa" w:w="100"/>
              <w:left w:type="dxa" w:w="100"/>
              <w:bottom w:type="dxa" w:w="100"/>
              <w:right w:type="dxa" w:w="80"/>
            </w:tcMar>
          </w:tcPr>
          <w:p>
            <w:r>
              <w:rPr>
                <w:rFonts w:ascii="Arial" w:cs="Arial" w:eastAsia="Arial" w:hAnsi="Arial"/>
                <w:b/>
                <w:bCs/>
                <w:color w:val="FFFFFF"/>
                <w:sz w:val="18"/>
                <w:szCs w:val="18"/>
              </w:rPr>
              <w:t xml:space="preserve">Component</w:t>
            </w:r>
          </w:p>
        </w:tc>
        <w:tc>
          <w:tcPr>
            <w:tcW w:type="dxa" w:w="2000"/>
            <w:tcBorders>
              <w:top w:val="single" w:color="CBD5E1" w:sz="1"/>
              <w:left w:val="single" w:color="CBD5E1" w:sz="1"/>
              <w:bottom w:val="single" w:color="CBD5E1" w:sz="1"/>
              <w:right w:val="single" w:color="CBD5E1" w:sz="1"/>
            </w:tcBorders>
            <w:shd w:fill="1A3A6B" w:val="clear"/>
            <w:tcMar>
              <w:top w:type="dxa" w:w="100"/>
              <w:left w:type="dxa" w:w="100"/>
              <w:bottom w:type="dxa" w:w="100"/>
              <w:right w:type="dxa" w:w="80"/>
            </w:tcMar>
          </w:tcPr>
          <w:p>
            <w:r>
              <w:rPr>
                <w:rFonts w:ascii="Arial" w:cs="Arial" w:eastAsia="Arial" w:hAnsi="Arial"/>
                <w:b/>
                <w:bCs/>
                <w:color w:val="FFFFFF"/>
                <w:sz w:val="18"/>
                <w:szCs w:val="18"/>
              </w:rPr>
              <w:t xml:space="preserve">Technology</w:t>
            </w:r>
          </w:p>
        </w:tc>
        <w:tc>
          <w:tcPr>
            <w:tcW w:type="dxa" w:w="1560"/>
            <w:tcBorders>
              <w:top w:val="single" w:color="CBD5E1" w:sz="1"/>
              <w:left w:val="single" w:color="CBD5E1" w:sz="1"/>
              <w:bottom w:val="single" w:color="CBD5E1" w:sz="1"/>
              <w:right w:val="single" w:color="CBD5E1" w:sz="1"/>
            </w:tcBorders>
            <w:shd w:fill="1A3A6B" w:val="clear"/>
            <w:tcMar>
              <w:top w:type="dxa" w:w="100"/>
              <w:left w:type="dxa" w:w="100"/>
              <w:bottom w:type="dxa" w:w="100"/>
              <w:right w:type="dxa" w:w="80"/>
            </w:tcMar>
          </w:tcPr>
          <w:p>
            <w:r>
              <w:rPr>
                <w:rFonts w:ascii="Arial" w:cs="Arial" w:eastAsia="Arial" w:hAnsi="Arial"/>
                <w:b/>
                <w:bCs/>
                <w:color w:val="FFFFFF"/>
                <w:sz w:val="18"/>
                <w:szCs w:val="18"/>
              </w:rPr>
              <w:t xml:space="preserve">Version Target</w:t>
            </w:r>
          </w:p>
        </w:tc>
        <w:tc>
          <w:tcPr>
            <w:tcW w:type="dxa" w:w="3200"/>
            <w:tcBorders>
              <w:top w:val="single" w:color="CBD5E1" w:sz="1"/>
              <w:left w:val="single" w:color="CBD5E1" w:sz="1"/>
              <w:bottom w:val="single" w:color="CBD5E1" w:sz="1"/>
              <w:right w:val="single" w:color="CBD5E1" w:sz="1"/>
            </w:tcBorders>
            <w:shd w:fill="1A3A6B" w:val="clear"/>
            <w:tcMar>
              <w:top w:type="dxa" w:w="100"/>
              <w:left w:type="dxa" w:w="100"/>
              <w:bottom w:type="dxa" w:w="100"/>
              <w:right w:type="dxa" w:w="80"/>
            </w:tcMar>
          </w:tcPr>
          <w:p>
            <w:r>
              <w:rPr>
                <w:rFonts w:ascii="Arial" w:cs="Arial" w:eastAsia="Arial" w:hAnsi="Arial"/>
                <w:b/>
                <w:bCs/>
                <w:color w:val="FFFFFF"/>
                <w:sz w:val="18"/>
                <w:szCs w:val="18"/>
              </w:rPr>
              <w:t xml:space="preserve">Role</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bCs/>
                <w:color w:val="0A1628"/>
                <w:sz w:val="18"/>
                <w:szCs w:val="18"/>
              </w:rPr>
              <w:t xml:space="preserve">ML Framework (Classical)</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scikit-learn</w:t>
            </w:r>
          </w:p>
        </w:tc>
        <w:tc>
          <w:tcPr>
            <w:tcW w:type="dxa" w:w="1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1.4+</w:t>
            </w:r>
          </w:p>
        </w:tc>
        <w:tc>
          <w:tcPr>
            <w:tcW w:type="dxa" w:w="3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Logistic regression, gradient boosting, ensemble methods for baseline models</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bCs/>
                <w:color w:val="0A1628"/>
                <w:sz w:val="18"/>
                <w:szCs w:val="18"/>
              </w:rPr>
              <w:t xml:space="preserve">ML Framework (Deep Learning)</w:t>
            </w:r>
          </w:p>
        </w:tc>
        <w:tc>
          <w:tcPr>
            <w:tcW w:type="dxa" w:w="2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PyTorch</w:t>
            </w:r>
          </w:p>
        </w:tc>
        <w:tc>
          <w:tcPr>
            <w:tcW w:type="dxa" w:w="156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2.0+</w:t>
            </w:r>
          </w:p>
        </w:tc>
        <w:tc>
          <w:tcPr>
            <w:tcW w:type="dxa" w:w="32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Neural network layers for pressure-interaction feature modeling</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bCs/>
                <w:color w:val="0A1628"/>
                <w:sz w:val="18"/>
                <w:szCs w:val="18"/>
              </w:rPr>
              <w:t xml:space="preserve">API Layer</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FastAPI</w:t>
            </w:r>
          </w:p>
        </w:tc>
        <w:tc>
          <w:tcPr>
            <w:tcW w:type="dxa" w:w="1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0.110+</w:t>
            </w:r>
          </w:p>
        </w:tc>
        <w:tc>
          <w:tcPr>
            <w:tcW w:type="dxa" w:w="3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Async REST API for prediction serving and model querying</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bCs/>
                <w:color w:val="0A1628"/>
                <w:sz w:val="18"/>
                <w:szCs w:val="18"/>
              </w:rPr>
              <w:t xml:space="preserve">Cache / State Store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Redis</w:t>
            </w:r>
          </w:p>
        </w:tc>
        <w:tc>
          <w:tcPr>
            <w:tcW w:type="dxa" w:w="156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7.0+</w:t>
            </w:r>
          </w:p>
        </w:tc>
        <w:tc>
          <w:tcPr>
            <w:tcW w:type="dxa" w:w="32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High-frequency data caching, prediction result store, rate limiting</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bCs/>
                <w:color w:val="0A1628"/>
                <w:sz w:val="18"/>
                <w:szCs w:val="18"/>
              </w:rPr>
              <w:t xml:space="preserve">Container Orchestration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Kubernetes</w:t>
            </w:r>
          </w:p>
        </w:tc>
        <w:tc>
          <w:tcPr>
            <w:tcW w:type="dxa" w:w="1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1.28+</w:t>
            </w:r>
          </w:p>
        </w:tc>
        <w:tc>
          <w:tcPr>
            <w:tcW w:type="dxa" w:w="3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Pod management, auto-scaling, rolling deployments</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bCs/>
                <w:color w:val="0A1628"/>
                <w:sz w:val="18"/>
                <w:szCs w:val="18"/>
              </w:rPr>
              <w:t xml:space="preserve">Primary Language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Python</w:t>
            </w:r>
          </w:p>
        </w:tc>
        <w:tc>
          <w:tcPr>
            <w:tcW w:type="dxa" w:w="156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3.11+</w:t>
            </w:r>
          </w:p>
        </w:tc>
        <w:tc>
          <w:tcPr>
            <w:tcW w:type="dxa" w:w="32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Core ML, data pipeline, and API implementation</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bCs/>
                <w:color w:val="0A1628"/>
                <w:sz w:val="18"/>
                <w:szCs w:val="18"/>
              </w:rPr>
              <w:t xml:space="preserve">Data Processing</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Pandas / NumPy</w:t>
            </w:r>
          </w:p>
        </w:tc>
        <w:tc>
          <w:tcPr>
            <w:tcW w:type="dxa" w:w="1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2.0+ / 1.26+</w:t>
            </w:r>
          </w:p>
        </w:tc>
        <w:tc>
          <w:tcPr>
            <w:tcW w:type="dxa" w:w="3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Feature engineering, normalization, matrix operations</w:t>
            </w:r>
          </w:p>
        </w:tc>
      </w:tr>
    </w:tbl>
    <w:p>
      <w:pPr>
        <w:spacing w:after="200" w:before="0"/>
      </w:pPr>
    </w:p>
    <w:p>
      <w:pPr>
        <w:pStyle w:val="Heading2"/>
        <w:spacing w:after="100" w:before="280"/>
      </w:pPr>
      <w:r>
        <w:rPr>
          <w:rFonts w:ascii="Arial" w:cs="Arial" w:eastAsia="Arial" w:hAnsi="Arial"/>
          <w:b/>
          <w:bCs/>
          <w:color w:val="1A3A6B"/>
          <w:sz w:val="26"/>
          <w:szCs w:val="26"/>
        </w:rPr>
        <w:t xml:space="preserve">4.3  ML Model Architecture</w:t>
      </w:r>
    </w:p>
    <w:p>
      <w:pPr>
        <w:spacing w:after="100" w:before="80"/>
      </w:pPr>
      <w:r>
        <w:rPr>
          <w:rFonts w:ascii="Arial" w:cs="Arial" w:eastAsia="Arial" w:hAnsi="Arial"/>
          <w:color w:val="0A1628"/>
          <w:sz w:val="22"/>
          <w:szCs w:val="22"/>
        </w:rPr>
        <w:t xml:space="preserve">MPIE deploys a dual-engine prediction architecture to leverage the strengths of both classical machine learning and deep learning approaches:</w:t>
      </w:r>
    </w:p>
    <w:p>
      <w:pPr>
        <w:spacing w:after="100" w:before="0"/>
      </w:pPr>
    </w:p>
    <w:p>
      <w:pPr>
        <w:spacing w:after="80" w:before="200"/>
      </w:pPr>
      <w:r>
        <w:rPr>
          <w:rFonts w:ascii="Arial" w:cs="Arial" w:eastAsia="Arial" w:hAnsi="Arial"/>
          <w:b/>
          <w:bCs/>
          <w:color w:val="2563EB"/>
          <w:sz w:val="22"/>
          <w:szCs w:val="22"/>
        </w:rPr>
        <w:t xml:space="preserve">Classical Engine (scikit-learn)</w:t>
      </w:r>
    </w:p>
    <w:p>
      <w:pPr>
        <w:pStyle w:val="ListParagraph"/>
        <w:numPr>
          <w:ilvl w:val="0"/>
          <w:numId w:val="2"/>
        </w:numPr>
        <w:spacing w:after="60" w:before="60"/>
      </w:pPr>
      <w:r>
        <w:rPr>
          <w:rFonts w:ascii="Arial" w:cs="Arial" w:eastAsia="Arial" w:hAnsi="Arial"/>
          <w:color w:val="0A1628"/>
          <w:sz w:val="22"/>
          <w:szCs w:val="22"/>
        </w:rPr>
        <w:t xml:space="preserve">Gradient Boosted Decision Trees for base outcome prediction using historical performance features</w:t>
      </w:r>
    </w:p>
    <w:p>
      <w:pPr>
        <w:pStyle w:val="ListParagraph"/>
        <w:numPr>
          <w:ilvl w:val="0"/>
          <w:numId w:val="2"/>
        </w:numPr>
        <w:spacing w:after="60" w:before="60"/>
      </w:pPr>
      <w:r>
        <w:rPr>
          <w:rFonts w:ascii="Arial" w:cs="Arial" w:eastAsia="Arial" w:hAnsi="Arial"/>
          <w:color w:val="0A1628"/>
          <w:sz w:val="22"/>
          <w:szCs w:val="22"/>
        </w:rPr>
        <w:t xml:space="preserve">Logistic Regression layers for probability calibration and pressure archetype classification</w:t>
      </w:r>
    </w:p>
    <w:p>
      <w:pPr>
        <w:pStyle w:val="ListParagraph"/>
        <w:numPr>
          <w:ilvl w:val="0"/>
          <w:numId w:val="2"/>
        </w:numPr>
        <w:spacing w:after="60" w:before="60"/>
      </w:pPr>
      <w:r>
        <w:rPr>
          <w:rFonts w:ascii="Arial" w:cs="Arial" w:eastAsia="Arial" w:hAnsi="Arial"/>
          <w:color w:val="0A1628"/>
          <w:sz w:val="22"/>
          <w:szCs w:val="22"/>
        </w:rPr>
        <w:t xml:space="preserve">Ensemble voting across multiple model variants to produce final prediction confidence scores</w:t>
      </w:r>
    </w:p>
    <w:p>
      <w:pPr>
        <w:pStyle w:val="ListParagraph"/>
        <w:numPr>
          <w:ilvl w:val="0"/>
          <w:numId w:val="2"/>
        </w:numPr>
        <w:spacing w:after="60" w:before="60"/>
      </w:pPr>
      <w:r>
        <w:rPr>
          <w:rFonts w:ascii="Arial" w:cs="Arial" w:eastAsia="Arial" w:hAnsi="Arial"/>
          <w:color w:val="0A1628"/>
          <w:sz w:val="22"/>
          <w:szCs w:val="22"/>
        </w:rPr>
        <w:t xml:space="preserve">Feature importance outputs enabling explainable prediction breakdowns by pressure variable class</w:t>
      </w:r>
    </w:p>
    <w:p>
      <w:pPr>
        <w:spacing w:after="100" w:before="0"/>
      </w:pPr>
    </w:p>
    <w:p>
      <w:pPr>
        <w:spacing w:after="80" w:before="200"/>
      </w:pPr>
      <w:r>
        <w:rPr>
          <w:rFonts w:ascii="Arial" w:cs="Arial" w:eastAsia="Arial" w:hAnsi="Arial"/>
          <w:b/>
          <w:bCs/>
          <w:color w:val="2563EB"/>
          <w:sz w:val="22"/>
          <w:szCs w:val="22"/>
        </w:rPr>
        <w:t xml:space="preserve">Deep Learning Engine (PyTorch)</w:t>
      </w:r>
    </w:p>
    <w:p>
      <w:pPr>
        <w:pStyle w:val="ListParagraph"/>
        <w:numPr>
          <w:ilvl w:val="0"/>
          <w:numId w:val="2"/>
        </w:numPr>
        <w:spacing w:after="60" w:before="60"/>
      </w:pPr>
      <w:r>
        <w:rPr>
          <w:rFonts w:ascii="Arial" w:cs="Arial" w:eastAsia="Arial" w:hAnsi="Arial"/>
          <w:color w:val="0A1628"/>
          <w:sz w:val="22"/>
          <w:szCs w:val="22"/>
        </w:rPr>
        <w:t xml:space="preserve">LSTM-based sequence models capturing temporal pressure dynamics across a series or season arc</w:t>
      </w:r>
    </w:p>
    <w:p>
      <w:pPr>
        <w:pStyle w:val="ListParagraph"/>
        <w:numPr>
          <w:ilvl w:val="0"/>
          <w:numId w:val="2"/>
        </w:numPr>
        <w:spacing w:after="60" w:before="60"/>
      </w:pPr>
      <w:r>
        <w:rPr>
          <w:rFonts w:ascii="Arial" w:cs="Arial" w:eastAsia="Arial" w:hAnsi="Arial"/>
          <w:color w:val="0A1628"/>
          <w:sz w:val="22"/>
          <w:szCs w:val="22"/>
        </w:rPr>
        <w:t xml:space="preserve">Attention mechanism layers weighting the relevance of individual pressure events relative to prediction horizon</w:t>
      </w:r>
    </w:p>
    <w:p>
      <w:pPr>
        <w:pStyle w:val="ListParagraph"/>
        <w:numPr>
          <w:ilvl w:val="0"/>
          <w:numId w:val="2"/>
        </w:numPr>
        <w:spacing w:after="60" w:before="60"/>
      </w:pPr>
      <w:r>
        <w:rPr>
          <w:rFonts w:ascii="Arial" w:cs="Arial" w:eastAsia="Arial" w:hAnsi="Arial"/>
          <w:color w:val="0A1628"/>
          <w:sz w:val="22"/>
          <w:szCs w:val="22"/>
        </w:rPr>
        <w:t xml:space="preserve">Embedding layers encoding categorical pressure features: arena, opponent history, media coverage tier, coach tenure</w:t>
      </w:r>
    </w:p>
    <w:p>
      <w:pPr>
        <w:pStyle w:val="ListParagraph"/>
        <w:numPr>
          <w:ilvl w:val="0"/>
          <w:numId w:val="2"/>
        </w:numPr>
        <w:spacing w:after="60" w:before="60"/>
      </w:pPr>
      <w:r>
        <w:rPr>
          <w:rFonts w:ascii="Arial" w:cs="Arial" w:eastAsia="Arial" w:hAnsi="Arial"/>
          <w:color w:val="0A1628"/>
          <w:sz w:val="22"/>
          <w:szCs w:val="22"/>
        </w:rPr>
        <w:t xml:space="preserve">Multi-task output heads producing simultaneous predictions for point spread, total, and moneyline markets</w:t>
      </w:r>
    </w:p>
    <w:p>
      <w:pPr>
        <w:spacing w:after="200" w:before="0"/>
      </w:pPr>
    </w:p>
    <w:p>
      <w:pPr>
        <w:pStyle w:val="Heading1"/>
        <w:spacing w:after="120" w:before="400"/>
      </w:pPr>
      <w:r>
        <w:rPr>
          <w:rFonts w:ascii="Arial" w:cs="Arial" w:eastAsia="Arial" w:hAnsi="Arial"/>
          <w:b/>
          <w:bCs/>
          <w:color w:val="0A1628"/>
          <w:sz w:val="32"/>
          <w:szCs w:val="32"/>
        </w:rPr>
        <w:t xml:space="preserve">5. Pressure Feature Classes</w:t>
      </w:r>
    </w:p>
    <w:p>
      <w:pPr>
        <w:spacing w:after="200" w:before="0"/>
      </w:pPr>
    </w:p>
    <w:p>
      <w:pPr>
        <w:spacing w:after="80" w:before="0"/>
      </w:pPr>
    </w:p>
    <w:p>
      <w:pPr>
        <w:spacing w:after="100" w:before="80"/>
      </w:pPr>
      <w:r>
        <w:rPr>
          <w:rFonts w:ascii="Arial" w:cs="Arial" w:eastAsia="Arial" w:hAnsi="Arial"/>
          <w:color w:val="0A1628"/>
          <w:sz w:val="22"/>
          <w:szCs w:val="22"/>
        </w:rPr>
        <w:t xml:space="preserve">The MPIE feature engineering architecture defines five primary pressure feature classes. These classes represent the structured decomposition of what constitutes 'pressure' in a competitive sports context, translated into computable variables for model ingestion.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CBD5E1" w:sz="1"/>
              <w:left w:val="single" w:color="CBD5E1" w:sz="1"/>
              <w:bottom w:val="single" w:color="CBD5E1" w:sz="1"/>
              <w:right w:val="single" w:color="CBD5E1" w:sz="1"/>
            </w:tcBorders>
            <w:shd w:fill="1A3A6B" w:val="clear"/>
            <w:tcMar>
              <w:top w:type="dxa" w:w="100"/>
              <w:left w:type="dxa" w:w="100"/>
              <w:bottom w:type="dxa" w:w="100"/>
              <w:right w:type="dxa" w:w="80"/>
            </w:tcMar>
          </w:tcPr>
          <w:p>
            <w:r>
              <w:rPr>
                <w:rFonts w:ascii="Arial" w:cs="Arial" w:eastAsia="Arial" w:hAnsi="Arial"/>
                <w:b/>
                <w:bCs/>
                <w:color w:val="FFFFFF"/>
                <w:sz w:val="18"/>
                <w:szCs w:val="18"/>
              </w:rPr>
              <w:t xml:space="preserve">Feature Class</w:t>
            </w:r>
          </w:p>
        </w:tc>
        <w:tc>
          <w:tcPr>
            <w:tcW w:type="dxa" w:w="2400"/>
            <w:tcBorders>
              <w:top w:val="single" w:color="CBD5E1" w:sz="1"/>
              <w:left w:val="single" w:color="CBD5E1" w:sz="1"/>
              <w:bottom w:val="single" w:color="CBD5E1" w:sz="1"/>
              <w:right w:val="single" w:color="CBD5E1" w:sz="1"/>
            </w:tcBorders>
            <w:shd w:fill="1A3A6B" w:val="clear"/>
            <w:tcMar>
              <w:top w:type="dxa" w:w="100"/>
              <w:left w:type="dxa" w:w="100"/>
              <w:bottom w:type="dxa" w:w="100"/>
              <w:right w:type="dxa" w:w="80"/>
            </w:tcMar>
          </w:tcPr>
          <w:p>
            <w:r>
              <w:rPr>
                <w:rFonts w:ascii="Arial" w:cs="Arial" w:eastAsia="Arial" w:hAnsi="Arial"/>
                <w:b/>
                <w:bCs/>
                <w:color w:val="FFFFFF"/>
                <w:sz w:val="18"/>
                <w:szCs w:val="18"/>
              </w:rPr>
              <w:t xml:space="preserve">Description</w:t>
            </w:r>
          </w:p>
        </w:tc>
        <w:tc>
          <w:tcPr>
            <w:tcW w:type="dxa" w:w="2600"/>
            <w:tcBorders>
              <w:top w:val="single" w:color="CBD5E1" w:sz="1"/>
              <w:left w:val="single" w:color="CBD5E1" w:sz="1"/>
              <w:bottom w:val="single" w:color="CBD5E1" w:sz="1"/>
              <w:right w:val="single" w:color="CBD5E1" w:sz="1"/>
            </w:tcBorders>
            <w:shd w:fill="1A3A6B" w:val="clear"/>
            <w:tcMar>
              <w:top w:type="dxa" w:w="100"/>
              <w:left w:type="dxa" w:w="100"/>
              <w:bottom w:type="dxa" w:w="100"/>
              <w:right w:type="dxa" w:w="80"/>
            </w:tcMar>
          </w:tcPr>
          <w:p>
            <w:r>
              <w:rPr>
                <w:rFonts w:ascii="Arial" w:cs="Arial" w:eastAsia="Arial" w:hAnsi="Arial"/>
                <w:b/>
                <w:bCs/>
                <w:color w:val="FFFFFF"/>
                <w:sz w:val="18"/>
                <w:szCs w:val="18"/>
              </w:rPr>
              <w:t xml:space="preserve">Example Variables</w:t>
            </w:r>
          </w:p>
        </w:tc>
        <w:tc>
          <w:tcPr>
            <w:tcW w:type="dxa" w:w="2360"/>
            <w:tcBorders>
              <w:top w:val="single" w:color="CBD5E1" w:sz="1"/>
              <w:left w:val="single" w:color="CBD5E1" w:sz="1"/>
              <w:bottom w:val="single" w:color="CBD5E1" w:sz="1"/>
              <w:right w:val="single" w:color="CBD5E1" w:sz="1"/>
            </w:tcBorders>
            <w:shd w:fill="1A3A6B" w:val="clear"/>
            <w:tcMar>
              <w:top w:type="dxa" w:w="100"/>
              <w:left w:type="dxa" w:w="100"/>
              <w:bottom w:type="dxa" w:w="100"/>
              <w:right w:type="dxa" w:w="80"/>
            </w:tcMar>
          </w:tcPr>
          <w:p>
            <w:r>
              <w:rPr>
                <w:rFonts w:ascii="Arial" w:cs="Arial" w:eastAsia="Arial" w:hAnsi="Arial"/>
                <w:b/>
                <w:bCs/>
                <w:color w:val="FFFFFF"/>
                <w:sz w:val="18"/>
                <w:szCs w:val="18"/>
              </w:rPr>
              <w:t xml:space="preserve">Signal Type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bCs/>
                <w:color w:val="0A1628"/>
                <w:sz w:val="18"/>
                <w:szCs w:val="18"/>
              </w:rPr>
              <w:t xml:space="preserve">Situational Pressure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Game-state and series-position factors that elevate stakes beyond regular play</w:t>
            </w:r>
          </w:p>
        </w:tc>
        <w:tc>
          <w:tcPr>
            <w:tcW w:type="dxa" w:w="2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Elimination game flag, series deficit, overtime frequency, road game in hostile venue</w:t>
            </w:r>
          </w:p>
        </w:tc>
        <w:tc>
          <w:tcPr>
            <w:tcW w:type="dxa" w:w="2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Binary + Scalar</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bCs/>
                <w:color w:val="0A1628"/>
                <w:sz w:val="18"/>
                <w:szCs w:val="18"/>
              </w:rPr>
              <w:t xml:space="preserve">Performer Historical Pressure Delta</w:t>
            </w:r>
          </w:p>
        </w:tc>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Individual player's measured response to elevated-stakes conditions relative to their baseline</w:t>
            </w:r>
          </w:p>
        </w:tc>
        <w:tc>
          <w:tcPr>
            <w:tcW w:type="dxa" w:w="26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PDS score, prior playoff games played, clutch-time FG%, 4th quarter scoring delta</w:t>
            </w:r>
          </w:p>
        </w:tc>
        <w:tc>
          <w:tcPr>
            <w:tcW w:type="dxa" w:w="236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Signed Scalar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bCs/>
                <w:color w:val="0A1628"/>
                <w:sz w:val="18"/>
                <w:szCs w:val="18"/>
              </w:rPr>
              <w:t xml:space="preserve">Organizational Pressure Load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Front-office, coaching, and franchise-level pressure transmitted to player performance</w:t>
            </w:r>
          </w:p>
        </w:tc>
        <w:tc>
          <w:tcPr>
            <w:tcW w:type="dxa" w:w="2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Coach tenure, contract year players, ownership urgency signals, front-office public statements</w:t>
            </w:r>
          </w:p>
        </w:tc>
        <w:tc>
          <w:tcPr>
            <w:tcW w:type="dxa" w:w="2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Index Score</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bCs/>
                <w:color w:val="0A1628"/>
                <w:sz w:val="18"/>
                <w:szCs w:val="18"/>
              </w:rPr>
              <w:t xml:space="preserve">Market Pressure Signal</w:t>
            </w:r>
          </w:p>
        </w:tc>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Information embedded in betting line movement indicating sharp money and informed expectation shifts</w:t>
            </w:r>
          </w:p>
        </w:tc>
        <w:tc>
          <w:tcPr>
            <w:tcW w:type="dxa" w:w="26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Line movement magnitude, opening vs. close delta, handle distribution, steam moves</w:t>
            </w:r>
          </w:p>
        </w:tc>
        <w:tc>
          <w:tcPr>
            <w:tcW w:type="dxa" w:w="236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80"/>
            </w:tcMar>
          </w:tcPr>
          <w:p>
            <w:r>
              <w:rPr>
                <w:rFonts w:ascii="Arial" w:cs="Arial" w:eastAsia="Arial" w:hAnsi="Arial"/>
                <w:b w:val="false"/>
                <w:bCs w:val="false"/>
                <w:color w:val="0A1628"/>
                <w:sz w:val="18"/>
                <w:szCs w:val="18"/>
              </w:rPr>
              <w:t xml:space="preserve">Time-Series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bCs/>
                <w:color w:val="0A1628"/>
                <w:sz w:val="18"/>
                <w:szCs w:val="18"/>
              </w:rPr>
              <w:t xml:space="preserve">Narrative Pressure Index</w:t>
            </w:r>
          </w:p>
        </w:tc>
        <w:tc>
          <w:tcPr>
            <w:tcW w:type="dxa" w:w="24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Quantified media and public attention load on teams and key players ahead of contest</w:t>
            </w:r>
          </w:p>
        </w:tc>
        <w:tc>
          <w:tcPr>
            <w:tcW w:type="dxa" w:w="2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Media mention volume, social sentiment score, injury report news velocity, star player narrative weight</w:t>
            </w:r>
          </w:p>
        </w:tc>
        <w:tc>
          <w:tcPr>
            <w:tcW w:type="dxa" w:w="2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r>
              <w:rPr>
                <w:rFonts w:ascii="Arial" w:cs="Arial" w:eastAsia="Arial" w:hAnsi="Arial"/>
                <w:b w:val="false"/>
                <w:bCs w:val="false"/>
                <w:color w:val="0A1628"/>
                <w:sz w:val="18"/>
                <w:szCs w:val="18"/>
              </w:rPr>
              <w:t xml:space="preserve">Composite Index</w:t>
            </w:r>
          </w:p>
        </w:tc>
      </w:tr>
    </w:tbl>
    <w:p>
      <w:pPr>
        <w:spacing w:after="200" w:before="0"/>
      </w:pPr>
    </w:p>
    <w:p>
      <w:pPr>
        <w:pStyle w:val="Heading1"/>
        <w:spacing w:after="120" w:before="400"/>
      </w:pPr>
      <w:r>
        <w:rPr>
          <w:rFonts w:ascii="Arial" w:cs="Arial" w:eastAsia="Arial" w:hAnsi="Arial"/>
          <w:b/>
          <w:bCs/>
          <w:color w:val="0A1628"/>
          <w:sz w:val="32"/>
          <w:szCs w:val="32"/>
        </w:rPr>
        <w:t xml:space="preserve">6. Inference API Design (FastAPI)</w:t>
      </w:r>
    </w:p>
    <w:p>
      <w:pPr>
        <w:spacing w:after="200" w:before="0"/>
      </w:pPr>
    </w:p>
    <w:p>
      <w:pPr>
        <w:spacing w:after="80" w:before="0"/>
      </w:pPr>
    </w:p>
    <w:p>
      <w:pPr>
        <w:spacing w:after="100" w:before="80"/>
      </w:pPr>
      <w:r>
        <w:rPr>
          <w:rFonts w:ascii="Arial" w:cs="Arial" w:eastAsia="Arial" w:hAnsi="Arial"/>
          <w:color w:val="0A1628"/>
          <w:sz w:val="22"/>
          <w:szCs w:val="22"/>
        </w:rPr>
        <w:t xml:space="preserve">The MPIE prediction system is exposed through a production FastAPI service designed for low-latency inference, concurrent request handling, and clean integration with downstream analytics or display layers. Key endpoint categories include: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00"/>
            </w:tcMar>
          </w:tcPr>
          <w:p>
            <w:r>
              <w:rPr>
                <w:rFonts w:ascii="Arial" w:cs="Arial" w:eastAsia="Arial" w:hAnsi="Arial"/>
                <w:b/>
                <w:bCs/>
                <w:color w:val="FFFFFF"/>
                <w:sz w:val="20"/>
                <w:szCs w:val="20"/>
              </w:rPr>
              <w:t xml:space="preserve">Endpoint Category</w:t>
            </w:r>
          </w:p>
        </w:tc>
        <w:tc>
          <w:tcPr>
            <w:tcW w:type="dxa" w:w="46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00"/>
            </w:tcMar>
          </w:tcPr>
          <w:p>
            <w:r>
              <w:rPr>
                <w:rFonts w:ascii="Arial" w:cs="Arial" w:eastAsia="Arial" w:hAnsi="Arial"/>
                <w:b/>
                <w:bCs/>
                <w:color w:val="FFFFFF"/>
                <w:sz w:val="20"/>
                <w:szCs w:val="20"/>
              </w:rPr>
              <w:t xml:space="preserve">Function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0A1628"/>
                <w:sz w:val="20"/>
                <w:szCs w:val="20"/>
              </w:rPr>
              <w:t xml:space="preserve">/predict/game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color w:val="334155"/>
                <w:sz w:val="20"/>
                <w:szCs w:val="20"/>
              </w:rPr>
              <w:t xml:space="preserve">Returns pressure-adjusted probability distributions for point spread, moneyline, and total for a specified upcoming game. Includes model confidence score and top contributing pressure features.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0A1628"/>
                <w:sz w:val="20"/>
                <w:szCs w:val="20"/>
              </w:rPr>
              <w:t xml:space="preserve">/pressure/team/{id}</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color w:val="334155"/>
                <w:sz w:val="20"/>
                <w:szCs w:val="20"/>
              </w:rPr>
              <w:t xml:space="preserve">Returns current Pressure Load Index for a specified team, broken down by feature class. Updated on each new data ingestion cycle.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0A1628"/>
                <w:sz w:val="20"/>
                <w:szCs w:val="20"/>
              </w:rPr>
              <w:t xml:space="preserve">/pressure/player/{id}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color w:val="334155"/>
                <w:sz w:val="20"/>
                <w:szCs w:val="20"/>
              </w:rPr>
              <w:t xml:space="preserve">Returns player Pressure Differential Score, historical pressure archetype classification, and upcoming game pressure exposure estimate.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0A1628"/>
                <w:sz w:val="20"/>
                <w:szCs w:val="20"/>
              </w:rPr>
              <w:t xml:space="preserve">/model/explain/{game_id}</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color w:val="334155"/>
                <w:sz w:val="20"/>
                <w:szCs w:val="20"/>
              </w:rPr>
              <w:t xml:space="preserve">Returns SHAP-style feature attribution for a given prediction — which pressure variables drove the model output and by how much.</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0A1628"/>
                <w:sz w:val="20"/>
                <w:szCs w:val="20"/>
              </w:rPr>
              <w:t xml:space="preserve">/market/signal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color w:val="334155"/>
                <w:sz w:val="20"/>
                <w:szCs w:val="20"/>
              </w:rPr>
              <w:t xml:space="preserve">Returns current market pressure signal summary: line movement, sharp action flags, and deviation from MPIE's model-implied probability.</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0A1628"/>
                <w:sz w:val="20"/>
                <w:szCs w:val="20"/>
              </w:rPr>
              <w:t xml:space="preserve">/health</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color w:val="334155"/>
                <w:sz w:val="20"/>
                <w:szCs w:val="20"/>
              </w:rPr>
              <w:t xml:space="preserve">System health, model version, and cache status. Standard operational endpoint for Kubernetes liveness probes.</w:t>
            </w:r>
          </w:p>
        </w:tc>
      </w:tr>
    </w:tbl>
    <w:p>
      <w:pPr>
        <w:spacing w:after="200" w:before="0"/>
      </w:pPr>
    </w:p>
    <w:p>
      <w:pPr>
        <w:pStyle w:val="Heading1"/>
        <w:spacing w:after="120" w:before="400"/>
      </w:pPr>
      <w:r>
        <w:rPr>
          <w:rFonts w:ascii="Arial" w:cs="Arial" w:eastAsia="Arial" w:hAnsi="Arial"/>
          <w:b/>
          <w:bCs/>
          <w:color w:val="0A1628"/>
          <w:sz w:val="32"/>
          <w:szCs w:val="32"/>
        </w:rPr>
        <w:t xml:space="preserve">7. Key Differentiators</w:t>
      </w:r>
    </w:p>
    <w:p>
      <w:pPr>
        <w:spacing w:after="200" w:before="0"/>
      </w:pPr>
    </w:p>
    <w:p>
      <w:pPr>
        <w:spacing w:after="80" w:before="0"/>
      </w:pPr>
    </w:p>
    <w:p>
      <w:pPr>
        <w:spacing w:after="100" w:before="80"/>
      </w:pPr>
      <w:r>
        <w:rPr>
          <w:rFonts w:ascii="Arial" w:cs="Arial" w:eastAsia="Arial" w:hAnsi="Arial"/>
          <w:color w:val="0A1628"/>
          <w:sz w:val="22"/>
          <w:szCs w:val="22"/>
        </w:rPr>
        <w:t xml:space="preserve">MPIE is distinguished from conventional sports analytics and betting prediction systems by the following architectural and methodological choices: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00"/>
            </w:tcMar>
          </w:tcPr>
          <w:p>
            <w:r>
              <w:rPr>
                <w:rFonts w:ascii="Arial" w:cs="Arial" w:eastAsia="Arial" w:hAnsi="Arial"/>
                <w:b/>
                <w:bCs/>
                <w:color w:val="FFFFFF"/>
                <w:sz w:val="20"/>
                <w:szCs w:val="20"/>
              </w:rPr>
              <w:t xml:space="preserve">Differentiator</w:t>
            </w:r>
          </w:p>
        </w:tc>
        <w:tc>
          <w:tcPr>
            <w:tcW w:type="dxa" w:w="46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00"/>
            </w:tcMar>
          </w:tcPr>
          <w:p>
            <w:r>
              <w:rPr>
                <w:rFonts w:ascii="Arial" w:cs="Arial" w:eastAsia="Arial" w:hAnsi="Arial"/>
                <w:b/>
                <w:bCs/>
                <w:color w:val="FFFFFF"/>
                <w:sz w:val="20"/>
                <w:szCs w:val="20"/>
              </w:rPr>
              <w:t xml:space="preserve">MPIE Approach vs. Conventional Approach</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0A1628"/>
                <w:sz w:val="20"/>
                <w:szCs w:val="20"/>
              </w:rPr>
              <w:t xml:space="preserve">Pressure as Signal, Not Noise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color w:val="334155"/>
                <w:sz w:val="20"/>
                <w:szCs w:val="20"/>
              </w:rPr>
              <w:t xml:space="preserve">MPIE: Pressure is a primary feature class with structured sub-dimensions. Conventional: Pressure is treated as random variance around a statistical mean.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0A1628"/>
                <w:sz w:val="20"/>
                <w:szCs w:val="20"/>
              </w:rPr>
              <w:t xml:space="preserve">Dual-Engine ML</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color w:val="334155"/>
                <w:sz w:val="20"/>
                <w:szCs w:val="20"/>
              </w:rPr>
              <w:t xml:space="preserve">MPIE: Classical models for interpretability + PyTorch deep learning for pressure-interaction complexity. Conventional: Single-model architectures without pressure-specific feature engineering.</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0A1628"/>
                <w:sz w:val="20"/>
                <w:szCs w:val="20"/>
              </w:rPr>
              <w:t xml:space="preserve">Performer Pressure Archetypes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color w:val="334155"/>
                <w:sz w:val="20"/>
                <w:szCs w:val="20"/>
              </w:rPr>
              <w:t xml:space="preserve">MPIE: Players are pre-classified as Amplifiers, Regulars, or Regressors — informing matchup models. Conventional: All players modeled from aggregate stats without pressure-response classification.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0A1628"/>
                <w:sz w:val="20"/>
                <w:szCs w:val="20"/>
              </w:rPr>
              <w:t xml:space="preserve">Market Pressure Integration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color w:val="334155"/>
                <w:sz w:val="20"/>
                <w:szCs w:val="20"/>
              </w:rPr>
              <w:t xml:space="preserve">MPIE: Line movement and handle data are ingested as pressure signals, not just as market consensus. Conventional: Market data used for calibration, not as a pressure feature class.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0A1628"/>
                <w:sz w:val="20"/>
                <w:szCs w:val="20"/>
              </w:rPr>
              <w:t xml:space="preserve">Organizational Pressure Layer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color w:val="334155"/>
                <w:sz w:val="20"/>
                <w:szCs w:val="20"/>
              </w:rPr>
              <w:t xml:space="preserve">MPIE: Front-office, coaching, and franchise-level pressure variables are modeled as performance-affecting inputs. Conventional: Team-level modeling rarely includes organizational dynamics.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0A1628"/>
                <w:sz w:val="20"/>
                <w:szCs w:val="20"/>
              </w:rPr>
              <w:t xml:space="preserve">Explainable Prediction Outputs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color w:val="334155"/>
                <w:sz w:val="20"/>
                <w:szCs w:val="20"/>
              </w:rPr>
              <w:t xml:space="preserve">MPIE: Every prediction includes a feature attribution breakdown — which pressure factors drove the call. Conventional: Black-box probability outputs with limited interpretability.</w:t>
            </w:r>
          </w:p>
        </w:tc>
      </w:tr>
    </w:tbl>
    <w:p>
      <w:pPr>
        <w:spacing w:after="200" w:before="0"/>
      </w:pPr>
    </w:p>
    <w:p>
      <w:pPr>
        <w:pStyle w:val="Heading1"/>
        <w:spacing w:after="120" w:before="400"/>
      </w:pPr>
      <w:r>
        <w:rPr>
          <w:rFonts w:ascii="Arial" w:cs="Arial" w:eastAsia="Arial" w:hAnsi="Arial"/>
          <w:b/>
          <w:bCs/>
          <w:color w:val="0A1628"/>
          <w:sz w:val="32"/>
          <w:szCs w:val="32"/>
        </w:rPr>
        <w:t xml:space="preserve">8. Governance &amp; Accountability Integration</w:t>
      </w:r>
    </w:p>
    <w:p>
      <w:pPr>
        <w:spacing w:after="200" w:before="0"/>
      </w:pPr>
    </w:p>
    <w:p>
      <w:pPr>
        <w:spacing w:after="80" w:before="0"/>
      </w:pPr>
    </w:p>
    <w:p>
      <w:pPr>
        <w:spacing w:after="100" w:before="80"/>
      </w:pPr>
      <w:r>
        <w:rPr>
          <w:rFonts w:ascii="Arial" w:cs="Arial" w:eastAsia="Arial" w:hAnsi="Arial"/>
          <w:color w:val="0A1628"/>
          <w:sz w:val="22"/>
          <w:szCs w:val="22"/>
        </w:rPr>
        <w:t xml:space="preserve">As a Sierra Warren Developments system, MPIE is designed with an accountability architecture consistent with the Glass Substrate Protocol (GSP) — SWD's proprietary cryptographic AI accountability framework. In production deployment contexts requiring auditability, MPIE can be configured to operate under GSP governance:</w:t>
      </w:r>
    </w:p>
    <w:p>
      <w:pPr>
        <w:spacing w:after="120" w:before="0"/>
      </w:pPr>
    </w:p>
    <w:p>
      <w:pPr>
        <w:pStyle w:val="ListParagraph"/>
        <w:numPr>
          <w:ilvl w:val="0"/>
          <w:numId w:val="2"/>
        </w:numPr>
        <w:spacing w:after="60" w:before="60"/>
      </w:pPr>
      <w:r>
        <w:rPr>
          <w:rFonts w:ascii="Arial" w:cs="Arial" w:eastAsia="Arial" w:hAnsi="Arial"/>
          <w:color w:val="0A1628"/>
          <w:sz w:val="22"/>
          <w:szCs w:val="22"/>
        </w:rPr>
        <w:t xml:space="preserve">Prediction audit trail generation via GSP cryptographic attestation chain — each prediction linked to model version, input feature snapshot, and timestamp</w:t>
      </w:r>
    </w:p>
    <w:p>
      <w:pPr>
        <w:pStyle w:val="ListParagraph"/>
        <w:numPr>
          <w:ilvl w:val="0"/>
          <w:numId w:val="2"/>
        </w:numPr>
        <w:spacing w:after="60" w:before="60"/>
      </w:pPr>
      <w:r>
        <w:rPr>
          <w:rFonts w:ascii="Arial" w:cs="Arial" w:eastAsia="Arial" w:hAnsi="Arial"/>
          <w:color w:val="0A1628"/>
          <w:sz w:val="22"/>
          <w:szCs w:val="22"/>
        </w:rPr>
        <w:t xml:space="preserve">WORM (Write Once Read Many) log integration for immutable prediction and model decision records</w:t>
      </w:r>
    </w:p>
    <w:p>
      <w:pPr>
        <w:pStyle w:val="ListParagraph"/>
        <w:numPr>
          <w:ilvl w:val="0"/>
          <w:numId w:val="2"/>
        </w:numPr>
        <w:spacing w:after="60" w:before="60"/>
      </w:pPr>
      <w:r>
        <w:rPr>
          <w:rFonts w:ascii="Arial" w:cs="Arial" w:eastAsia="Arial" w:hAnsi="Arial"/>
          <w:color w:val="0A1628"/>
          <w:sz w:val="22"/>
          <w:szCs w:val="22"/>
        </w:rPr>
        <w:t xml:space="preserve">Human-in-the-loop enforcement gates for high-stakes or high-value prediction outputs requiring analyst review before downstream use</w:t>
      </w:r>
    </w:p>
    <w:p>
      <w:pPr>
        <w:pStyle w:val="ListParagraph"/>
        <w:numPr>
          <w:ilvl w:val="0"/>
          <w:numId w:val="2"/>
        </w:numPr>
        <w:spacing w:after="60" w:before="60"/>
      </w:pPr>
      <w:r>
        <w:rPr>
          <w:rFonts w:ascii="Arial" w:cs="Arial" w:eastAsia="Arial" w:hAnsi="Arial"/>
          <w:color w:val="0A1628"/>
          <w:sz w:val="22"/>
          <w:szCs w:val="22"/>
        </w:rPr>
        <w:t xml:space="preserve">Sierra Certified™ compliance pathway for institutional deployments requiring third-party AI accountability verification</w:t>
      </w:r>
    </w:p>
    <w:p>
      <w:pPr>
        <w:spacing w:after="140" w:before="0"/>
      </w:pPr>
    </w:p>
    <w:p>
      <w:pPr>
        <w:spacing w:after="100" w:before="80"/>
      </w:pPr>
      <w:r>
        <w:rPr>
          <w:rFonts w:ascii="Arial" w:cs="Arial" w:eastAsia="Arial" w:hAnsi="Arial"/>
          <w:color w:val="0A1628"/>
          <w:sz w:val="22"/>
          <w:szCs w:val="22"/>
        </w:rPr>
        <w:t xml:space="preserve">This governance layer positions MPIE as an enterprise-grade system designed not just for predictive accuracy, but for the institutional trust infrastructure required in regulated or high-stakes deployment environments.</w:t>
      </w:r>
    </w:p>
    <w:p>
      <w:pPr>
        <w:spacing w:after="200" w:before="0"/>
      </w:pPr>
    </w:p>
    <w:p>
      <w:pPr>
        <w:pStyle w:val="Heading1"/>
        <w:spacing w:after="120" w:before="400"/>
      </w:pPr>
      <w:r>
        <w:rPr>
          <w:rFonts w:ascii="Arial" w:cs="Arial" w:eastAsia="Arial" w:hAnsi="Arial"/>
          <w:b/>
          <w:bCs/>
          <w:color w:val="0A1628"/>
          <w:sz w:val="32"/>
          <w:szCs w:val="32"/>
        </w:rPr>
        <w:t xml:space="preserve">9. Development Roadmap</w:t>
      </w:r>
    </w:p>
    <w:p>
      <w:pPr>
        <w:spacing w:after="20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00"/>
            </w:tcMar>
          </w:tcPr>
          <w:p>
            <w:r>
              <w:rPr>
                <w:rFonts w:ascii="Arial" w:cs="Arial" w:eastAsia="Arial" w:hAnsi="Arial"/>
                <w:b/>
                <w:bCs/>
                <w:color w:val="FFFFFF"/>
                <w:sz w:val="20"/>
                <w:szCs w:val="20"/>
              </w:rPr>
              <w:t xml:space="preserve">Phase</w:t>
            </w:r>
          </w:p>
        </w:tc>
        <w:tc>
          <w:tcPr>
            <w:tcW w:type="dxa" w:w="46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00"/>
            </w:tcMar>
          </w:tcPr>
          <w:p>
            <w:r>
              <w:rPr>
                <w:rFonts w:ascii="Arial" w:cs="Arial" w:eastAsia="Arial" w:hAnsi="Arial"/>
                <w:b/>
                <w:bCs/>
                <w:color w:val="FFFFFF"/>
                <w:sz w:val="20"/>
                <w:szCs w:val="20"/>
              </w:rPr>
              <w:t xml:space="preserve">Milestones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0A1628"/>
                <w:sz w:val="20"/>
                <w:szCs w:val="20"/>
              </w:rPr>
              <w:t xml:space="preserve">Phase 1 — NBA Foundation
(Complete / In Progress)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color w:val="334155"/>
                <w:sz w:val="20"/>
                <w:szCs w:val="20"/>
              </w:rPr>
              <w:t xml:space="preserve">NBAPPI framework validated. Core pressure feature classes defined. scikit-learn baseline models trained on historical NBA playoff data. FastAPI inference layer operational.</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0A1628"/>
                <w:sz w:val="20"/>
                <w:szCs w:val="20"/>
              </w:rPr>
              <w:t xml:space="preserve">Phase 2 — Deep Learning Integration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color w:val="334155"/>
                <w:sz w:val="20"/>
                <w:szCs w:val="20"/>
              </w:rPr>
              <w:t xml:space="preserve">PyTorch LSTM and attention layers integrated for pressure-sequence modeling. Dual-engine ensemble architecture validated. Performer archetype classification model deployed.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0A1628"/>
                <w:sz w:val="20"/>
                <w:szCs w:val="20"/>
              </w:rPr>
              <w:t xml:space="preserve">Phase 3 — Multi-Sport Expansion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color w:val="334155"/>
                <w:sz w:val="20"/>
                <w:szCs w:val="20"/>
              </w:rPr>
              <w:t xml:space="preserve">Framework generalized beyond NBA to NFL, MLB, and international markets. Market pressure signal ingestion expanded to multi-book line aggregation.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b/>
                <w:bCs/>
                <w:color w:val="0A1628"/>
                <w:sz w:val="20"/>
                <w:szCs w:val="20"/>
              </w:rPr>
              <w:t xml:space="preserve">Phase 4 — Production Hardening</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00"/>
            </w:tcMar>
          </w:tcPr>
          <w:p>
            <w:r>
              <w:rPr>
                <w:rFonts w:ascii="Arial" w:cs="Arial" w:eastAsia="Arial" w:hAnsi="Arial"/>
                <w:color w:val="334155"/>
                <w:sz w:val="20"/>
                <w:szCs w:val="20"/>
              </w:rPr>
              <w:t xml:space="preserve">Kubernetes orchestration production-ready. Redis caching optimized for real-time game-day inference load. GSP governance integration complete for institutional deployment.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b/>
                <w:bCs/>
                <w:color w:val="0A1628"/>
                <w:sz w:val="20"/>
                <w:szCs w:val="20"/>
              </w:rPr>
              <w:t xml:space="preserve">Phase 5 — Institutional Deployment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r>
              <w:rPr>
                <w:rFonts w:ascii="Arial" w:cs="Arial" w:eastAsia="Arial" w:hAnsi="Arial"/>
                <w:color w:val="334155"/>
                <w:sz w:val="20"/>
                <w:szCs w:val="20"/>
              </w:rPr>
              <w:t xml:space="preserve">API productized for institutional partner integration. Sierra Certified™ compliance documentation complete. Licensing and partnership framework established.</w:t>
            </w:r>
          </w:p>
        </w:tc>
      </w:tr>
    </w:tbl>
    <w:p>
      <w:pPr>
        <w:spacing w:after="200" w:before="0"/>
      </w:pPr>
    </w:p>
    <w:p>
      <w:pPr>
        <w:pStyle w:val="Heading1"/>
        <w:spacing w:after="120" w:before="400"/>
      </w:pPr>
      <w:r>
        <w:rPr>
          <w:rFonts w:ascii="Arial" w:cs="Arial" w:eastAsia="Arial" w:hAnsi="Arial"/>
          <w:b/>
          <w:bCs/>
          <w:color w:val="0A1628"/>
          <w:sz w:val="32"/>
          <w:szCs w:val="32"/>
        </w:rPr>
        <w:t xml:space="preserve">10. Intellectual Property &amp; Authorship</w:t>
      </w:r>
    </w:p>
    <w:p>
      <w:pPr>
        <w:spacing w:after="200" w:before="0"/>
      </w:pPr>
    </w:p>
    <w:p>
      <w:pPr>
        <w:spacing w:after="80" w:before="0"/>
      </w:pPr>
    </w:p>
    <w:p>
      <w:pPr>
        <w:spacing w:after="100" w:before="80"/>
      </w:pPr>
      <w:r>
        <w:rPr>
          <w:rFonts w:ascii="Arial" w:cs="Arial" w:eastAsia="Arial" w:hAnsi="Arial"/>
          <w:color w:val="0A1628"/>
          <w:sz w:val="22"/>
          <w:szCs w:val="22"/>
        </w:rPr>
        <w:t xml:space="preserve">The Market Pressure Intelligence Engine (MPIE), the NBA Playoff Pressure Index (NBAPPI) framework, the Pressure Differential Score (PDS), the Pressure Load Index (PLI), and all associated methodologies, feature class architectures, and model designs are the exclusive intellectual property of Sierra Warren Developments, LLC.</w:t>
      </w:r>
    </w:p>
    <w:p>
      <w:pPr>
        <w:spacing w:after="120" w:before="0"/>
      </w:pPr>
    </w:p>
    <w:p>
      <w:pPr>
        <w:pStyle w:val="ListParagraph"/>
        <w:numPr>
          <w:ilvl w:val="0"/>
          <w:numId w:val="2"/>
        </w:numPr>
        <w:spacing w:after="60" w:before="60"/>
      </w:pPr>
      <w:r>
        <w:rPr>
          <w:rFonts w:ascii="Arial" w:cs="Arial" w:eastAsia="Arial" w:hAnsi="Arial"/>
          <w:color w:val="0A1628"/>
          <w:sz w:val="22"/>
          <w:szCs w:val="22"/>
        </w:rPr>
        <w:t xml:space="preserve">Sole author and architect: Sierra N. Warren, M.Eng., Founder, Sierra Warren Developments, LLC</w:t>
      </w:r>
    </w:p>
    <w:p>
      <w:pPr>
        <w:pStyle w:val="ListParagraph"/>
        <w:numPr>
          <w:ilvl w:val="0"/>
          <w:numId w:val="2"/>
        </w:numPr>
        <w:spacing w:after="60" w:before="60"/>
      </w:pPr>
      <w:r>
        <w:rPr>
          <w:rFonts w:ascii="Arial" w:cs="Arial" w:eastAsia="Arial" w:hAnsi="Arial"/>
          <w:color w:val="0A1628"/>
          <w:sz w:val="22"/>
          <w:szCs w:val="22"/>
        </w:rPr>
        <w:t xml:space="preserve">Framework origin documentation: NBA Playoff Pressure Index — internal SWD research archive</w:t>
      </w:r>
    </w:p>
    <w:p>
      <w:pPr>
        <w:pStyle w:val="ListParagraph"/>
        <w:numPr>
          <w:ilvl w:val="0"/>
          <w:numId w:val="2"/>
        </w:numPr>
        <w:spacing w:after="60" w:before="60"/>
      </w:pPr>
      <w:r>
        <w:rPr>
          <w:rFonts w:ascii="Arial" w:cs="Arial" w:eastAsia="Arial" w:hAnsi="Arial"/>
          <w:color w:val="0A1628"/>
          <w:sz w:val="22"/>
          <w:szCs w:val="22"/>
        </w:rPr>
        <w:t xml:space="preserve">System architecture and ML pipeline design: proprietary to Sierra Warren Developments, LLC</w:t>
      </w:r>
    </w:p>
    <w:p>
      <w:pPr>
        <w:pStyle w:val="ListParagraph"/>
        <w:numPr>
          <w:ilvl w:val="0"/>
          <w:numId w:val="2"/>
        </w:numPr>
        <w:spacing w:after="60" w:before="60"/>
      </w:pPr>
      <w:r>
        <w:rPr>
          <w:rFonts w:ascii="Arial" w:cs="Arial" w:eastAsia="Arial" w:hAnsi="Arial"/>
          <w:color w:val="0A1628"/>
          <w:sz w:val="22"/>
          <w:szCs w:val="22"/>
        </w:rPr>
        <w:t xml:space="preserve">Any reproduction, derivative use, or institutional adoption of MPIE methodology requires explicit written attribution to Sierra Warren Developments, LLC as the originating systems architect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IP NOTICE</w:t>
            </w:r>
          </w:p>
        </w:tc>
        <w:tc>
          <w:tcPr>
            <w:tcW w:type="dxa" w:w="8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i/>
                <w:iCs/>
                <w:color w:val="0A1628"/>
                <w:sz w:val="21"/>
                <w:szCs w:val="21"/>
              </w:rPr>
              <w:t xml:space="preserve">This document is confidential and proprietary. Distribution is limited to authorized parties. The methodologies, feature architectures, and system designs described herein are the sole intellectual property of Sierra Warren Developments, LLC. © 2025–2026 All Rights Reserved.</w:t>
            </w:r>
          </w:p>
        </w:tc>
      </w:tr>
    </w:tbl>
    <w:p>
      <w:pPr>
        <w:spacing w:after="300" w:before="0"/>
      </w:pPr>
    </w:p>
    <w:p>
      <w:pPr>
        <w:spacing w:after="200" w:before="0"/>
      </w:pPr>
    </w:p>
    <w:p>
      <w:pPr>
        <w:spacing w:after="120" w:before="0"/>
      </w:pPr>
    </w:p>
    <w:p>
      <w:pPr>
        <w:spacing w:after="80" w:before="0"/>
        <w:jc w:val="center"/>
      </w:pPr>
      <w:r>
        <w:rPr>
          <w:rFonts w:ascii="Arial" w:cs="Arial" w:eastAsia="Arial" w:hAnsi="Arial"/>
          <w:b/>
          <w:bCs/>
          <w:color w:val="2563EB"/>
          <w:spacing w:val="60"/>
          <w:sz w:val="20"/>
          <w:szCs w:val="20"/>
        </w:rPr>
        <w:t xml:space="preserve">SIERRA WARREN DEVELOPMENTS, LLC</w:t>
      </w:r>
    </w:p>
    <w:p>
      <w:pPr>
        <w:spacing w:after="80" w:before="0"/>
        <w:jc w:val="center"/>
      </w:pPr>
      <w:r>
        <w:rPr>
          <w:rFonts w:ascii="Arial" w:cs="Arial" w:eastAsia="Arial" w:hAnsi="Arial"/>
          <w:i/>
          <w:iCs/>
          <w:color w:val="94A3B8"/>
          <w:sz w:val="18"/>
          <w:szCs w:val="18"/>
        </w:rPr>
        <w:t xml:space="preserve">Applied AI &amp; Civic Systems Architecture  |  Louisville, Kentucky</w:t>
      </w:r>
    </w:p>
    <w:p>
      <w:pPr>
        <w:spacing w:after="0" w:before="0"/>
        <w:jc w:val="center"/>
      </w:pPr>
      <w:r>
        <w:rPr>
          <w:rFonts w:ascii="Arial" w:cs="Arial" w:eastAsia="Arial" w:hAnsi="Arial"/>
          <w:color w:val="2563EB"/>
          <w:sz w:val="18"/>
          <w:szCs w:val="18"/>
        </w:rPr>
        <w:t xml:space="preserve">sierrawarrendevelopments.com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026"/>
      </w:tabs>
      <w:spacing w:after="0" w:before="160"/>
    </w:pPr>
    <w:r>
      <w:rPr>
        <w:rFonts w:ascii="Arial" w:cs="Arial" w:eastAsia="Arial" w:hAnsi="Arial"/>
        <w:color w:val="94A3B8"/>
        <w:sz w:val="16"/>
        <w:szCs w:val="16"/>
      </w:rPr>
      <w:t xml:space="preserve">© 2025–2026 Sierra Warren Developments, LLC. All rights reserved. Proprietary &amp; Confidential.</w:t>
    </w:r>
    <w:r>
      <w:rPr>
        <w:rFonts w:ascii="Arial" w:cs="Arial" w:eastAsia="Arial" w:hAnsi="Arial"/>
        <w:color w:val="94A3B8"/>
        <w:sz w:val="16"/>
        <w:szCs w:val="16"/>
      </w:rPr>
      <w:t xml:space="preserve">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160" w:before="0"/>
    </w:pPr>
    <w:r>
      <w:rPr>
        <w:rFonts w:ascii="Arial" w:cs="Arial" w:eastAsia="Arial" w:hAnsi="Arial"/>
        <w:b/>
        <w:bCs/>
        <w:color w:val="1A3A6B"/>
        <w:sz w:val="18"/>
        <w:szCs w:val="18"/>
      </w:rPr>
      <w:t xml:space="preserve">SIERRA WARREN DEVELOPMENTS, LLC</w:t>
    </w:r>
    <w:r>
      <w:rPr>
        <w:rFonts w:ascii="Arial" w:cs="Arial" w:eastAsia="Arial" w:hAnsi="Arial"/>
        <w:color w:val="94A3B8"/>
        <w:sz w:val="18"/>
        <w:szCs w:val="18"/>
      </w:rPr>
      <w:t xml:space="preserve">   |   </w:t>
    </w:r>
    <w:r>
      <w:rPr>
        <w:rFonts w:ascii="Arial" w:cs="Arial" w:eastAsia="Arial" w:hAnsi="Arial"/>
        <w:color w:val="94A3B8"/>
        <w:sz w:val="18"/>
        <w:szCs w:val="18"/>
      </w:rPr>
      <w:t xml:space="preserve">MARKET PRESSURE INTELLIGENCE ENGINE (MPIE) — TECHNICAL OVERVIEW</w:t>
    </w:r>
    <w:r>
      <w:rPr>
        <w:rFonts w:ascii="Arial" w:cs="Arial" w:eastAsia="Arial" w:hAnsi="Arial"/>
        <w:color w:val="94A3B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A1628"/>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2026-06-23T09:14:16.332Z</dcterms:created>
  <dcterms:modified xsi:type="dcterms:W3CDTF">2026-06-23T09:14:16.332Z</dcterms:modified>
</cp:coreProperties>
</file>

<file path=docProps/custom.xml><?xml version="1.0" encoding="utf-8"?>
<Properties xmlns="http://schemas.openxmlformats.org/officeDocument/2006/custom-properties" xmlns:vt="http://schemas.openxmlformats.org/officeDocument/2006/docPropsVTypes"/>
</file>