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8894" w14:textId="4AA3529D" w:rsidR="003A095A" w:rsidRDefault="003A095A" w:rsidP="003B17E9">
      <w:pPr>
        <w:spacing w:line="240" w:lineRule="auto"/>
      </w:pPr>
      <w:r>
        <w:t>Stephanie Richards</w:t>
      </w:r>
    </w:p>
    <w:p w14:paraId="1313FE0D" w14:textId="26EB8758" w:rsidR="003A095A" w:rsidRDefault="003B17E9" w:rsidP="003B17E9">
      <w:pPr>
        <w:spacing w:line="240" w:lineRule="auto"/>
      </w:pPr>
      <w:r>
        <w:t>9 January 2009</w:t>
      </w:r>
    </w:p>
    <w:p w14:paraId="34B3F3EA" w14:textId="6D54FFC8" w:rsidR="003B17E9" w:rsidRDefault="003B17E9" w:rsidP="003B17E9">
      <w:pPr>
        <w:spacing w:line="240" w:lineRule="auto"/>
      </w:pPr>
      <w:r>
        <w:t>Data Visualization and Analytics Boot Camp</w:t>
      </w:r>
    </w:p>
    <w:p w14:paraId="521CAB0E" w14:textId="70E59AA8" w:rsidR="00797E8D" w:rsidRDefault="003A095A" w:rsidP="003B17E9">
      <w:pPr>
        <w:spacing w:line="240" w:lineRule="auto"/>
      </w:pPr>
      <w:r>
        <w:t>Excel Challenge – Homework #1</w:t>
      </w:r>
    </w:p>
    <w:p w14:paraId="336B1ABD" w14:textId="2EED9A4E" w:rsidR="003B17E9" w:rsidRPr="001A534C" w:rsidRDefault="003B17E9" w:rsidP="003B17E9">
      <w:pPr>
        <w:spacing w:line="240" w:lineRule="auto"/>
        <w:rPr>
          <w:rFonts w:cstheme="minorHAnsi"/>
          <w:sz w:val="24"/>
          <w:szCs w:val="24"/>
        </w:rPr>
      </w:pPr>
    </w:p>
    <w:p w14:paraId="22FB61AE" w14:textId="5D4ABC42" w:rsidR="005D5B74" w:rsidRDefault="00B8480C" w:rsidP="001A534C">
      <w:pPr>
        <w:rPr>
          <w:rFonts w:cstheme="minorHAnsi"/>
          <w:sz w:val="24"/>
          <w:szCs w:val="24"/>
        </w:rPr>
      </w:pPr>
      <w:r w:rsidRPr="001A534C">
        <w:rPr>
          <w:rFonts w:cstheme="minorHAnsi"/>
          <w:sz w:val="24"/>
          <w:szCs w:val="24"/>
        </w:rPr>
        <w:tab/>
        <w:t>Kick</w:t>
      </w:r>
      <w:r w:rsidR="001A534C" w:rsidRPr="001A534C">
        <w:rPr>
          <w:rFonts w:cstheme="minorHAnsi"/>
          <w:sz w:val="24"/>
          <w:szCs w:val="24"/>
        </w:rPr>
        <w:t>starter</w:t>
      </w:r>
      <w:r w:rsidR="001A534C">
        <w:rPr>
          <w:rFonts w:cstheme="minorHAnsi"/>
          <w:sz w:val="24"/>
          <w:szCs w:val="24"/>
        </w:rPr>
        <w:t xml:space="preserve"> </w:t>
      </w:r>
      <w:r w:rsidR="00152E64">
        <w:rPr>
          <w:rFonts w:cstheme="minorHAnsi"/>
          <w:sz w:val="24"/>
          <w:szCs w:val="24"/>
        </w:rPr>
        <w:t xml:space="preserve">is </w:t>
      </w:r>
      <w:r w:rsidR="00557E0B">
        <w:rPr>
          <w:rFonts w:cstheme="minorHAnsi"/>
          <w:sz w:val="24"/>
          <w:szCs w:val="24"/>
        </w:rPr>
        <w:t>one of the largest and most important players when it comes to crowdfunding creative projects. An analysis</w:t>
      </w:r>
      <w:r w:rsidR="00AC447B">
        <w:rPr>
          <w:rFonts w:cstheme="minorHAnsi"/>
          <w:sz w:val="24"/>
          <w:szCs w:val="24"/>
        </w:rPr>
        <w:t xml:space="preserve"> of their </w:t>
      </w:r>
      <w:r w:rsidR="002C7D96">
        <w:rPr>
          <w:rFonts w:cstheme="minorHAnsi"/>
          <w:sz w:val="24"/>
          <w:szCs w:val="24"/>
        </w:rPr>
        <w:t xml:space="preserve">provided </w:t>
      </w:r>
      <w:r w:rsidR="00AC447B">
        <w:rPr>
          <w:rFonts w:cstheme="minorHAnsi"/>
          <w:sz w:val="24"/>
          <w:szCs w:val="24"/>
        </w:rPr>
        <w:t>data from 20</w:t>
      </w:r>
      <w:r w:rsidR="00526EB9">
        <w:rPr>
          <w:rFonts w:cstheme="minorHAnsi"/>
          <w:sz w:val="24"/>
          <w:szCs w:val="24"/>
        </w:rPr>
        <w:t>09</w:t>
      </w:r>
      <w:r w:rsidR="00AC447B">
        <w:rPr>
          <w:rFonts w:cstheme="minorHAnsi"/>
          <w:sz w:val="24"/>
          <w:szCs w:val="24"/>
        </w:rPr>
        <w:t xml:space="preserve"> to</w:t>
      </w:r>
      <w:r w:rsidR="00526EB9">
        <w:rPr>
          <w:rFonts w:cstheme="minorHAnsi"/>
          <w:sz w:val="24"/>
          <w:szCs w:val="24"/>
        </w:rPr>
        <w:t xml:space="preserve"> 2017 </w:t>
      </w:r>
      <w:r w:rsidR="00DE3A8E">
        <w:rPr>
          <w:rFonts w:cstheme="minorHAnsi"/>
          <w:sz w:val="24"/>
          <w:szCs w:val="24"/>
        </w:rPr>
        <w:t xml:space="preserve">shows some interesting trends in </w:t>
      </w:r>
      <w:r w:rsidR="00CF6C46">
        <w:rPr>
          <w:rFonts w:cstheme="minorHAnsi"/>
          <w:sz w:val="24"/>
          <w:szCs w:val="24"/>
        </w:rPr>
        <w:t xml:space="preserve">who </w:t>
      </w:r>
      <w:r w:rsidR="005A7ED7">
        <w:rPr>
          <w:rFonts w:cstheme="minorHAnsi"/>
          <w:sz w:val="24"/>
          <w:szCs w:val="24"/>
        </w:rPr>
        <w:t>is using the platform and the kinds of projects that have the most success.</w:t>
      </w:r>
    </w:p>
    <w:p w14:paraId="7AFF52BE" w14:textId="615019B8" w:rsidR="00AC447B" w:rsidRDefault="005D5B74" w:rsidP="001A53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Theater is by far the</w:t>
      </w:r>
      <w:r w:rsidR="0055366A">
        <w:rPr>
          <w:rFonts w:cstheme="minorHAnsi"/>
          <w:sz w:val="24"/>
          <w:szCs w:val="24"/>
        </w:rPr>
        <w:t xml:space="preserve"> largest </w:t>
      </w:r>
      <w:r w:rsidR="000409EB">
        <w:rPr>
          <w:rFonts w:cstheme="minorHAnsi"/>
          <w:sz w:val="24"/>
          <w:szCs w:val="24"/>
        </w:rPr>
        <w:t xml:space="preserve">category active on Kickstarter, </w:t>
      </w:r>
      <w:r w:rsidR="0068317B">
        <w:rPr>
          <w:rFonts w:cstheme="minorHAnsi"/>
          <w:sz w:val="24"/>
          <w:szCs w:val="24"/>
        </w:rPr>
        <w:t xml:space="preserve">with fundraising for plays making up the bulk of those campaigns. </w:t>
      </w:r>
    </w:p>
    <w:p w14:paraId="58F79922" w14:textId="75CE146C" w:rsidR="002B5B64" w:rsidRDefault="002B5B64" w:rsidP="001A534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4D9744" wp14:editId="03CB0BDF">
            <wp:extent cx="4495800" cy="247015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EF5323-3D60-4256-8B8E-36140437F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F279A7" w14:textId="753D9DAE" w:rsidR="00C629CA" w:rsidRDefault="00C629CA" w:rsidP="001A534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7D7119F" wp14:editId="15513F6E">
            <wp:extent cx="4495800" cy="28003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84885C3-FC1B-4CC9-9B70-C07424D9A2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FDE44B" w14:textId="46EA2C36" w:rsidR="00AC447B" w:rsidRDefault="00C629CA" w:rsidP="001A53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All-in-all, </w:t>
      </w:r>
      <w:r w:rsidR="00E91DC7">
        <w:rPr>
          <w:rFonts w:cstheme="minorHAnsi"/>
          <w:sz w:val="24"/>
          <w:szCs w:val="24"/>
        </w:rPr>
        <w:t>theatrical campaigns account for 34</w:t>
      </w:r>
      <w:r w:rsidR="00E25587">
        <w:rPr>
          <w:rFonts w:cstheme="minorHAnsi"/>
          <w:sz w:val="24"/>
          <w:szCs w:val="24"/>
        </w:rPr>
        <w:t>% of all projects on the platform – twice the number of the next closest category</w:t>
      </w:r>
      <w:r w:rsidR="00A65879">
        <w:rPr>
          <w:rFonts w:cstheme="minorHAnsi"/>
          <w:sz w:val="24"/>
          <w:szCs w:val="24"/>
        </w:rPr>
        <w:t>, music, which comes in at 17%</w:t>
      </w:r>
      <w:r w:rsidR="00CB677E">
        <w:rPr>
          <w:rFonts w:cstheme="minorHAnsi"/>
          <w:sz w:val="24"/>
          <w:szCs w:val="24"/>
        </w:rPr>
        <w:t xml:space="preserve">. </w:t>
      </w:r>
      <w:r w:rsidR="008659AE">
        <w:rPr>
          <w:rFonts w:cstheme="minorHAnsi"/>
          <w:sz w:val="24"/>
          <w:szCs w:val="24"/>
        </w:rPr>
        <w:t xml:space="preserve"> </w:t>
      </w:r>
      <w:r w:rsidR="00721966">
        <w:rPr>
          <w:rFonts w:cstheme="minorHAnsi"/>
          <w:sz w:val="24"/>
          <w:szCs w:val="24"/>
        </w:rPr>
        <w:t xml:space="preserve">The presence of theatrical data is so strong that it skews the </w:t>
      </w:r>
      <w:r w:rsidR="00843BDE">
        <w:rPr>
          <w:rFonts w:cstheme="minorHAnsi"/>
          <w:sz w:val="24"/>
          <w:szCs w:val="24"/>
        </w:rPr>
        <w:t>annual project curve of all projects to resemble</w:t>
      </w:r>
      <w:r w:rsidR="00073FE0">
        <w:rPr>
          <w:rFonts w:cstheme="minorHAnsi"/>
          <w:sz w:val="24"/>
          <w:szCs w:val="24"/>
        </w:rPr>
        <w:t xml:space="preserve"> the typical seasonal schedule of the broader theater industry. </w:t>
      </w:r>
    </w:p>
    <w:p w14:paraId="74735573" w14:textId="2887D883" w:rsidR="006C7D27" w:rsidRDefault="00943610" w:rsidP="001A534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A8182BB" wp14:editId="1D29E409">
            <wp:extent cx="5270500" cy="3484611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67" cy="348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D4633" w14:textId="733E925E" w:rsidR="00524027" w:rsidRDefault="002104E8" w:rsidP="001A534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2821869" wp14:editId="1F7C7D36">
            <wp:extent cx="5283200" cy="3493347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115" cy="35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43BA" w14:textId="658F6D6F" w:rsidR="00524027" w:rsidRPr="00C4346B" w:rsidRDefault="00524027" w:rsidP="001A534C">
      <w:pPr>
        <w:rPr>
          <w:rFonts w:cstheme="minorHAnsi"/>
          <w:sz w:val="24"/>
          <w:szCs w:val="24"/>
        </w:rPr>
      </w:pPr>
    </w:p>
    <w:p w14:paraId="6F5E9073" w14:textId="0E65A5F9" w:rsidR="006C7D27" w:rsidRDefault="00A657CA" w:rsidP="001A534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Note the pronounced peaks in May – the begin</w:t>
      </w:r>
      <w:r w:rsidR="008046E8">
        <w:rPr>
          <w:rFonts w:eastAsia="Times New Roman" w:cstheme="minorHAnsi"/>
          <w:sz w:val="24"/>
          <w:szCs w:val="24"/>
        </w:rPr>
        <w:t xml:space="preserve">ning of summer theater and </w:t>
      </w:r>
      <w:r w:rsidR="00CC6187">
        <w:rPr>
          <w:rFonts w:eastAsia="Times New Roman" w:cstheme="minorHAnsi"/>
          <w:sz w:val="24"/>
          <w:szCs w:val="24"/>
        </w:rPr>
        <w:t xml:space="preserve">lead-up to the world-wide fringe and festival season </w:t>
      </w:r>
      <w:r w:rsidR="00275F93">
        <w:rPr>
          <w:rFonts w:eastAsia="Times New Roman" w:cstheme="minorHAnsi"/>
          <w:sz w:val="24"/>
          <w:szCs w:val="24"/>
        </w:rPr>
        <w:t>–</w:t>
      </w:r>
      <w:r w:rsidR="00CC6187">
        <w:rPr>
          <w:rFonts w:eastAsia="Times New Roman" w:cstheme="minorHAnsi"/>
          <w:sz w:val="24"/>
          <w:szCs w:val="24"/>
        </w:rPr>
        <w:t xml:space="preserve"> </w:t>
      </w:r>
      <w:r w:rsidR="00275F93">
        <w:rPr>
          <w:rFonts w:eastAsia="Times New Roman" w:cstheme="minorHAnsi"/>
          <w:sz w:val="24"/>
          <w:szCs w:val="24"/>
        </w:rPr>
        <w:t xml:space="preserve">and again in October, which </w:t>
      </w:r>
      <w:r w:rsidR="00694DE6">
        <w:rPr>
          <w:rFonts w:eastAsia="Times New Roman" w:cstheme="minorHAnsi"/>
          <w:sz w:val="24"/>
          <w:szCs w:val="24"/>
        </w:rPr>
        <w:t xml:space="preserve">could </w:t>
      </w:r>
      <w:r w:rsidR="00275F93">
        <w:rPr>
          <w:rFonts w:eastAsia="Times New Roman" w:cstheme="minorHAnsi"/>
          <w:sz w:val="24"/>
          <w:szCs w:val="24"/>
        </w:rPr>
        <w:t xml:space="preserve">reflect the increase in programming leading up to the holiday season. </w:t>
      </w:r>
      <w:r w:rsidR="00000F53">
        <w:rPr>
          <w:rFonts w:eastAsia="Times New Roman" w:cstheme="minorHAnsi"/>
          <w:sz w:val="24"/>
          <w:szCs w:val="24"/>
        </w:rPr>
        <w:t>By comparison, no other</w:t>
      </w:r>
      <w:r w:rsidR="00C95331">
        <w:rPr>
          <w:rFonts w:eastAsia="Times New Roman" w:cstheme="minorHAnsi"/>
          <w:sz w:val="24"/>
          <w:szCs w:val="24"/>
        </w:rPr>
        <w:t xml:space="preserve"> category matches the </w:t>
      </w:r>
      <w:r w:rsidR="00037C91">
        <w:rPr>
          <w:rFonts w:eastAsia="Times New Roman" w:cstheme="minorHAnsi"/>
          <w:sz w:val="24"/>
          <w:szCs w:val="24"/>
        </w:rPr>
        <w:t>overall distribution</w:t>
      </w:r>
      <w:r w:rsidR="000C7534">
        <w:rPr>
          <w:rFonts w:eastAsia="Times New Roman" w:cstheme="minorHAnsi"/>
          <w:sz w:val="24"/>
          <w:szCs w:val="24"/>
        </w:rPr>
        <w:t>.</w:t>
      </w:r>
    </w:p>
    <w:p w14:paraId="231492CB" w14:textId="4007E7F8" w:rsidR="006C7D27" w:rsidRPr="00815C09" w:rsidRDefault="00815C09" w:rsidP="001A534C">
      <w:pPr>
        <w:rPr>
          <w:rFonts w:eastAsia="Times New Roman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5ADADB" wp14:editId="0FD5DB36">
            <wp:extent cx="5943600" cy="3194685"/>
            <wp:effectExtent l="0" t="0" r="0" b="571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83C4AD21-C559-4601-8D1D-402F9DFBC5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F93671D" w14:textId="77777777" w:rsidR="002177D6" w:rsidRDefault="002177D6" w:rsidP="000B3A86">
      <w:pPr>
        <w:ind w:firstLine="720"/>
        <w:rPr>
          <w:rFonts w:eastAsia="Times New Roman" w:cstheme="minorHAnsi"/>
          <w:sz w:val="24"/>
          <w:szCs w:val="24"/>
        </w:rPr>
      </w:pPr>
    </w:p>
    <w:p w14:paraId="2F9F2BBB" w14:textId="7986485F" w:rsidR="000B3A86" w:rsidRDefault="000B3A86" w:rsidP="000B3A86">
      <w:pPr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Interestingly, while Theater </w:t>
      </w:r>
      <w:r w:rsidR="00913DCC">
        <w:rPr>
          <w:rFonts w:eastAsia="Times New Roman" w:cstheme="minorHAnsi"/>
          <w:sz w:val="24"/>
          <w:szCs w:val="24"/>
        </w:rPr>
        <w:t>holds the dominant and most influential spot in Kickstarter’s project roster, musical projects actually hold the top spot for success</w:t>
      </w:r>
      <w:r w:rsidR="00D84D25">
        <w:rPr>
          <w:rFonts w:eastAsia="Times New Roman" w:cstheme="minorHAnsi"/>
          <w:sz w:val="24"/>
          <w:szCs w:val="24"/>
        </w:rPr>
        <w:t xml:space="preserve"> – </w:t>
      </w:r>
      <w:r w:rsidR="005B1BEE">
        <w:rPr>
          <w:rFonts w:eastAsia="Times New Roman" w:cstheme="minorHAnsi"/>
          <w:sz w:val="24"/>
          <w:szCs w:val="24"/>
        </w:rPr>
        <w:t>boasting</w:t>
      </w:r>
      <w:r w:rsidR="00D84D25">
        <w:rPr>
          <w:rFonts w:eastAsia="Times New Roman" w:cstheme="minorHAnsi"/>
          <w:sz w:val="24"/>
          <w:szCs w:val="24"/>
        </w:rPr>
        <w:t xml:space="preserve"> a </w:t>
      </w:r>
      <w:r w:rsidR="00755606">
        <w:rPr>
          <w:rFonts w:eastAsia="Times New Roman" w:cstheme="minorHAnsi"/>
          <w:sz w:val="24"/>
          <w:szCs w:val="24"/>
        </w:rPr>
        <w:t xml:space="preserve">77% success rate, as contrasted with the 60% </w:t>
      </w:r>
      <w:r w:rsidR="00C3162D">
        <w:rPr>
          <w:rFonts w:eastAsia="Times New Roman" w:cstheme="minorHAnsi"/>
          <w:sz w:val="24"/>
          <w:szCs w:val="24"/>
        </w:rPr>
        <w:t>success rate of rivals Theater and Film/Video</w:t>
      </w:r>
      <w:r w:rsidR="00161998">
        <w:rPr>
          <w:rStyle w:val="FootnoteReference"/>
          <w:rFonts w:eastAsia="Times New Roman" w:cstheme="minorHAnsi"/>
          <w:sz w:val="24"/>
          <w:szCs w:val="24"/>
        </w:rPr>
        <w:footnoteReference w:id="1"/>
      </w:r>
      <w:r w:rsidR="00A22729">
        <w:rPr>
          <w:rFonts w:eastAsia="Times New Roman" w:cstheme="minorHAnsi"/>
          <w:sz w:val="24"/>
          <w:szCs w:val="24"/>
        </w:rPr>
        <w:t xml:space="preserve">. </w:t>
      </w:r>
    </w:p>
    <w:p w14:paraId="2E25C1BD" w14:textId="77777777" w:rsidR="002177D6" w:rsidRDefault="002177D6" w:rsidP="000B3A86">
      <w:pPr>
        <w:ind w:firstLine="720"/>
        <w:rPr>
          <w:rFonts w:eastAsia="Times New Roman" w:cstheme="minorHAnsi"/>
          <w:sz w:val="24"/>
          <w:szCs w:val="24"/>
        </w:rPr>
      </w:pPr>
    </w:p>
    <w:p w14:paraId="215A521F" w14:textId="377BC004" w:rsidR="00E35931" w:rsidRPr="007337C7" w:rsidRDefault="0085293A" w:rsidP="00E35931">
      <w:pPr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Regardless of category, Kickstarter projects </w:t>
      </w:r>
      <w:r w:rsidR="00DB613C">
        <w:rPr>
          <w:rFonts w:eastAsia="Times New Roman" w:cstheme="minorHAnsi"/>
          <w:sz w:val="24"/>
          <w:szCs w:val="24"/>
        </w:rPr>
        <w:t xml:space="preserve">seem to be </w:t>
      </w:r>
      <w:r w:rsidR="00950C67">
        <w:rPr>
          <w:rFonts w:eastAsia="Times New Roman" w:cstheme="minorHAnsi"/>
          <w:sz w:val="24"/>
          <w:szCs w:val="24"/>
        </w:rPr>
        <w:t>successful inversely proportiona</w:t>
      </w:r>
      <w:r w:rsidR="00470F27">
        <w:rPr>
          <w:rFonts w:eastAsia="Times New Roman" w:cstheme="minorHAnsi"/>
          <w:sz w:val="24"/>
          <w:szCs w:val="24"/>
        </w:rPr>
        <w:t xml:space="preserve">te </w:t>
      </w:r>
      <w:r w:rsidR="00950C67">
        <w:rPr>
          <w:rFonts w:eastAsia="Times New Roman" w:cstheme="minorHAnsi"/>
          <w:sz w:val="24"/>
          <w:szCs w:val="24"/>
        </w:rPr>
        <w:t xml:space="preserve">to their fundraising goal. </w:t>
      </w:r>
      <w:r w:rsidR="00ED210A">
        <w:rPr>
          <w:rFonts w:eastAsia="Times New Roman" w:cstheme="minorHAnsi"/>
          <w:sz w:val="24"/>
          <w:szCs w:val="24"/>
        </w:rPr>
        <w:t>The higher the goal, the more likely the campaign is to fail</w:t>
      </w:r>
      <w:r w:rsidR="00E62409">
        <w:rPr>
          <w:rFonts w:eastAsia="Times New Roman" w:cstheme="minorHAnsi"/>
          <w:sz w:val="24"/>
          <w:szCs w:val="24"/>
        </w:rPr>
        <w:t>.</w:t>
      </w:r>
      <w:r w:rsidR="003E575B">
        <w:rPr>
          <w:rFonts w:eastAsia="Times New Roman" w:cstheme="minorHAnsi"/>
          <w:sz w:val="24"/>
          <w:szCs w:val="24"/>
        </w:rPr>
        <w:t xml:space="preserve">  </w:t>
      </w:r>
      <w:r w:rsidR="007337C7">
        <w:rPr>
          <w:rFonts w:eastAsia="Times New Roman" w:cstheme="minorHAnsi"/>
          <w:sz w:val="24"/>
          <w:szCs w:val="24"/>
        </w:rPr>
        <w:t xml:space="preserve">While it’s not possible to say that campaigns fail </w:t>
      </w:r>
      <w:r w:rsidR="007337C7">
        <w:rPr>
          <w:rFonts w:eastAsia="Times New Roman" w:cstheme="minorHAnsi"/>
          <w:i/>
          <w:iCs/>
          <w:sz w:val="24"/>
          <w:szCs w:val="24"/>
        </w:rPr>
        <w:t>because</w:t>
      </w:r>
      <w:r w:rsidR="007337C7">
        <w:rPr>
          <w:rFonts w:eastAsia="Times New Roman" w:cstheme="minorHAnsi"/>
          <w:sz w:val="24"/>
          <w:szCs w:val="24"/>
        </w:rPr>
        <w:t xml:space="preserve"> their goals are high, it </w:t>
      </w:r>
      <w:r w:rsidR="00DE6430">
        <w:rPr>
          <w:rFonts w:eastAsia="Times New Roman" w:cstheme="minorHAnsi"/>
          <w:sz w:val="24"/>
          <w:szCs w:val="24"/>
        </w:rPr>
        <w:t xml:space="preserve">makes logical sense given </w:t>
      </w:r>
      <w:r w:rsidR="006A089D">
        <w:rPr>
          <w:rFonts w:eastAsia="Times New Roman" w:cstheme="minorHAnsi"/>
          <w:sz w:val="24"/>
          <w:szCs w:val="24"/>
        </w:rPr>
        <w:t>the limited time frames of campaigns and Kickstarter’s all-or-nothing approach to funding</w:t>
      </w:r>
      <w:r w:rsidR="00EB1FEB">
        <w:rPr>
          <w:rFonts w:eastAsia="Times New Roman" w:cstheme="minorHAnsi"/>
          <w:sz w:val="24"/>
          <w:szCs w:val="24"/>
        </w:rPr>
        <w:t xml:space="preserve">. </w:t>
      </w:r>
      <w:r w:rsidR="00E32332">
        <w:rPr>
          <w:rFonts w:eastAsia="Times New Roman" w:cstheme="minorHAnsi"/>
          <w:sz w:val="24"/>
          <w:szCs w:val="24"/>
        </w:rPr>
        <w:t xml:space="preserve">It would make sense to break large </w:t>
      </w:r>
      <w:r w:rsidR="006039AC">
        <w:rPr>
          <w:rFonts w:eastAsia="Times New Roman" w:cstheme="minorHAnsi"/>
          <w:sz w:val="24"/>
          <w:szCs w:val="24"/>
        </w:rPr>
        <w:t>projects into smaller component stages in order to set lower and more achievable goals</w:t>
      </w:r>
      <w:r w:rsidR="002E0272">
        <w:rPr>
          <w:rFonts w:eastAsia="Times New Roman" w:cstheme="minorHAnsi"/>
          <w:sz w:val="24"/>
          <w:szCs w:val="24"/>
        </w:rPr>
        <w:t xml:space="preserve"> for each, rather than try to </w:t>
      </w:r>
      <w:r w:rsidR="00D42FED">
        <w:rPr>
          <w:rFonts w:eastAsia="Times New Roman" w:cstheme="minorHAnsi"/>
          <w:sz w:val="24"/>
          <w:szCs w:val="24"/>
        </w:rPr>
        <w:t>raise a large sum all at once on the platform.</w:t>
      </w:r>
    </w:p>
    <w:p w14:paraId="2318CFBE" w14:textId="3093636E" w:rsidR="00312C70" w:rsidRDefault="008D1ABB" w:rsidP="00E3593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24F29287" wp14:editId="0D442709">
            <wp:extent cx="6377888" cy="25590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24" cy="2583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AE7E4" w14:textId="10AB9327" w:rsidR="00795FC2" w:rsidRDefault="00795FC2" w:rsidP="00795FC2">
      <w:pPr>
        <w:rPr>
          <w:rFonts w:eastAsia="Times New Roman" w:cstheme="minorHAnsi"/>
          <w:sz w:val="24"/>
          <w:szCs w:val="24"/>
        </w:rPr>
      </w:pPr>
    </w:p>
    <w:p w14:paraId="2138F8B7" w14:textId="158D3CA4" w:rsidR="00222B70" w:rsidRDefault="009D0C76" w:rsidP="00795FC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It also logically follows that successful campaigns tend to boast a larger cohort of supporters than unsuccessful campaigns, with many failed campaigns </w:t>
      </w:r>
      <w:r w:rsidR="00566E4A">
        <w:rPr>
          <w:rFonts w:eastAsia="Times New Roman" w:cstheme="minorHAnsi"/>
          <w:sz w:val="24"/>
          <w:szCs w:val="24"/>
        </w:rPr>
        <w:t xml:space="preserve">receiving no support at all. </w:t>
      </w:r>
      <w:r w:rsidR="002D04A6">
        <w:rPr>
          <w:rFonts w:eastAsia="Times New Roman" w:cstheme="minorHAnsi"/>
          <w:sz w:val="24"/>
          <w:szCs w:val="24"/>
        </w:rPr>
        <w:t xml:space="preserve">Again, however, </w:t>
      </w:r>
      <w:r w:rsidR="00D40096">
        <w:rPr>
          <w:rFonts w:eastAsia="Times New Roman" w:cstheme="minorHAnsi"/>
          <w:sz w:val="24"/>
          <w:szCs w:val="24"/>
        </w:rPr>
        <w:t xml:space="preserve">it is difficult to use this </w:t>
      </w:r>
      <w:r w:rsidR="00085715">
        <w:rPr>
          <w:rFonts w:eastAsia="Times New Roman" w:cstheme="minorHAnsi"/>
          <w:sz w:val="24"/>
          <w:szCs w:val="24"/>
        </w:rPr>
        <w:t>measure to draw an</w:t>
      </w:r>
      <w:r w:rsidR="000C21CD">
        <w:rPr>
          <w:rFonts w:eastAsia="Times New Roman" w:cstheme="minorHAnsi"/>
          <w:sz w:val="24"/>
          <w:szCs w:val="24"/>
        </w:rPr>
        <w:t>y</w:t>
      </w:r>
      <w:r w:rsidR="00085715">
        <w:rPr>
          <w:rFonts w:eastAsia="Times New Roman" w:cstheme="minorHAnsi"/>
          <w:sz w:val="24"/>
          <w:szCs w:val="24"/>
        </w:rPr>
        <w:t xml:space="preserve"> kind of predictive conclusions about </w:t>
      </w:r>
      <w:r w:rsidR="00B818AE">
        <w:rPr>
          <w:rFonts w:eastAsia="Times New Roman" w:cstheme="minorHAnsi"/>
          <w:sz w:val="24"/>
          <w:szCs w:val="24"/>
        </w:rPr>
        <w:t xml:space="preserve">Kickstarter in general, as there are some significant outliers to this tendency. </w:t>
      </w:r>
      <w:r w:rsidR="00B142B7">
        <w:rPr>
          <w:rFonts w:eastAsia="Times New Roman" w:cstheme="minorHAnsi"/>
          <w:sz w:val="24"/>
          <w:szCs w:val="24"/>
        </w:rPr>
        <w:t xml:space="preserve">At least one successful campaign had only a single backer, and </w:t>
      </w:r>
      <w:r w:rsidR="008D2A00">
        <w:rPr>
          <w:rFonts w:eastAsia="Times New Roman" w:cstheme="minorHAnsi"/>
          <w:sz w:val="24"/>
          <w:szCs w:val="24"/>
        </w:rPr>
        <w:t xml:space="preserve">a failed campaign had over a thousand. </w:t>
      </w:r>
      <w:r w:rsidR="004A47BE">
        <w:rPr>
          <w:rStyle w:val="FootnoteReference"/>
          <w:rFonts w:eastAsia="Times New Roman" w:cstheme="minorHAnsi"/>
          <w:sz w:val="24"/>
          <w:szCs w:val="24"/>
        </w:rPr>
        <w:footnoteReference w:id="2"/>
      </w:r>
    </w:p>
    <w:p w14:paraId="702820A9" w14:textId="6C6631BE" w:rsidR="00413E8E" w:rsidRDefault="00636654" w:rsidP="001A534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There </w:t>
      </w:r>
      <w:r w:rsidR="001A1558">
        <w:rPr>
          <w:rFonts w:eastAsia="Times New Roman" w:cstheme="minorHAnsi"/>
          <w:sz w:val="24"/>
          <w:szCs w:val="24"/>
        </w:rPr>
        <w:t xml:space="preserve">are some significant limitations to this dataset, the primary being </w:t>
      </w:r>
      <w:r w:rsidR="0071506C">
        <w:rPr>
          <w:rFonts w:eastAsia="Times New Roman" w:cstheme="minorHAnsi"/>
          <w:sz w:val="24"/>
          <w:szCs w:val="24"/>
        </w:rPr>
        <w:t xml:space="preserve">that the set is incomplete. </w:t>
      </w:r>
      <w:r w:rsidR="002F32E5">
        <w:rPr>
          <w:rFonts w:eastAsia="Times New Roman" w:cstheme="minorHAnsi"/>
          <w:sz w:val="24"/>
          <w:szCs w:val="24"/>
        </w:rPr>
        <w:t xml:space="preserve">Several large and </w:t>
      </w:r>
      <w:r w:rsidR="00E27654">
        <w:rPr>
          <w:rFonts w:eastAsia="Times New Roman" w:cstheme="minorHAnsi"/>
          <w:sz w:val="24"/>
          <w:szCs w:val="24"/>
        </w:rPr>
        <w:t>famous</w:t>
      </w:r>
      <w:r w:rsidR="002F32E5">
        <w:rPr>
          <w:rFonts w:eastAsia="Times New Roman" w:cstheme="minorHAnsi"/>
          <w:sz w:val="24"/>
          <w:szCs w:val="24"/>
        </w:rPr>
        <w:t xml:space="preserve"> campaigns are not present, including 2013’s Veronica Mars movie, </w:t>
      </w:r>
      <w:r w:rsidR="00904618">
        <w:rPr>
          <w:rFonts w:eastAsia="Times New Roman" w:cstheme="minorHAnsi"/>
          <w:sz w:val="24"/>
          <w:szCs w:val="24"/>
        </w:rPr>
        <w:t xml:space="preserve">or </w:t>
      </w:r>
      <w:r w:rsidR="00A35A2A">
        <w:rPr>
          <w:rFonts w:eastAsia="Times New Roman" w:cstheme="minorHAnsi"/>
          <w:sz w:val="24"/>
          <w:szCs w:val="24"/>
        </w:rPr>
        <w:t xml:space="preserve">the successful re-tooling of Reading Rainbow in 2016. If these well-known examples </w:t>
      </w:r>
      <w:r w:rsidR="007023EF">
        <w:rPr>
          <w:rFonts w:eastAsia="Times New Roman" w:cstheme="minorHAnsi"/>
          <w:sz w:val="24"/>
          <w:szCs w:val="24"/>
        </w:rPr>
        <w:t xml:space="preserve">are not represented here, it is </w:t>
      </w:r>
      <w:r w:rsidR="004B735B">
        <w:rPr>
          <w:rFonts w:eastAsia="Times New Roman" w:cstheme="minorHAnsi"/>
          <w:sz w:val="24"/>
          <w:szCs w:val="24"/>
        </w:rPr>
        <w:t>impossible</w:t>
      </w:r>
      <w:r w:rsidR="007C174C">
        <w:rPr>
          <w:rFonts w:eastAsia="Times New Roman" w:cstheme="minorHAnsi"/>
          <w:sz w:val="24"/>
          <w:szCs w:val="24"/>
        </w:rPr>
        <w:t xml:space="preserve"> to know what else might be missing. </w:t>
      </w:r>
      <w:r w:rsidR="00B54B6C">
        <w:rPr>
          <w:rFonts w:eastAsia="Times New Roman" w:cstheme="minorHAnsi"/>
          <w:sz w:val="24"/>
          <w:szCs w:val="24"/>
        </w:rPr>
        <w:t>Without know</w:t>
      </w:r>
      <w:r w:rsidR="00A74197">
        <w:rPr>
          <w:rFonts w:eastAsia="Times New Roman" w:cstheme="minorHAnsi"/>
          <w:sz w:val="24"/>
          <w:szCs w:val="24"/>
        </w:rPr>
        <w:t>ing</w:t>
      </w:r>
      <w:r w:rsidR="00B54B6C">
        <w:rPr>
          <w:rFonts w:eastAsia="Times New Roman" w:cstheme="minorHAnsi"/>
          <w:sz w:val="24"/>
          <w:szCs w:val="24"/>
        </w:rPr>
        <w:t xml:space="preserve"> </w:t>
      </w:r>
      <w:r w:rsidR="007C174C">
        <w:rPr>
          <w:rFonts w:eastAsia="Times New Roman" w:cstheme="minorHAnsi"/>
          <w:sz w:val="24"/>
          <w:szCs w:val="24"/>
        </w:rPr>
        <w:t xml:space="preserve">what criteria led to </w:t>
      </w:r>
      <w:r w:rsidR="00B54B6C" w:rsidRPr="00B8539C">
        <w:rPr>
          <w:rFonts w:eastAsia="Times New Roman" w:cstheme="minorHAnsi"/>
          <w:i/>
          <w:iCs/>
          <w:sz w:val="24"/>
          <w:szCs w:val="24"/>
        </w:rPr>
        <w:t>these</w:t>
      </w:r>
      <w:r w:rsidR="00B54B6C">
        <w:rPr>
          <w:rFonts w:eastAsia="Times New Roman" w:cstheme="minorHAnsi"/>
          <w:sz w:val="24"/>
          <w:szCs w:val="24"/>
        </w:rPr>
        <w:t xml:space="preserve"> </w:t>
      </w:r>
      <w:r w:rsidR="003F3F2D">
        <w:rPr>
          <w:rFonts w:eastAsia="Times New Roman" w:cstheme="minorHAnsi"/>
          <w:sz w:val="24"/>
          <w:szCs w:val="24"/>
        </w:rPr>
        <w:t>data</w:t>
      </w:r>
      <w:r w:rsidR="00B54B6C">
        <w:rPr>
          <w:rFonts w:eastAsia="Times New Roman" w:cstheme="minorHAnsi"/>
          <w:sz w:val="24"/>
          <w:szCs w:val="24"/>
        </w:rPr>
        <w:t xml:space="preserve"> </w:t>
      </w:r>
      <w:r w:rsidR="00B8539C">
        <w:rPr>
          <w:rFonts w:eastAsia="Times New Roman" w:cstheme="minorHAnsi"/>
          <w:sz w:val="24"/>
          <w:szCs w:val="24"/>
        </w:rPr>
        <w:t xml:space="preserve">being </w:t>
      </w:r>
      <w:r w:rsidR="00B54B6C">
        <w:rPr>
          <w:rFonts w:eastAsia="Times New Roman" w:cstheme="minorHAnsi"/>
          <w:sz w:val="24"/>
          <w:szCs w:val="24"/>
        </w:rPr>
        <w:t>selected for this analysis</w:t>
      </w:r>
      <w:r w:rsidR="001147B4">
        <w:rPr>
          <w:rFonts w:eastAsia="Times New Roman" w:cstheme="minorHAnsi"/>
          <w:sz w:val="24"/>
          <w:szCs w:val="24"/>
        </w:rPr>
        <w:t>, it is difficult to draw meaningful conclusions about Kickstarter as a whole entity</w:t>
      </w:r>
      <w:r w:rsidR="002F32E5">
        <w:rPr>
          <w:rFonts w:eastAsia="Times New Roman" w:cstheme="minorHAnsi"/>
          <w:sz w:val="24"/>
          <w:szCs w:val="24"/>
        </w:rPr>
        <w:t>.</w:t>
      </w:r>
      <w:r w:rsidR="00F0734D">
        <w:rPr>
          <w:rFonts w:eastAsia="Times New Roman" w:cstheme="minorHAnsi"/>
          <w:sz w:val="24"/>
          <w:szCs w:val="24"/>
        </w:rPr>
        <w:t xml:space="preserve"> </w:t>
      </w:r>
      <w:r w:rsidR="005C4096">
        <w:rPr>
          <w:rFonts w:eastAsia="Times New Roman" w:cstheme="minorHAnsi"/>
          <w:sz w:val="24"/>
          <w:szCs w:val="24"/>
        </w:rPr>
        <w:t xml:space="preserve">The dataset also ends </w:t>
      </w:r>
      <w:r w:rsidR="00CC2393">
        <w:rPr>
          <w:rFonts w:eastAsia="Times New Roman" w:cstheme="minorHAnsi"/>
          <w:sz w:val="24"/>
          <w:szCs w:val="24"/>
        </w:rPr>
        <w:t>in mid-2017; I believe a truly fascinating analysis could be done now to look at how</w:t>
      </w:r>
      <w:r w:rsidR="00FF0F71">
        <w:rPr>
          <w:rFonts w:eastAsia="Times New Roman" w:cstheme="minorHAnsi"/>
          <w:sz w:val="24"/>
          <w:szCs w:val="24"/>
        </w:rPr>
        <w:t xml:space="preserve"> the Covid-19 </w:t>
      </w:r>
      <w:r w:rsidR="001117FA">
        <w:rPr>
          <w:rFonts w:eastAsia="Times New Roman" w:cstheme="minorHAnsi"/>
          <w:sz w:val="24"/>
          <w:szCs w:val="24"/>
        </w:rPr>
        <w:t>p</w:t>
      </w:r>
      <w:r w:rsidR="00FF0F71">
        <w:rPr>
          <w:rFonts w:eastAsia="Times New Roman" w:cstheme="minorHAnsi"/>
          <w:sz w:val="24"/>
          <w:szCs w:val="24"/>
        </w:rPr>
        <w:t xml:space="preserve">andemic’s mass closures of the entertainment industry change </w:t>
      </w:r>
      <w:r w:rsidR="000D146A">
        <w:rPr>
          <w:rFonts w:eastAsia="Times New Roman" w:cstheme="minorHAnsi"/>
          <w:sz w:val="24"/>
          <w:szCs w:val="24"/>
        </w:rPr>
        <w:t xml:space="preserve">how people interact </w:t>
      </w:r>
      <w:r w:rsidR="00DA5B6F">
        <w:rPr>
          <w:rFonts w:eastAsia="Times New Roman" w:cstheme="minorHAnsi"/>
          <w:sz w:val="24"/>
          <w:szCs w:val="24"/>
        </w:rPr>
        <w:t xml:space="preserve">with Kickstarter’s platform. </w:t>
      </w:r>
    </w:p>
    <w:p w14:paraId="0B2A4BC9" w14:textId="14C07C77" w:rsidR="006C7D27" w:rsidRDefault="007D3301" w:rsidP="001A534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It would be interesting to try to use t</w:t>
      </w:r>
      <w:r w:rsidR="00D42586">
        <w:rPr>
          <w:rFonts w:eastAsia="Times New Roman" w:cstheme="minorHAnsi"/>
          <w:sz w:val="24"/>
          <w:szCs w:val="24"/>
        </w:rPr>
        <w:t>hese data to dig further into possible factors in the success or failure of campaigns</w:t>
      </w:r>
      <w:r w:rsidR="009B15D8">
        <w:rPr>
          <w:rFonts w:eastAsia="Times New Roman" w:cstheme="minorHAnsi"/>
          <w:sz w:val="24"/>
          <w:szCs w:val="24"/>
        </w:rPr>
        <w:t xml:space="preserve">. </w:t>
      </w:r>
      <w:r w:rsidR="00DA7DDF">
        <w:rPr>
          <w:rFonts w:eastAsia="Times New Roman" w:cstheme="minorHAnsi"/>
          <w:sz w:val="24"/>
          <w:szCs w:val="24"/>
        </w:rPr>
        <w:t xml:space="preserve">Does being a “staff pick” </w:t>
      </w:r>
      <w:r w:rsidR="00242C4B">
        <w:rPr>
          <w:rFonts w:eastAsia="Times New Roman" w:cstheme="minorHAnsi"/>
          <w:sz w:val="24"/>
          <w:szCs w:val="24"/>
        </w:rPr>
        <w:t xml:space="preserve">tip your chance of success higher, or it is irrelevant? Do some countries have higher success rates overall than others? </w:t>
      </w:r>
      <w:r w:rsidR="002827C8">
        <w:rPr>
          <w:rFonts w:eastAsia="Times New Roman" w:cstheme="minorHAnsi"/>
          <w:sz w:val="24"/>
          <w:szCs w:val="24"/>
        </w:rPr>
        <w:t xml:space="preserve">Is there information in the project titles and descriptions that </w:t>
      </w:r>
      <w:r w:rsidR="0014777D">
        <w:rPr>
          <w:rFonts w:eastAsia="Times New Roman" w:cstheme="minorHAnsi"/>
          <w:sz w:val="24"/>
          <w:szCs w:val="24"/>
        </w:rPr>
        <w:t xml:space="preserve">influences success rates – for example, </w:t>
      </w:r>
      <w:r w:rsidR="00222A47">
        <w:rPr>
          <w:rFonts w:eastAsia="Times New Roman" w:cstheme="minorHAnsi"/>
          <w:sz w:val="24"/>
          <w:szCs w:val="24"/>
        </w:rPr>
        <w:t>good grammar and clean writing, keywords,</w:t>
      </w:r>
      <w:r w:rsidR="004B3D6C">
        <w:rPr>
          <w:rFonts w:eastAsia="Times New Roman" w:cstheme="minorHAnsi"/>
          <w:sz w:val="24"/>
          <w:szCs w:val="24"/>
        </w:rPr>
        <w:t xml:space="preserve"> or the name-dropping of popular participants.</w:t>
      </w:r>
      <w:r w:rsidR="00222A47">
        <w:rPr>
          <w:rFonts w:eastAsia="Times New Roman" w:cstheme="minorHAnsi"/>
          <w:sz w:val="24"/>
          <w:szCs w:val="24"/>
        </w:rPr>
        <w:t xml:space="preserve"> </w:t>
      </w:r>
      <w:r w:rsidR="00674CE8">
        <w:rPr>
          <w:rFonts w:eastAsia="Times New Roman" w:cstheme="minorHAnsi"/>
          <w:sz w:val="24"/>
          <w:szCs w:val="24"/>
        </w:rPr>
        <w:t>There is still a lot of information here to look at</w:t>
      </w:r>
      <w:r w:rsidR="001A21BC">
        <w:rPr>
          <w:rFonts w:eastAsia="Times New Roman" w:cstheme="minorHAnsi"/>
          <w:sz w:val="24"/>
          <w:szCs w:val="24"/>
        </w:rPr>
        <w:t>.</w:t>
      </w:r>
    </w:p>
    <w:p w14:paraId="1C467279" w14:textId="238C1620" w:rsidR="003A095A" w:rsidRDefault="003A095A" w:rsidP="001A534C">
      <w:pPr>
        <w:rPr>
          <w:rFonts w:cstheme="minorHAnsi"/>
          <w:sz w:val="24"/>
          <w:szCs w:val="24"/>
        </w:rPr>
      </w:pPr>
    </w:p>
    <w:p w14:paraId="5261ABF7" w14:textId="1E43A6EE" w:rsidR="0096224D" w:rsidRPr="001A534C" w:rsidRDefault="0096224D" w:rsidP="001A534C">
      <w:pPr>
        <w:rPr>
          <w:rFonts w:cstheme="minorHAnsi"/>
          <w:sz w:val="24"/>
          <w:szCs w:val="24"/>
        </w:rPr>
      </w:pPr>
    </w:p>
    <w:sectPr w:rsidR="0096224D" w:rsidRPr="001A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47F8A" w14:textId="77777777" w:rsidR="005B3970" w:rsidRDefault="005B3970" w:rsidP="00161998">
      <w:pPr>
        <w:spacing w:after="0" w:line="240" w:lineRule="auto"/>
      </w:pPr>
      <w:r>
        <w:separator/>
      </w:r>
    </w:p>
  </w:endnote>
  <w:endnote w:type="continuationSeparator" w:id="0">
    <w:p w14:paraId="35C1942F" w14:textId="77777777" w:rsidR="005B3970" w:rsidRDefault="005B3970" w:rsidP="0016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69055" w14:textId="77777777" w:rsidR="005B3970" w:rsidRDefault="005B3970" w:rsidP="00161998">
      <w:pPr>
        <w:spacing w:after="0" w:line="240" w:lineRule="auto"/>
      </w:pPr>
      <w:r>
        <w:separator/>
      </w:r>
    </w:p>
  </w:footnote>
  <w:footnote w:type="continuationSeparator" w:id="0">
    <w:p w14:paraId="1132040D" w14:textId="77777777" w:rsidR="005B3970" w:rsidRDefault="005B3970" w:rsidP="00161998">
      <w:pPr>
        <w:spacing w:after="0" w:line="240" w:lineRule="auto"/>
      </w:pPr>
      <w:r>
        <w:continuationSeparator/>
      </w:r>
    </w:p>
  </w:footnote>
  <w:footnote w:id="1">
    <w:p w14:paraId="676E71AD" w14:textId="2FD093A1" w:rsidR="00161998" w:rsidRDefault="001619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16597">
        <w:t xml:space="preserve">Please see </w:t>
      </w:r>
      <w:r w:rsidR="00274CD8">
        <w:t xml:space="preserve">accompanying </w:t>
      </w:r>
      <w:r w:rsidR="00F16597">
        <w:t xml:space="preserve">Excel </w:t>
      </w:r>
      <w:r w:rsidR="003D23E1">
        <w:t>workbook</w:t>
      </w:r>
      <w:r w:rsidR="00F16597">
        <w:t xml:space="preserve">, </w:t>
      </w:r>
      <w:r w:rsidR="003D23E1">
        <w:t>sheet</w:t>
      </w:r>
      <w:r w:rsidR="00F16597">
        <w:t xml:space="preserve"> “</w:t>
      </w:r>
      <w:r w:rsidR="0008054F">
        <w:t>Number v Category,” for success rates by category</w:t>
      </w:r>
      <w:r w:rsidR="00274CD8">
        <w:t>.</w:t>
      </w:r>
    </w:p>
  </w:footnote>
  <w:footnote w:id="2">
    <w:p w14:paraId="665C1932" w14:textId="73DAB686" w:rsidR="004A47BE" w:rsidRDefault="004A47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D23E1">
        <w:t>See Excel workbook, sheet “Summary Statistical Analysis.”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069F"/>
    <w:multiLevelType w:val="multilevel"/>
    <w:tmpl w:val="514C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5630D"/>
    <w:multiLevelType w:val="multilevel"/>
    <w:tmpl w:val="662A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5A"/>
    <w:rsid w:val="00000F53"/>
    <w:rsid w:val="00037C91"/>
    <w:rsid w:val="000409EB"/>
    <w:rsid w:val="00073F58"/>
    <w:rsid w:val="00073FE0"/>
    <w:rsid w:val="0008054F"/>
    <w:rsid w:val="00085715"/>
    <w:rsid w:val="000B3A86"/>
    <w:rsid w:val="000C157A"/>
    <w:rsid w:val="000C21CD"/>
    <w:rsid w:val="000C7534"/>
    <w:rsid w:val="000D146A"/>
    <w:rsid w:val="001117FA"/>
    <w:rsid w:val="001147B4"/>
    <w:rsid w:val="00117C0B"/>
    <w:rsid w:val="0014777D"/>
    <w:rsid w:val="00152E64"/>
    <w:rsid w:val="00161998"/>
    <w:rsid w:val="001A1558"/>
    <w:rsid w:val="001A21BC"/>
    <w:rsid w:val="001A534C"/>
    <w:rsid w:val="001C24FF"/>
    <w:rsid w:val="001D4460"/>
    <w:rsid w:val="001E76BC"/>
    <w:rsid w:val="002104E8"/>
    <w:rsid w:val="002177D6"/>
    <w:rsid w:val="00222A47"/>
    <w:rsid w:val="00222B70"/>
    <w:rsid w:val="00240716"/>
    <w:rsid w:val="00242C4B"/>
    <w:rsid w:val="00274CD8"/>
    <w:rsid w:val="00275F93"/>
    <w:rsid w:val="002827C8"/>
    <w:rsid w:val="002B5B64"/>
    <w:rsid w:val="002C7D96"/>
    <w:rsid w:val="002D04A6"/>
    <w:rsid w:val="002E0272"/>
    <w:rsid w:val="002F32E5"/>
    <w:rsid w:val="00312C70"/>
    <w:rsid w:val="003516B1"/>
    <w:rsid w:val="00365AE6"/>
    <w:rsid w:val="003A095A"/>
    <w:rsid w:val="003A098A"/>
    <w:rsid w:val="003A470F"/>
    <w:rsid w:val="003B17E9"/>
    <w:rsid w:val="003D23E1"/>
    <w:rsid w:val="003E575B"/>
    <w:rsid w:val="003F3F2D"/>
    <w:rsid w:val="00413E8E"/>
    <w:rsid w:val="00435BD5"/>
    <w:rsid w:val="00470F27"/>
    <w:rsid w:val="00473F90"/>
    <w:rsid w:val="00484E97"/>
    <w:rsid w:val="004A47BE"/>
    <w:rsid w:val="004B3D6C"/>
    <w:rsid w:val="004B735B"/>
    <w:rsid w:val="004E5B4E"/>
    <w:rsid w:val="004F5EC5"/>
    <w:rsid w:val="00524027"/>
    <w:rsid w:val="00526EB9"/>
    <w:rsid w:val="00547ED5"/>
    <w:rsid w:val="0055366A"/>
    <w:rsid w:val="00557E0B"/>
    <w:rsid w:val="00566E4A"/>
    <w:rsid w:val="00590DBB"/>
    <w:rsid w:val="005A7ED7"/>
    <w:rsid w:val="005B1BEE"/>
    <w:rsid w:val="005B3970"/>
    <w:rsid w:val="005C4096"/>
    <w:rsid w:val="005D5B74"/>
    <w:rsid w:val="005E5C3C"/>
    <w:rsid w:val="006039AC"/>
    <w:rsid w:val="00636654"/>
    <w:rsid w:val="00667579"/>
    <w:rsid w:val="00674CE8"/>
    <w:rsid w:val="0068317B"/>
    <w:rsid w:val="00694DE6"/>
    <w:rsid w:val="006A089D"/>
    <w:rsid w:val="006A6970"/>
    <w:rsid w:val="006B5305"/>
    <w:rsid w:val="006C7D27"/>
    <w:rsid w:val="007023EF"/>
    <w:rsid w:val="0071506C"/>
    <w:rsid w:val="00721966"/>
    <w:rsid w:val="007337C7"/>
    <w:rsid w:val="00755606"/>
    <w:rsid w:val="00795FC2"/>
    <w:rsid w:val="00797D99"/>
    <w:rsid w:val="007C174C"/>
    <w:rsid w:val="007D3301"/>
    <w:rsid w:val="008046E8"/>
    <w:rsid w:val="008154DF"/>
    <w:rsid w:val="00815C09"/>
    <w:rsid w:val="00843BDE"/>
    <w:rsid w:val="00846E47"/>
    <w:rsid w:val="0085293A"/>
    <w:rsid w:val="008659AE"/>
    <w:rsid w:val="008D1ABB"/>
    <w:rsid w:val="008D2A00"/>
    <w:rsid w:val="00904618"/>
    <w:rsid w:val="00913DCC"/>
    <w:rsid w:val="009353F0"/>
    <w:rsid w:val="00943610"/>
    <w:rsid w:val="009441A2"/>
    <w:rsid w:val="00945F2D"/>
    <w:rsid w:val="00950C67"/>
    <w:rsid w:val="0096224D"/>
    <w:rsid w:val="009B15D8"/>
    <w:rsid w:val="009D0C76"/>
    <w:rsid w:val="009E310C"/>
    <w:rsid w:val="00A22729"/>
    <w:rsid w:val="00A35A2A"/>
    <w:rsid w:val="00A657CA"/>
    <w:rsid w:val="00A65879"/>
    <w:rsid w:val="00A74197"/>
    <w:rsid w:val="00AC447B"/>
    <w:rsid w:val="00AD1DFD"/>
    <w:rsid w:val="00AD2BCC"/>
    <w:rsid w:val="00AE4EE6"/>
    <w:rsid w:val="00B142B7"/>
    <w:rsid w:val="00B43FFF"/>
    <w:rsid w:val="00B54B6C"/>
    <w:rsid w:val="00B818AE"/>
    <w:rsid w:val="00B8480C"/>
    <w:rsid w:val="00B8539C"/>
    <w:rsid w:val="00BE3F09"/>
    <w:rsid w:val="00C3162D"/>
    <w:rsid w:val="00C4346B"/>
    <w:rsid w:val="00C629CA"/>
    <w:rsid w:val="00C95331"/>
    <w:rsid w:val="00CB677E"/>
    <w:rsid w:val="00CC2393"/>
    <w:rsid w:val="00CC6187"/>
    <w:rsid w:val="00CF5640"/>
    <w:rsid w:val="00CF6C46"/>
    <w:rsid w:val="00D24F10"/>
    <w:rsid w:val="00D37F3B"/>
    <w:rsid w:val="00D40096"/>
    <w:rsid w:val="00D42586"/>
    <w:rsid w:val="00D42FED"/>
    <w:rsid w:val="00D84D25"/>
    <w:rsid w:val="00D950EC"/>
    <w:rsid w:val="00DA5B6F"/>
    <w:rsid w:val="00DA7DDF"/>
    <w:rsid w:val="00DB613C"/>
    <w:rsid w:val="00DE3A8E"/>
    <w:rsid w:val="00DE6430"/>
    <w:rsid w:val="00DF72DA"/>
    <w:rsid w:val="00E25587"/>
    <w:rsid w:val="00E27654"/>
    <w:rsid w:val="00E32332"/>
    <w:rsid w:val="00E35931"/>
    <w:rsid w:val="00E40FAF"/>
    <w:rsid w:val="00E62409"/>
    <w:rsid w:val="00E91DC7"/>
    <w:rsid w:val="00EB1FEB"/>
    <w:rsid w:val="00ED210A"/>
    <w:rsid w:val="00F0734D"/>
    <w:rsid w:val="00F16597"/>
    <w:rsid w:val="00FD79DD"/>
    <w:rsid w:val="00FF0F71"/>
    <w:rsid w:val="00F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E651"/>
  <w15:chartTrackingRefBased/>
  <w15:docId w15:val="{45B70D1B-0B1D-449D-89F2-9EC352D4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9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9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19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wdri\Download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wdri\Download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wdri\Downloads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[StarterBook.xlsx]Number v Category!PivotTable5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and State of Projects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'Number v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'Number v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'Number v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33-44C2-9DE1-0E66E8A9E781}"/>
            </c:ext>
          </c:extLst>
        </c:ser>
        <c:ser>
          <c:idx val="1"/>
          <c:order val="1"/>
          <c:tx>
            <c:strRef>
              <c:f>'Number v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'Number v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'Number v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33-44C2-9DE1-0E66E8A9E781}"/>
            </c:ext>
          </c:extLst>
        </c:ser>
        <c:ser>
          <c:idx val="2"/>
          <c:order val="2"/>
          <c:tx>
            <c:strRef>
              <c:f>'Number v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'Number v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'Number v 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33-44C2-9DE1-0E66E8A9E781}"/>
            </c:ext>
          </c:extLst>
        </c:ser>
        <c:ser>
          <c:idx val="3"/>
          <c:order val="3"/>
          <c:tx>
            <c:strRef>
              <c:f>'Number v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'Number v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'Number v 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033-44C2-9DE1-0E66E8A9E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892841039"/>
        <c:axId val="892844783"/>
      </c:barChart>
      <c:catAx>
        <c:axId val="892841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Project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2844783"/>
        <c:crosses val="autoZero"/>
        <c:auto val="1"/>
        <c:lblAlgn val="ctr"/>
        <c:lblOffset val="100"/>
        <c:noMultiLvlLbl val="0"/>
      </c:catAx>
      <c:valAx>
        <c:axId val="89284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Number</a:t>
                </a:r>
                <a:r>
                  <a:rPr lang="en-US" baseline="0"/>
                  <a:t> of Projects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2841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[StarterBook.xlsx]Number V Sub-Category!PivotTable6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and State of Projects by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'Number V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'Number V Sub-Category'!$A$6:$A$9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'Number V Sub-Category'!$B$6:$B$9</c:f>
              <c:numCache>
                <c:formatCode>General</c:formatCode>
                <c:ptCount val="3"/>
                <c:pt idx="0">
                  <c:v>60</c:v>
                </c:pt>
                <c:pt idx="1">
                  <c:v>694</c:v>
                </c:pt>
                <c:pt idx="2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12-4552-BC0C-A625D7B4C708}"/>
            </c:ext>
          </c:extLst>
        </c:ser>
        <c:ser>
          <c:idx val="1"/>
          <c:order val="1"/>
          <c:tx>
            <c:strRef>
              <c:f>'Number V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'Number V Sub-Category'!$A$6:$A$9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'Number V Sub-Category'!$C$6:$C$9</c:f>
              <c:numCache>
                <c:formatCode>General</c:formatCode>
                <c:ptCount val="3"/>
                <c:pt idx="0">
                  <c:v>60</c:v>
                </c:pt>
                <c:pt idx="1">
                  <c:v>353</c:v>
                </c:pt>
                <c:pt idx="2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12-4552-BC0C-A625D7B4C708}"/>
            </c:ext>
          </c:extLst>
        </c:ser>
        <c:ser>
          <c:idx val="2"/>
          <c:order val="2"/>
          <c:tx>
            <c:strRef>
              <c:f>'Number V Sub-Category'!$D$4:$D$5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'Number V Sub-Category'!$A$6:$A$9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'Number V Sub-Category'!$D$6:$D$9</c:f>
              <c:numCache>
                <c:formatCode>General</c:formatCode>
                <c:ptCount val="3"/>
                <c:pt idx="0">
                  <c:v>20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12-4552-BC0C-A625D7B4C708}"/>
            </c:ext>
          </c:extLst>
        </c:ser>
        <c:ser>
          <c:idx val="3"/>
          <c:order val="3"/>
          <c:tx>
            <c:strRef>
              <c:f>'Number V Sub-Category'!$E$4:$E$5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'Number V Sub-Category'!$A$6:$A$9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'Number V Sub-Category'!$E$6:$E$9</c:f>
              <c:numCache>
                <c:formatCode>General</c:formatCode>
                <c:ptCount val="3"/>
                <c:pt idx="1">
                  <c:v>19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12-4552-BC0C-A625D7B4C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547793231"/>
        <c:axId val="1547782415"/>
      </c:barChart>
      <c:catAx>
        <c:axId val="1547793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Sub-Catgory</a:t>
                </a:r>
              </a:p>
            </c:rich>
          </c:tx>
          <c:layout>
            <c:manualLayout>
              <c:xMode val="edge"/>
              <c:yMode val="edge"/>
              <c:x val="0.44609062276306372"/>
              <c:y val="0.930522548317823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782415"/>
        <c:crosses val="autoZero"/>
        <c:auto val="1"/>
        <c:lblAlgn val="ctr"/>
        <c:lblOffset val="100"/>
        <c:noMultiLvlLbl val="0"/>
      </c:catAx>
      <c:valAx>
        <c:axId val="154778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79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[StarterBook.xlsx]Categories by Month!PivotTable1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Projects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'Categories by Month'!$B$1:$B$2</c:f>
              <c:strCache>
                <c:ptCount val="1"/>
                <c:pt idx="0">
                  <c:v>film &amp; video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'Categories by Month'!$A$3:$A$15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'Categories by Month'!$B$3:$B$15</c:f>
              <c:numCache>
                <c:formatCode>General</c:formatCode>
                <c:ptCount val="12"/>
                <c:pt idx="0">
                  <c:v>46</c:v>
                </c:pt>
                <c:pt idx="1">
                  <c:v>42</c:v>
                </c:pt>
                <c:pt idx="2">
                  <c:v>54</c:v>
                </c:pt>
                <c:pt idx="3">
                  <c:v>49</c:v>
                </c:pt>
                <c:pt idx="4">
                  <c:v>40</c:v>
                </c:pt>
                <c:pt idx="5">
                  <c:v>49</c:v>
                </c:pt>
                <c:pt idx="6">
                  <c:v>50</c:v>
                </c:pt>
                <c:pt idx="7">
                  <c:v>41</c:v>
                </c:pt>
                <c:pt idx="8">
                  <c:v>41</c:v>
                </c:pt>
                <c:pt idx="9">
                  <c:v>42</c:v>
                </c:pt>
                <c:pt idx="10">
                  <c:v>37</c:v>
                </c:pt>
                <c:pt idx="11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4D-4BE5-A99F-B104CF137600}"/>
            </c:ext>
          </c:extLst>
        </c:ser>
        <c:ser>
          <c:idx val="1"/>
          <c:order val="1"/>
          <c:tx>
            <c:strRef>
              <c:f>'Categories by Month'!$C$1:$C$2</c:f>
              <c:strCache>
                <c:ptCount val="1"/>
                <c:pt idx="0">
                  <c:v>food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'Categories by Month'!$A$3:$A$15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'Categories by Month'!$C$3:$C$15</c:f>
              <c:numCache>
                <c:formatCode>General</c:formatCode>
                <c:ptCount val="12"/>
                <c:pt idx="0">
                  <c:v>27</c:v>
                </c:pt>
                <c:pt idx="1">
                  <c:v>21</c:v>
                </c:pt>
                <c:pt idx="2">
                  <c:v>15</c:v>
                </c:pt>
                <c:pt idx="3">
                  <c:v>11</c:v>
                </c:pt>
                <c:pt idx="4">
                  <c:v>20</c:v>
                </c:pt>
                <c:pt idx="5">
                  <c:v>13</c:v>
                </c:pt>
                <c:pt idx="6">
                  <c:v>23</c:v>
                </c:pt>
                <c:pt idx="7">
                  <c:v>22</c:v>
                </c:pt>
                <c:pt idx="8">
                  <c:v>13</c:v>
                </c:pt>
                <c:pt idx="9">
                  <c:v>15</c:v>
                </c:pt>
                <c:pt idx="10">
                  <c:v>12</c:v>
                </c:pt>
                <c:pt idx="1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4D-4BE5-A99F-B104CF137600}"/>
            </c:ext>
          </c:extLst>
        </c:ser>
        <c:ser>
          <c:idx val="2"/>
          <c:order val="2"/>
          <c:tx>
            <c:strRef>
              <c:f>'Categories by Month'!$D$1:$D$2</c:f>
              <c:strCache>
                <c:ptCount val="1"/>
                <c:pt idx="0">
                  <c:v>games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'Categories by Month'!$A$3:$A$15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'Categories by Month'!$D$3:$D$15</c:f>
              <c:numCache>
                <c:formatCode>General</c:formatCode>
                <c:ptCount val="12"/>
                <c:pt idx="0">
                  <c:v>28</c:v>
                </c:pt>
                <c:pt idx="1">
                  <c:v>20</c:v>
                </c:pt>
                <c:pt idx="2">
                  <c:v>21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  <c:pt idx="6">
                  <c:v>20</c:v>
                </c:pt>
                <c:pt idx="7">
                  <c:v>7</c:v>
                </c:pt>
                <c:pt idx="8">
                  <c:v>11</c:v>
                </c:pt>
                <c:pt idx="9">
                  <c:v>24</c:v>
                </c:pt>
                <c:pt idx="10">
                  <c:v>25</c:v>
                </c:pt>
                <c:pt idx="11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4D-4BE5-A99F-B104CF137600}"/>
            </c:ext>
          </c:extLst>
        </c:ser>
        <c:ser>
          <c:idx val="3"/>
          <c:order val="3"/>
          <c:tx>
            <c:strRef>
              <c:f>'Categories by Month'!$E$1:$E$2</c:f>
              <c:strCache>
                <c:ptCount val="1"/>
                <c:pt idx="0">
                  <c:v>journalism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'Categories by Month'!$A$3:$A$15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'Categories by Month'!$E$3:$E$15</c:f>
              <c:numCache>
                <c:formatCode>General</c:formatCode>
                <c:ptCount val="12"/>
                <c:pt idx="0">
                  <c:v>2</c:v>
                </c:pt>
                <c:pt idx="1">
                  <c:v>5</c:v>
                </c:pt>
                <c:pt idx="2">
                  <c:v>2</c:v>
                </c:pt>
                <c:pt idx="3">
                  <c:v>2</c:v>
                </c:pt>
                <c:pt idx="6">
                  <c:v>7</c:v>
                </c:pt>
                <c:pt idx="7">
                  <c:v>3</c:v>
                </c:pt>
                <c:pt idx="9">
                  <c:v>1</c:v>
                </c:pt>
                <c:pt idx="1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4D-4BE5-A99F-B104CF137600}"/>
            </c:ext>
          </c:extLst>
        </c:ser>
        <c:ser>
          <c:idx val="4"/>
          <c:order val="4"/>
          <c:tx>
            <c:strRef>
              <c:f>'Categories by Month'!$F$1:$F$2</c:f>
              <c:strCache>
                <c:ptCount val="1"/>
                <c:pt idx="0">
                  <c:v>music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'Categories by Month'!$A$3:$A$15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'Categories by Month'!$F$3:$F$15</c:f>
              <c:numCache>
                <c:formatCode>General</c:formatCode>
                <c:ptCount val="12"/>
                <c:pt idx="0">
                  <c:v>67</c:v>
                </c:pt>
                <c:pt idx="1">
                  <c:v>65</c:v>
                </c:pt>
                <c:pt idx="2">
                  <c:v>73</c:v>
                </c:pt>
                <c:pt idx="3">
                  <c:v>59</c:v>
                </c:pt>
                <c:pt idx="4">
                  <c:v>65</c:v>
                </c:pt>
                <c:pt idx="5">
                  <c:v>53</c:v>
                </c:pt>
                <c:pt idx="6">
                  <c:v>52</c:v>
                </c:pt>
                <c:pt idx="7">
                  <c:v>60</c:v>
                </c:pt>
                <c:pt idx="8">
                  <c:v>51</c:v>
                </c:pt>
                <c:pt idx="9">
                  <c:v>60</c:v>
                </c:pt>
                <c:pt idx="10">
                  <c:v>56</c:v>
                </c:pt>
                <c:pt idx="11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04D-4BE5-A99F-B104CF137600}"/>
            </c:ext>
          </c:extLst>
        </c:ser>
        <c:ser>
          <c:idx val="5"/>
          <c:order val="5"/>
          <c:tx>
            <c:strRef>
              <c:f>'Categories by Month'!$G$1:$G$2</c:f>
              <c:strCache>
                <c:ptCount val="1"/>
                <c:pt idx="0">
                  <c:v>photography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'Categories by Month'!$A$3:$A$15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'Categories by Month'!$G$3:$G$15</c:f>
              <c:numCache>
                <c:formatCode>General</c:formatCode>
                <c:ptCount val="12"/>
                <c:pt idx="0">
                  <c:v>24</c:v>
                </c:pt>
                <c:pt idx="1">
                  <c:v>18</c:v>
                </c:pt>
                <c:pt idx="2">
                  <c:v>16</c:v>
                </c:pt>
                <c:pt idx="3">
                  <c:v>10</c:v>
                </c:pt>
                <c:pt idx="4">
                  <c:v>19</c:v>
                </c:pt>
                <c:pt idx="5">
                  <c:v>22</c:v>
                </c:pt>
                <c:pt idx="6">
                  <c:v>17</c:v>
                </c:pt>
                <c:pt idx="7">
                  <c:v>23</c:v>
                </c:pt>
                <c:pt idx="8">
                  <c:v>16</c:v>
                </c:pt>
                <c:pt idx="9">
                  <c:v>22</c:v>
                </c:pt>
                <c:pt idx="10">
                  <c:v>18</c:v>
                </c:pt>
                <c:pt idx="11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04D-4BE5-A99F-B104CF137600}"/>
            </c:ext>
          </c:extLst>
        </c:ser>
        <c:ser>
          <c:idx val="6"/>
          <c:order val="6"/>
          <c:tx>
            <c:strRef>
              <c:f>'Categories by Month'!$H$1:$H$2</c:f>
              <c:strCache>
                <c:ptCount val="1"/>
                <c:pt idx="0">
                  <c:v>publishing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'Categories by Month'!$A$3:$A$15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'Categories by Month'!$H$3:$H$15</c:f>
              <c:numCache>
                <c:formatCode>General</c:formatCode>
                <c:ptCount val="12"/>
                <c:pt idx="0">
                  <c:v>26</c:v>
                </c:pt>
                <c:pt idx="1">
                  <c:v>14</c:v>
                </c:pt>
                <c:pt idx="2">
                  <c:v>17</c:v>
                </c:pt>
                <c:pt idx="3">
                  <c:v>21</c:v>
                </c:pt>
                <c:pt idx="4">
                  <c:v>24</c:v>
                </c:pt>
                <c:pt idx="5">
                  <c:v>22</c:v>
                </c:pt>
                <c:pt idx="6">
                  <c:v>27</c:v>
                </c:pt>
                <c:pt idx="7">
                  <c:v>10</c:v>
                </c:pt>
                <c:pt idx="8">
                  <c:v>17</c:v>
                </c:pt>
                <c:pt idx="9">
                  <c:v>18</c:v>
                </c:pt>
                <c:pt idx="10">
                  <c:v>23</c:v>
                </c:pt>
                <c:pt idx="11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04D-4BE5-A99F-B104CF137600}"/>
            </c:ext>
          </c:extLst>
        </c:ser>
        <c:ser>
          <c:idx val="7"/>
          <c:order val="7"/>
          <c:tx>
            <c:strRef>
              <c:f>'Categories by Month'!$I$1:$I$2</c:f>
              <c:strCache>
                <c:ptCount val="1"/>
                <c:pt idx="0">
                  <c:v>technology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'Categories by Month'!$A$3:$A$15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'Categories by Month'!$I$3:$I$15</c:f>
              <c:numCache>
                <c:formatCode>General</c:formatCode>
                <c:ptCount val="12"/>
                <c:pt idx="0">
                  <c:v>49</c:v>
                </c:pt>
                <c:pt idx="1">
                  <c:v>47</c:v>
                </c:pt>
                <c:pt idx="2">
                  <c:v>42</c:v>
                </c:pt>
                <c:pt idx="3">
                  <c:v>44</c:v>
                </c:pt>
                <c:pt idx="4">
                  <c:v>36</c:v>
                </c:pt>
                <c:pt idx="5">
                  <c:v>56</c:v>
                </c:pt>
                <c:pt idx="6">
                  <c:v>53</c:v>
                </c:pt>
                <c:pt idx="7">
                  <c:v>44</c:v>
                </c:pt>
                <c:pt idx="8">
                  <c:v>52</c:v>
                </c:pt>
                <c:pt idx="9">
                  <c:v>55</c:v>
                </c:pt>
                <c:pt idx="10">
                  <c:v>73</c:v>
                </c:pt>
                <c:pt idx="11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04D-4BE5-A99F-B104CF137600}"/>
            </c:ext>
          </c:extLst>
        </c:ser>
        <c:ser>
          <c:idx val="8"/>
          <c:order val="8"/>
          <c:tx>
            <c:strRef>
              <c:f>'Categories by Month'!$J$1:$J$2</c:f>
              <c:strCache>
                <c:ptCount val="1"/>
                <c:pt idx="0">
                  <c:v>theater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'Categories by Month'!$A$3:$A$15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'Categories by Month'!$J$3:$J$15</c:f>
              <c:numCache>
                <c:formatCode>General</c:formatCode>
                <c:ptCount val="12"/>
                <c:pt idx="0">
                  <c:v>98</c:v>
                </c:pt>
                <c:pt idx="1">
                  <c:v>121</c:v>
                </c:pt>
                <c:pt idx="2">
                  <c:v>106</c:v>
                </c:pt>
                <c:pt idx="3">
                  <c:v>113</c:v>
                </c:pt>
                <c:pt idx="4">
                  <c:v>166</c:v>
                </c:pt>
                <c:pt idx="5">
                  <c:v>153</c:v>
                </c:pt>
                <c:pt idx="6">
                  <c:v>138</c:v>
                </c:pt>
                <c:pt idx="7">
                  <c:v>123</c:v>
                </c:pt>
                <c:pt idx="8">
                  <c:v>97</c:v>
                </c:pt>
                <c:pt idx="9">
                  <c:v>115</c:v>
                </c:pt>
                <c:pt idx="10">
                  <c:v>88</c:v>
                </c:pt>
                <c:pt idx="11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04D-4BE5-A99F-B104CF137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1988864"/>
        <c:axId val="1991997184"/>
      </c:lineChart>
      <c:catAx>
        <c:axId val="1991988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997184"/>
        <c:crosses val="autoZero"/>
        <c:auto val="1"/>
        <c:lblAlgn val="ctr"/>
        <c:lblOffset val="100"/>
        <c:noMultiLvlLbl val="0"/>
      </c:catAx>
      <c:valAx>
        <c:axId val="199199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98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96EF6-2C81-4695-82CF-891A822F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Richards</dc:creator>
  <cp:keywords/>
  <dc:description/>
  <cp:lastModifiedBy>Stephanie Richards</cp:lastModifiedBy>
  <cp:revision>160</cp:revision>
  <dcterms:created xsi:type="dcterms:W3CDTF">2021-01-04T04:12:00Z</dcterms:created>
  <dcterms:modified xsi:type="dcterms:W3CDTF">2021-01-08T05:44:00Z</dcterms:modified>
</cp:coreProperties>
</file>