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E7" w:rsidRDefault="00A10ED6">
      <w:pPr>
        <w:pStyle w:val="ContactInfo"/>
      </w:pPr>
      <w:r>
        <w:t>1215 Brashear Lane</w:t>
      </w:r>
    </w:p>
    <w:p w:rsidR="00BD3A50" w:rsidRDefault="00B41C80">
      <w:pPr>
        <w:pStyle w:val="ContactInfo"/>
      </w:pPr>
      <w:r>
        <w:t xml:space="preserve"> Cedar Park, Texas 78613</w:t>
      </w:r>
    </w:p>
    <w:p w:rsidR="00E22BE7" w:rsidRDefault="00B41C80">
      <w:pPr>
        <w:pStyle w:val="ContactInfo"/>
      </w:pPr>
      <w:r>
        <w:t>(512)-897-2068</w:t>
      </w:r>
    </w:p>
    <w:p w:rsidR="00E22BE7" w:rsidRDefault="00BD3A50">
      <w:pPr>
        <w:pStyle w:val="ContactInfo"/>
      </w:pPr>
      <w:r>
        <w:t>www.linkedin.com/in/</w:t>
      </w:r>
      <w:r w:rsidR="00B41C80">
        <w:t>davidpetok</w:t>
      </w:r>
    </w:p>
    <w:p w:rsidR="00E22BE7" w:rsidRDefault="00B41C80">
      <w:pPr>
        <w:pStyle w:val="Name"/>
      </w:pPr>
      <w:r>
        <w:t>David petok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530"/>
        <w:gridCol w:w="8550"/>
      </w:tblGrid>
      <w:tr w:rsidR="00E22BE7" w:rsidTr="00A10ED6">
        <w:tc>
          <w:tcPr>
            <w:tcW w:w="1530" w:type="dxa"/>
            <w:tcMar>
              <w:right w:w="475" w:type="dxa"/>
            </w:tcMar>
          </w:tcPr>
          <w:p w:rsidR="00E22BE7" w:rsidRDefault="00BD3A50" w:rsidP="00A10ED6">
            <w:pPr>
              <w:pStyle w:val="Heading1"/>
              <w:jc w:val="left"/>
              <w:outlineLvl w:val="0"/>
            </w:pPr>
            <w:r>
              <w:t>profile</w:t>
            </w:r>
          </w:p>
        </w:tc>
        <w:tc>
          <w:tcPr>
            <w:tcW w:w="8550" w:type="dxa"/>
          </w:tcPr>
          <w:p w:rsidR="00E22BE7" w:rsidRPr="00B41C80" w:rsidRDefault="00B41C80" w:rsidP="004B0E15">
            <w:pPr>
              <w:pStyle w:val="ResumeText"/>
              <w:rPr>
                <w:rFonts w:asciiTheme="majorHAnsi" w:hAnsiTheme="majorHAnsi" w:cstheme="majorHAnsi"/>
              </w:rPr>
            </w:pPr>
            <w:r w:rsidRPr="00B41C80">
              <w:rPr>
                <w:rFonts w:asciiTheme="majorHAnsi" w:hAnsiTheme="majorHAnsi" w:cstheme="majorHAnsi"/>
                <w:lang w:bidi="hi-IN"/>
              </w:rPr>
              <w:t xml:space="preserve">Passionate, collaborative, and diligent </w:t>
            </w:r>
            <w:r w:rsidR="00BD3A50" w:rsidRPr="00B41C80">
              <w:rPr>
                <w:rFonts w:asciiTheme="majorHAnsi" w:hAnsiTheme="majorHAnsi" w:cstheme="majorHAnsi"/>
                <w:lang w:bidi="hi-IN"/>
              </w:rPr>
              <w:t>regu</w:t>
            </w:r>
            <w:r w:rsidRPr="00B41C80">
              <w:rPr>
                <w:rFonts w:asciiTheme="majorHAnsi" w:hAnsiTheme="majorHAnsi" w:cstheme="majorHAnsi"/>
                <w:lang w:bidi="hi-IN"/>
              </w:rPr>
              <w:t>latory affairs professional</w:t>
            </w:r>
            <w:r w:rsidR="004B0E15">
              <w:rPr>
                <w:rFonts w:asciiTheme="majorHAnsi" w:hAnsiTheme="majorHAnsi" w:cstheme="majorHAnsi"/>
                <w:lang w:bidi="hi-IN"/>
              </w:rPr>
              <w:t xml:space="preserve"> with experience in</w:t>
            </w:r>
            <w:r w:rsidR="002B0F3E">
              <w:rPr>
                <w:rFonts w:asciiTheme="majorHAnsi" w:hAnsiTheme="majorHAnsi" w:cstheme="majorHAnsi"/>
                <w:lang w:bidi="hi-IN"/>
              </w:rPr>
              <w:t xml:space="preserve"> Tech/Software,</w:t>
            </w:r>
            <w:r w:rsidR="004B0E15">
              <w:rPr>
                <w:rFonts w:asciiTheme="majorHAnsi" w:hAnsiTheme="majorHAnsi" w:cstheme="majorHAnsi"/>
                <w:lang w:bidi="hi-IN"/>
              </w:rPr>
              <w:t xml:space="preserve"> Medical Device, Pharma, Food, Supplements and Cosmetics. </w:t>
            </w:r>
          </w:p>
        </w:tc>
      </w:tr>
      <w:tr w:rsidR="00B41C80" w:rsidTr="00A10ED6">
        <w:tc>
          <w:tcPr>
            <w:tcW w:w="1530" w:type="dxa"/>
            <w:tcMar>
              <w:right w:w="475" w:type="dxa"/>
            </w:tcMar>
          </w:tcPr>
          <w:p w:rsidR="00B41C80" w:rsidRDefault="00B41C80" w:rsidP="00B41C80">
            <w:pPr>
              <w:pStyle w:val="Heading1"/>
              <w:outlineLvl w:val="0"/>
            </w:pPr>
            <w:r>
              <w:t>Experience</w:t>
            </w:r>
            <w:bookmarkStart w:id="0" w:name="_GoBack"/>
            <w:bookmarkEnd w:id="0"/>
          </w:p>
        </w:tc>
        <w:tc>
          <w:tcPr>
            <w:tcW w:w="8550" w:type="dxa"/>
          </w:tcPr>
          <w:p w:rsidR="00CD07B8" w:rsidRDefault="00CD07B8" w:rsidP="00A10ED6">
            <w:pPr>
              <w:pStyle w:val="Heading3"/>
              <w:outlineLvl w:val="2"/>
              <w:rPr>
                <w:rFonts w:cstheme="majorHAnsi"/>
                <w:u w:val="single"/>
              </w:rPr>
            </w:pPr>
            <w:r>
              <w:rPr>
                <w:rFonts w:cstheme="majorHAnsi"/>
                <w:u w:val="single"/>
              </w:rPr>
              <w:t xml:space="preserve">February 2020 – Present </w:t>
            </w:r>
          </w:p>
          <w:p w:rsidR="002B0F3E" w:rsidRPr="00A10ED6" w:rsidRDefault="00CD07B8" w:rsidP="00A10ED6">
            <w:pPr>
              <w:rPr>
                <w:rFonts w:asciiTheme="majorHAnsi" w:hAnsiTheme="majorHAnsi" w:cstheme="majorHAnsi"/>
                <w:u w:val="single"/>
              </w:rPr>
            </w:pPr>
            <w:r w:rsidRPr="00A10ED6">
              <w:rPr>
                <w:rFonts w:asciiTheme="majorHAnsi" w:hAnsiTheme="majorHAnsi" w:cstheme="majorHAnsi"/>
                <w:b/>
                <w:u w:val="single"/>
              </w:rPr>
              <w:t>COMPLIANCE DOCUMENT SPECIALIST,</w:t>
            </w:r>
            <w:r w:rsidRPr="00A10ED6">
              <w:rPr>
                <w:u w:val="single"/>
              </w:rPr>
              <w:t xml:space="preserve"> </w:t>
            </w:r>
            <w:r w:rsidRPr="00A10ED6">
              <w:rPr>
                <w:rFonts w:asciiTheme="majorHAnsi" w:hAnsiTheme="majorHAnsi" w:cstheme="majorHAnsi"/>
                <w:u w:val="single"/>
              </w:rPr>
              <w:t xml:space="preserve">L7 INFORMATICS INC. </w:t>
            </w:r>
          </w:p>
          <w:p w:rsidR="00A10ED6" w:rsidRDefault="002B0F3E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Responsible for authoring and updating all </w:t>
            </w:r>
            <w:r w:rsidR="003247C7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product 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SD</w:t>
            </w:r>
            <w:r w:rsidR="003247C7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LC documents for each major, minor, patch and hotfix release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(12+ documents)</w:t>
            </w:r>
            <w:r w:rsidR="003247C7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br/>
              <w:t>Implemented/responsible for QMS for L7 Informatics including Deviation, CAPA, NCR, Change Control, employee training</w:t>
            </w:r>
          </w:p>
          <w:p w:rsidR="00CD07B8" w:rsidRPr="00A10ED6" w:rsidRDefault="003247C7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Executed IQ/OQ/PQ qualification of new software tools used to create L7’s product </w:t>
            </w:r>
          </w:p>
          <w:p w:rsidR="00A10ED6" w:rsidRDefault="002B0F3E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Assist in software</w:t>
            </w:r>
            <w:r w:rsidR="003247C7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verification and validation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testing as applicable</w:t>
            </w:r>
          </w:p>
          <w:p w:rsidR="002B0F3E" w:rsidRPr="00A10ED6" w:rsidRDefault="003247C7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Responsible for bug management/risk control for anomalies discovered in testing</w:t>
            </w:r>
          </w:p>
          <w:p w:rsidR="004B0E15" w:rsidRPr="00A10ED6" w:rsidRDefault="00CD07B8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Identified </w:t>
            </w:r>
            <w:r w:rsidR="004B0E15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and implemented 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regulations, standards and guidance </w:t>
            </w:r>
            <w:r w:rsidR="004B0E15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in the software development lifecycle for L7’s product from 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ISO 13485, ISO 14971, IEC 62304,</w:t>
            </w:r>
            <w:r w:rsidR="003247C7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CFR 211,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CFR 820, </w:t>
            </w:r>
            <w:r w:rsidR="004B0E15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CFR 11, GAMP 5, WHO, IMDRF, CAP/CLIA and ICH guidelines.</w:t>
            </w:r>
          </w:p>
          <w:p w:rsidR="004B0E15" w:rsidRPr="00A10ED6" w:rsidRDefault="002B0F3E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Performed internal audits and assisted in customer/external audits </w:t>
            </w:r>
            <w:r w:rsidR="003247C7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br/>
              <w:t xml:space="preserve">Tools used: Atlassian (JIRA, Confluence, Bitbucket) SpiraTeam (test case management system) ZenQMS (electronic quality management system) </w:t>
            </w:r>
          </w:p>
          <w:p w:rsidR="00CD07B8" w:rsidRPr="00A10ED6" w:rsidRDefault="00CD07B8" w:rsidP="00A10ED6">
            <w:pPr>
              <w:pStyle w:val="ListParagraph"/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:rsidR="00B41C80" w:rsidRPr="00590620" w:rsidRDefault="00A10ED6" w:rsidP="00A10ED6">
            <w:pPr>
              <w:pStyle w:val="Heading3"/>
              <w:outlineLvl w:val="2"/>
              <w:rPr>
                <w:rFonts w:cstheme="majorHAnsi"/>
                <w:u w:val="single"/>
              </w:rPr>
            </w:pPr>
            <w:r>
              <w:rPr>
                <w:rFonts w:cstheme="majorHAnsi"/>
                <w:u w:val="single"/>
              </w:rPr>
              <w:t>O</w:t>
            </w:r>
            <w:r w:rsidR="00DF3890">
              <w:rPr>
                <w:rFonts w:cstheme="majorHAnsi"/>
                <w:u w:val="single"/>
              </w:rPr>
              <w:t>ctober 2017 – February 2020</w:t>
            </w:r>
          </w:p>
          <w:p w:rsidR="00B41C80" w:rsidRPr="00590620" w:rsidRDefault="00B41C80" w:rsidP="00A10ED6">
            <w:pPr>
              <w:pStyle w:val="Heading2"/>
              <w:outlineLvl w:val="1"/>
              <w:rPr>
                <w:rStyle w:val="SubtleReference"/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 xml:space="preserve">Regulatory Compliance Supervisor, </w:t>
            </w:r>
            <w:r w:rsidRPr="00590620">
              <w:rPr>
                <w:rStyle w:val="SubtleReference"/>
                <w:rFonts w:cstheme="majorHAnsi"/>
                <w:u w:val="single"/>
              </w:rPr>
              <w:t>Premier Research Labs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Responsible for meeting current FDA dietary supplement label compliance (350+ labels) </w:t>
            </w:r>
          </w:p>
          <w:p w:rsidR="00CD07B8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Manage 4 direct reports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Internal audits and external supplier audits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Wrote Toxicological evaluations, Product Safety Evaluations, and White Paper Exemptions for foods, dietary supplements and cosmetics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 xml:space="preserve">NPN procurement 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for entry into Canadian market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>NOP’s USDA Organic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Certification on 4 products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>Non-GMO Project Verification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on 12 products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>OU Kosher Certification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on 130+ products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>Supplier Qualification Program</w:t>
            </w: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 and FSVP/FSMA compliance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 xml:space="preserve">Prop 65 Litigation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b/>
                <w:sz w:val="20"/>
                <w:szCs w:val="20"/>
              </w:rPr>
              <w:t xml:space="preserve">FDA’s Mandatory 2020 Labeling Update </w:t>
            </w:r>
            <w:r w:rsidR="00E00DB6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(created calculator for this similar to LabelCalc/ESHA </w:t>
            </w:r>
            <w:r w:rsidR="00E00DB6"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lastRenderedPageBreak/>
              <w:t>Genesis software)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Implemented Profit Sharing Program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Implemented cost savings measures totaling to $115,000 in 2019</w:t>
            </w:r>
          </w:p>
          <w:p w:rsidR="00B41C80" w:rsidRPr="00B41C80" w:rsidRDefault="00B41C80" w:rsidP="00B41C80">
            <w:pPr>
              <w:pStyle w:val="Heading3"/>
              <w:outlineLvl w:val="2"/>
              <w:rPr>
                <w:rFonts w:eastAsiaTheme="minorHAnsi" w:cstheme="majorHAnsi"/>
                <w:color w:val="595959" w:themeColor="text1" w:themeTint="A6"/>
                <w:szCs w:val="20"/>
              </w:rPr>
            </w:pPr>
          </w:p>
          <w:p w:rsidR="00B41C80" w:rsidRPr="00590620" w:rsidRDefault="00B41C80" w:rsidP="00A10ED6">
            <w:pPr>
              <w:pStyle w:val="Heading3"/>
              <w:outlineLvl w:val="2"/>
              <w:rPr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>August 2016 – October 2017</w:t>
            </w:r>
          </w:p>
          <w:p w:rsidR="00B41C80" w:rsidRPr="00590620" w:rsidRDefault="00B41C80" w:rsidP="00A10ED6">
            <w:pPr>
              <w:pStyle w:val="Heading2"/>
              <w:outlineLvl w:val="1"/>
              <w:rPr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 xml:space="preserve">Quality Control supervisor, </w:t>
            </w:r>
            <w:r w:rsidRPr="00590620">
              <w:rPr>
                <w:rStyle w:val="SubtleReference"/>
                <w:rFonts w:cstheme="majorHAnsi"/>
                <w:u w:val="single"/>
              </w:rPr>
              <w:t>premier research labs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Developed a team of 6 employees to deliver laboratory results against a dynamic production schedule of food, dietary supplements and cosmetics (250+ products)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Lead OOS/OOT, NCMR, DEVIATION, CAPA, and Significant Quality Events (SQE)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Managed Expired Raw Material requalification program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Performed Quality Releases of all raw materials, components, in-process materials, and finished products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Point of contact for Laboratory Related OOS’s, Deviations, NCMR’s and CAPA’s</w:t>
            </w:r>
          </w:p>
          <w:p w:rsidR="00590620" w:rsidRDefault="00590620" w:rsidP="00B41C80">
            <w:pPr>
              <w:pStyle w:val="Heading3"/>
              <w:outlineLvl w:val="2"/>
              <w:rPr>
                <w:rFonts w:cstheme="majorHAnsi"/>
                <w:u w:val="single"/>
              </w:rPr>
            </w:pPr>
          </w:p>
          <w:p w:rsidR="00B41C80" w:rsidRPr="00590620" w:rsidRDefault="00B41C80" w:rsidP="00A10ED6">
            <w:pPr>
              <w:pStyle w:val="Heading3"/>
              <w:outlineLvl w:val="2"/>
              <w:rPr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>July 2015 – August 2016</w:t>
            </w:r>
          </w:p>
          <w:p w:rsidR="00B41C80" w:rsidRPr="00590620" w:rsidRDefault="00B41C80" w:rsidP="00A10ED6">
            <w:pPr>
              <w:pStyle w:val="Heading2"/>
              <w:outlineLvl w:val="1"/>
              <w:rPr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 xml:space="preserve">Quality Control Lab Technician, </w:t>
            </w:r>
            <w:r w:rsidRPr="00590620">
              <w:rPr>
                <w:rStyle w:val="SubtleReference"/>
                <w:rFonts w:cstheme="majorHAnsi"/>
                <w:u w:val="single"/>
              </w:rPr>
              <w:t>premier research labs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Performed USP physical property/wet chemistry tests on raw materials to finished products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Ensured laboratory, production areas, and testing methods were cGMP and CFR 111 compliant, followed USP methods while maintaining GDP  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Environmental micro, allergen, air, and water monitoring (via Hygiena and Neogen ATP/Allergen Swabs) and via incubation, plating, and a BioLumix System. </w:t>
            </w:r>
          </w:p>
          <w:p w:rsidR="00590620" w:rsidRDefault="00590620" w:rsidP="00B41C80">
            <w:pPr>
              <w:pStyle w:val="Heading3"/>
              <w:outlineLvl w:val="2"/>
              <w:rPr>
                <w:rFonts w:cstheme="majorHAnsi"/>
                <w:u w:val="single"/>
              </w:rPr>
            </w:pPr>
          </w:p>
          <w:p w:rsidR="00B41C80" w:rsidRPr="00590620" w:rsidRDefault="00B41C80" w:rsidP="00A10ED6">
            <w:pPr>
              <w:pStyle w:val="Heading3"/>
              <w:outlineLvl w:val="2"/>
              <w:rPr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>August 2014 – May 2015</w:t>
            </w:r>
          </w:p>
          <w:p w:rsidR="00B41C80" w:rsidRPr="00590620" w:rsidRDefault="00B41C80" w:rsidP="00A10ED6">
            <w:pPr>
              <w:pStyle w:val="Heading2"/>
              <w:outlineLvl w:val="1"/>
              <w:rPr>
                <w:rFonts w:cstheme="majorHAnsi"/>
                <w:u w:val="single"/>
              </w:rPr>
            </w:pPr>
            <w:r w:rsidRPr="00590620">
              <w:rPr>
                <w:rFonts w:cstheme="majorHAnsi"/>
                <w:u w:val="single"/>
              </w:rPr>
              <w:t xml:space="preserve">Chemist, </w:t>
            </w:r>
            <w:r w:rsidRPr="00590620">
              <w:rPr>
                <w:rStyle w:val="SubtleReference"/>
                <w:rFonts w:cstheme="majorHAnsi"/>
                <w:u w:val="single"/>
              </w:rPr>
              <w:t xml:space="preserve">Cudd Energy Services 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Performed rheological analysis of fracturing fluids in order to verify quantities to be used in field and determine improvements where necessary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Provided strict performance testing of numerous chemicals from vendors in order to lower costs and make big economic decisions for CES.</w:t>
            </w:r>
          </w:p>
          <w:p w:rsidR="00B41C80" w:rsidRPr="00A10ED6" w:rsidRDefault="00B41C80" w:rsidP="00A10ED6">
            <w:pPr>
              <w:pStyle w:val="ListParagraph"/>
              <w:numPr>
                <w:ilvl w:val="0"/>
                <w:numId w:val="5"/>
              </w:numPr>
              <w:spacing w:after="80" w:line="288" w:lineRule="auto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A10ED6">
              <w:rPr>
                <w:rFonts w:asciiTheme="majorHAnsi" w:eastAsiaTheme="minorHAnsi" w:hAnsiTheme="majorHAnsi" w:cstheme="majorHAnsi"/>
                <w:sz w:val="20"/>
                <w:szCs w:val="20"/>
              </w:rPr>
              <w:t>Created SOP’s, WI’s and notebooks for P.E.’s and lab personnel on CES fluids</w:t>
            </w:r>
          </w:p>
          <w:p w:rsidR="00B41C80" w:rsidRPr="00B41C80" w:rsidRDefault="00B41C80" w:rsidP="00CD07B8">
            <w:pPr>
              <w:rPr>
                <w:rFonts w:asciiTheme="majorHAnsi" w:hAnsiTheme="majorHAnsi" w:cstheme="majorHAnsi"/>
              </w:rPr>
            </w:pPr>
          </w:p>
        </w:tc>
      </w:tr>
      <w:tr w:rsidR="00B41C80" w:rsidTr="00A10ED6">
        <w:trPr>
          <w:trHeight w:val="944"/>
        </w:trPr>
        <w:tc>
          <w:tcPr>
            <w:tcW w:w="1530" w:type="dxa"/>
            <w:tcMar>
              <w:right w:w="475" w:type="dxa"/>
            </w:tcMar>
          </w:tcPr>
          <w:p w:rsidR="00B41C80" w:rsidRDefault="00B41C80" w:rsidP="00B41C80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8550" w:type="dxa"/>
          </w:tcPr>
          <w:p w:rsidR="00590620" w:rsidRDefault="00590620" w:rsidP="00590620">
            <w:pPr>
              <w:pStyle w:val="Heading2"/>
              <w:outlineLvl w:val="1"/>
              <w:rPr>
                <w:rStyle w:val="SubtleReference"/>
              </w:rPr>
            </w:pPr>
            <w:r>
              <w:t>B.s. Biology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the university of texas at san antonio </w:t>
            </w:r>
          </w:p>
          <w:p w:rsidR="00590620" w:rsidRPr="00590620" w:rsidRDefault="00590620" w:rsidP="00590620">
            <w:pPr>
              <w:pStyle w:val="ResumeText"/>
            </w:pPr>
            <w:r>
              <w:t>2010 - 2014</w:t>
            </w:r>
          </w:p>
          <w:p w:rsidR="00B41C80" w:rsidRDefault="00DF3890" w:rsidP="00590620">
            <w:pPr>
              <w:pStyle w:val="Heading2"/>
              <w:outlineLvl w:val="1"/>
            </w:pPr>
            <w:r>
              <w:t>Graduated with</w:t>
            </w:r>
            <w:r w:rsidR="00590620">
              <w:t xml:space="preserve"> concentration</w:t>
            </w:r>
            <w:r>
              <w:t xml:space="preserve"> in microbiology and immunology</w:t>
            </w:r>
          </w:p>
        </w:tc>
      </w:tr>
    </w:tbl>
    <w:p w:rsidR="00E22BE7" w:rsidRDefault="00E22BE7"/>
    <w:sectPr w:rsidR="00E22BE7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4B1" w:rsidRDefault="00B454B1">
      <w:pPr>
        <w:spacing w:after="0" w:line="240" w:lineRule="auto"/>
      </w:pPr>
      <w:r>
        <w:separator/>
      </w:r>
    </w:p>
  </w:endnote>
  <w:endnote w:type="continuationSeparator" w:id="0">
    <w:p w:rsidR="00B454B1" w:rsidRDefault="00B4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4B1" w:rsidRDefault="00B454B1">
      <w:pPr>
        <w:spacing w:after="0" w:line="240" w:lineRule="auto"/>
      </w:pPr>
      <w:r>
        <w:separator/>
      </w:r>
    </w:p>
  </w:footnote>
  <w:footnote w:type="continuationSeparator" w:id="0">
    <w:p w:rsidR="00B454B1" w:rsidRDefault="00B45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7E97A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E97A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E31061A"/>
    <w:multiLevelType w:val="hybridMultilevel"/>
    <w:tmpl w:val="AB12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07DC9"/>
    <w:multiLevelType w:val="hybridMultilevel"/>
    <w:tmpl w:val="D534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80"/>
    <w:rsid w:val="001E3650"/>
    <w:rsid w:val="002B0F3E"/>
    <w:rsid w:val="00323E65"/>
    <w:rsid w:val="003247C7"/>
    <w:rsid w:val="0042556F"/>
    <w:rsid w:val="004938CD"/>
    <w:rsid w:val="004B0E15"/>
    <w:rsid w:val="004D7F48"/>
    <w:rsid w:val="00590620"/>
    <w:rsid w:val="007A75A2"/>
    <w:rsid w:val="008232A5"/>
    <w:rsid w:val="00835C8A"/>
    <w:rsid w:val="00A10ED6"/>
    <w:rsid w:val="00AD3F86"/>
    <w:rsid w:val="00B41C80"/>
    <w:rsid w:val="00B454B1"/>
    <w:rsid w:val="00BD3A50"/>
    <w:rsid w:val="00CD07B8"/>
    <w:rsid w:val="00CE4B34"/>
    <w:rsid w:val="00D72E9B"/>
    <w:rsid w:val="00DD280B"/>
    <w:rsid w:val="00DF3890"/>
    <w:rsid w:val="00E00DB6"/>
    <w:rsid w:val="00E22BE7"/>
    <w:rsid w:val="00F123C4"/>
    <w:rsid w:val="00F2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3FD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D3A50"/>
    <w:pPr>
      <w:spacing w:after="120"/>
    </w:pPr>
  </w:style>
  <w:style w:type="paragraph" w:customStyle="1" w:styleId="DefaultText">
    <w:name w:val="Default Text"/>
    <w:basedOn w:val="Standard"/>
    <w:rsid w:val="00BD3A50"/>
    <w:rPr>
      <w:rFonts w:eastAsia="Times New Roman" w:cs="Times New Roman"/>
      <w:color w:val="000000"/>
      <w:sz w:val="20"/>
      <w:szCs w:val="20"/>
    </w:rPr>
  </w:style>
  <w:style w:type="character" w:styleId="SubtleReference">
    <w:name w:val="Subtle Reference"/>
    <w:basedOn w:val="DefaultParagraphFont"/>
    <w:uiPriority w:val="10"/>
    <w:qFormat/>
    <w:rsid w:val="00B41C80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90620"/>
    <w:pPr>
      <w:numPr>
        <w:numId w:val="3"/>
      </w:numPr>
      <w:spacing w:after="0" w:line="240" w:lineRule="auto"/>
    </w:pPr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eto\AppData\Roaming\Microsoft\Templates\Manager%20in%20regulatory%20affairs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A341-56F0-469B-B49D-B19E3B4DF3C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C6C133-02AC-4A24-B038-A3826EBF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3217E-9D37-445E-AF8E-5BC31DCB32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345504-B4DB-451B-81A5-D1EAABB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2024-02-12T16:41:00Z</dcterms:created>
  <dcterms:modified xsi:type="dcterms:W3CDTF">2024-02-12T16:41:00Z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