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2696C6CD" w:rsidR="00BB4873" w:rsidRDefault="00BB4873" w:rsidP="00471134">
      <w:pPr>
        <w:spacing w:line="240" w:lineRule="auto"/>
        <w:jc w:val="center"/>
        <w:rPr>
          <w:lang w:val="en-US"/>
        </w:rPr>
      </w:pPr>
      <w:r w:rsidRPr="00BB4873">
        <w:rPr>
          <w:lang w:val="en-US"/>
        </w:rPr>
        <w:t>ELN-0602-v1.</w:t>
      </w:r>
      <w:r w:rsidR="00E674FF">
        <w:rPr>
          <w:lang w:val="en-US"/>
        </w:rPr>
        <w:t>3</w:t>
      </w:r>
    </w:p>
    <w:p w14:paraId="2635A040" w14:textId="01555EE6" w:rsidR="00B05A68" w:rsidRDefault="006E23A8" w:rsidP="00471134">
      <w:pPr>
        <w:spacing w:line="240" w:lineRule="auto"/>
        <w:jc w:val="center"/>
        <w:rPr>
          <w:lang w:val="en-US"/>
        </w:rPr>
      </w:pPr>
      <w:r w:rsidRPr="006C4EAB">
        <w:rPr>
          <w:lang w:val="en-US"/>
        </w:rPr>
        <w:t xml:space="preserve">Version </w:t>
      </w:r>
      <w:r w:rsidR="002F146B">
        <w:rPr>
          <w:lang w:val="en-US"/>
        </w:rPr>
        <w:t>1.</w:t>
      </w:r>
      <w:r w:rsidR="00E674FF">
        <w:rPr>
          <w:lang w:val="en-US"/>
        </w:rPr>
        <w:t>3</w:t>
      </w:r>
    </w:p>
    <w:p w14:paraId="174C0B25" w14:textId="6AB65FA1" w:rsidR="005D5595" w:rsidRDefault="003B6A2E" w:rsidP="00471134">
      <w:pPr>
        <w:spacing w:line="240" w:lineRule="auto"/>
        <w:jc w:val="center"/>
        <w:rPr>
          <w:lang w:val="en-US"/>
        </w:rPr>
      </w:pPr>
      <w:r>
        <w:rPr>
          <w:lang w:val="en-US"/>
        </w:rPr>
        <w:t>201</w:t>
      </w:r>
      <w:r w:rsidR="00D1559A">
        <w:rPr>
          <w:lang w:val="en-US"/>
        </w:rPr>
        <w:t>5-</w:t>
      </w:r>
      <w:r w:rsidR="00530F29">
        <w:rPr>
          <w:lang w:val="en-US"/>
        </w:rPr>
        <w:t>10-05</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D5118D">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D5118D">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D5118D">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D5118D">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D5118D">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D5118D">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D5118D">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D5118D">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D5118D">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D5118D">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D5118D">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D5118D">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D5118D">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D5118D">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D5118D">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D5118D">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D5118D">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D5118D">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D5118D">
        <w:rPr>
          <w:noProof/>
        </w:rPr>
        <w:t>10</w:t>
      </w:r>
      <w:r>
        <w:rPr>
          <w:noProof/>
        </w:rPr>
        <w:fldChar w:fldCharType="end"/>
      </w:r>
    </w:p>
    <w:p w14:paraId="72A5F82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r w:rsidR="00D5118D">
        <w:rPr>
          <w:noProof/>
        </w:rPr>
        <w:t>10</w:t>
      </w:r>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D5118D">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D5118D">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D5118D">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D5118D">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D5118D">
        <w:rPr>
          <w:noProof/>
        </w:rPr>
        <w:t>13</w:t>
      </w:r>
      <w:r>
        <w:rPr>
          <w:noProof/>
        </w:rPr>
        <w:fldChar w:fldCharType="end"/>
      </w:r>
    </w:p>
    <w:p w14:paraId="543E2BD8"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r w:rsidR="00D5118D">
        <w:rPr>
          <w:noProof/>
        </w:rPr>
        <w:t>13</w:t>
      </w:r>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D5118D">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D5118D">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D5118D">
        <w:rPr>
          <w:noProof/>
        </w:rPr>
        <w:t>14</w:t>
      </w:r>
      <w:r>
        <w:rPr>
          <w:noProof/>
        </w:rPr>
        <w:fldChar w:fldCharType="end"/>
      </w:r>
    </w:p>
    <w:p w14:paraId="11BCE1E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r w:rsidR="00D5118D">
        <w:rPr>
          <w:noProof/>
        </w:rPr>
        <w:t>14</w:t>
      </w:r>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D5118D">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D5118D">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D5118D">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D5118D">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D5118D">
        <w:rPr>
          <w:noProof/>
        </w:rPr>
        <w:t>16</w:t>
      </w:r>
      <w:r>
        <w:rPr>
          <w:noProof/>
        </w:rPr>
        <w:fldChar w:fldCharType="end"/>
      </w:r>
    </w:p>
    <w:p w14:paraId="2910FB5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r w:rsidR="00D5118D">
        <w:rPr>
          <w:noProof/>
        </w:rPr>
        <w:t>16</w:t>
      </w:r>
      <w:r>
        <w:rPr>
          <w:noProof/>
        </w:rPr>
        <w:fldChar w:fldCharType="end"/>
      </w:r>
    </w:p>
    <w:p w14:paraId="0B87975F"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r w:rsidR="00D5118D">
        <w:rPr>
          <w:noProof/>
        </w:rPr>
        <w:t>17</w:t>
      </w:r>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D5118D">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D5118D">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1" w:name="_Toc305420671"/>
      <w:r w:rsidRPr="006C4EAB">
        <w:rPr>
          <w:lang w:val="en-US"/>
        </w:rPr>
        <w:lastRenderedPageBreak/>
        <w:t>Introduction</w:t>
      </w:r>
      <w:bookmarkEnd w:id="1"/>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1D3A4FCF" w14:textId="3ADDB494" w:rsidR="00F20FED"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Heading2"/>
        <w:rPr>
          <w:lang w:val="en-US"/>
        </w:rPr>
      </w:pPr>
      <w:bookmarkStart w:id="2" w:name="_Toc305420672"/>
      <w:r w:rsidRPr="006C4EAB">
        <w:rPr>
          <w:lang w:val="en-US"/>
        </w:rPr>
        <w:t xml:space="preserve">Requirements </w:t>
      </w:r>
      <w:r>
        <w:rPr>
          <w:lang w:val="en-US"/>
        </w:rPr>
        <w:t>N</w:t>
      </w:r>
      <w:r w:rsidRPr="006C4EAB">
        <w:rPr>
          <w:lang w:val="en-US"/>
        </w:rPr>
        <w:t>otation</w:t>
      </w:r>
      <w:bookmarkEnd w:id="2"/>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3"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3"/>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4" w:name="_Toc305420674"/>
      <w:r w:rsidRPr="006C4EAB">
        <w:rPr>
          <w:lang w:val="en-US"/>
        </w:rPr>
        <w:lastRenderedPageBreak/>
        <w:t>Metadata and Trust Management</w:t>
      </w:r>
      <w:bookmarkEnd w:id="4"/>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5" w:name="_Ref290799634"/>
      <w:bookmarkStart w:id="6" w:name="_Toc305420675"/>
      <w:r>
        <w:rPr>
          <w:lang w:val="en-US"/>
        </w:rPr>
        <w:t>Requirements for Metadata Content</w:t>
      </w:r>
      <w:bookmarkEnd w:id="5"/>
      <w:bookmarkEnd w:id="6"/>
    </w:p>
    <w:p w14:paraId="06084DDE" w14:textId="7297BB8D" w:rsidR="002C436B" w:rsidRPr="002C436B" w:rsidRDefault="002C436B" w:rsidP="002C436B">
      <w:pPr>
        <w:pStyle w:val="Heading3"/>
        <w:rPr>
          <w:lang w:val="en-US"/>
        </w:rPr>
      </w:pPr>
      <w:bookmarkStart w:id="7" w:name="_Toc305420676"/>
      <w:r w:rsidRPr="002C436B">
        <w:rPr>
          <w:lang w:val="en-US"/>
        </w:rPr>
        <w:t>Generic</w:t>
      </w:r>
      <w:bookmarkEnd w:id="7"/>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contain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8" w:name="_Ref290727742"/>
      <w:bookmarkStart w:id="9" w:name="_Ref290728069"/>
      <w:bookmarkStart w:id="10" w:name="_Toc305420677"/>
      <w:r w:rsidRPr="00782D7E">
        <w:rPr>
          <w:lang w:val="en-US"/>
        </w:rPr>
        <w:t>Service Providers</w:t>
      </w:r>
      <w:bookmarkEnd w:id="8"/>
      <w:bookmarkEnd w:id="9"/>
      <w:bookmarkEnd w:id="10"/>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1"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w:t>
      </w:r>
      <w:r w:rsidR="00686839">
        <w:rPr>
          <w:rFonts w:cs="Arial"/>
          <w:bCs/>
          <w:lang w:val="en-US"/>
        </w:rPr>
        <w:t>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11" w:name="_Ref300402927"/>
      <w:bookmarkStart w:id="12" w:name="_Toc305420678"/>
      <w:r>
        <w:rPr>
          <w:lang w:val="en-US"/>
        </w:rPr>
        <w:t>Identity Providers</w:t>
      </w:r>
      <w:bookmarkEnd w:id="11"/>
      <w:bookmarkEnd w:id="12"/>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2" w:history="1">
        <w:r w:rsidRPr="002F146B">
          <w:rPr>
            <w:rStyle w:val="Hyperlink"/>
            <w:lang w:val="en-US"/>
          </w:rPr>
          <w:t>EntCat</w:t>
        </w:r>
      </w:hyperlink>
      <w:r>
        <w:rPr>
          <w:lang w:val="en-US"/>
        </w:rPr>
        <w:t>] that holds at least one attribute value representing a service entity category as defined in [</w:t>
      </w:r>
      <w:r w:rsidR="00673592">
        <w:rPr>
          <w:lang w:val="en-US"/>
        </w:rPr>
        <w:t>Eid</w:t>
      </w:r>
      <w:r>
        <w:rPr>
          <w:lang w:val="en-US"/>
        </w:rPr>
        <w:t xml:space="preserve">EntCat],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3"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r w:rsidR="00673592">
        <w:rPr>
          <w:lang w:val="en-US"/>
        </w:rPr>
        <w:t>Eid</w:t>
      </w:r>
      <w:r>
        <w:rPr>
          <w:lang w:val="en-US"/>
        </w:rPr>
        <w:t xml:space="preserve">Registry] and whose meaning are defined in </w:t>
      </w:r>
      <w:r w:rsidR="004F5129">
        <w:rPr>
          <w:lang w:val="en-US"/>
        </w:rPr>
        <w:t>[EidTillit</w:t>
      </w:r>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4"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13" w:name="_Ref296499755"/>
      <w:bookmarkStart w:id="14" w:name="_Ref296504621"/>
      <w:bookmarkStart w:id="15" w:name="_Ref296701860"/>
      <w:bookmarkStart w:id="16" w:name="_Toc305420679"/>
      <w:r w:rsidRPr="007E58C7">
        <w:rPr>
          <w:lang w:val="en-US"/>
        </w:rPr>
        <w:t>Signature Service</w:t>
      </w:r>
      <w:bookmarkEnd w:id="13"/>
      <w:bookmarkEnd w:id="14"/>
      <w:bookmarkEnd w:id="15"/>
      <w:bookmarkEnd w:id="16"/>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r w:rsidR="00673592">
        <w:rPr>
          <w:lang w:val="en-US"/>
        </w:rPr>
        <w:t>Eid</w:t>
      </w:r>
      <w:r w:rsidR="00B85697">
        <w:rPr>
          <w:lang w:val="en-US"/>
        </w:rPr>
        <w:t xml:space="preserve">EntCat] </w:t>
      </w:r>
      <w:r w:rsidR="005A52C4">
        <w:rPr>
          <w:lang w:val="en-US"/>
        </w:rPr>
        <w:t>as a value to the entity category attribute [</w:t>
      </w:r>
      <w:hyperlink r:id="rId25"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r w:rsidR="00F02F42">
        <w:rPr>
          <w:lang w:val="en-US"/>
        </w:rPr>
        <w:t xml:space="preserve">assign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w:t>
      </w:r>
      <w:r w:rsidR="000C02D2">
        <w:rPr>
          <w:lang w:val="en-US"/>
        </w:rPr>
        <w:t>e</w:t>
      </w:r>
      <w:r w:rsidR="000C02D2">
        <w:rPr>
          <w:lang w:val="en-US"/>
        </w:rPr>
        <w:t xml:space="preserv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17" w:name="_Toc305420680"/>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17"/>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6"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18" w:name="_Toc305420681"/>
      <w:r w:rsidRPr="006C4EAB">
        <w:rPr>
          <w:lang w:val="en-US" w:eastAsia="en-US"/>
        </w:rPr>
        <w:t>Attributes</w:t>
      </w:r>
      <w:bookmarkEnd w:id="18"/>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D5118D">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D5118D">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19" w:name="_Toc305420682"/>
      <w:r w:rsidRPr="006C4EAB">
        <w:rPr>
          <w:lang w:val="en-US"/>
        </w:rPr>
        <w:t>Authentication Requests</w:t>
      </w:r>
      <w:bookmarkEnd w:id="19"/>
    </w:p>
    <w:p w14:paraId="7FC03707" w14:textId="462749D3" w:rsidR="006B5921" w:rsidRDefault="006B5921" w:rsidP="006C4EAB">
      <w:pPr>
        <w:pStyle w:val="Heading2"/>
        <w:rPr>
          <w:lang w:val="en-US"/>
        </w:rPr>
      </w:pPr>
      <w:bookmarkStart w:id="20" w:name="_Ref263956239"/>
      <w:bookmarkStart w:id="21" w:name="_Ref263956242"/>
      <w:bookmarkStart w:id="22" w:name="_Toc305420683"/>
      <w:r>
        <w:rPr>
          <w:lang w:val="en-US"/>
        </w:rPr>
        <w:t>Discovery</w:t>
      </w:r>
      <w:bookmarkEnd w:id="20"/>
      <w:bookmarkEnd w:id="21"/>
      <w:bookmarkEnd w:id="22"/>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hyperlink r:id="rId27"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r w:rsidR="00673592">
        <w:rPr>
          <w:lang w:val="en-US"/>
        </w:rPr>
        <w:t>Eid</w:t>
      </w:r>
      <w:r w:rsidR="004D19A5" w:rsidRPr="006D4173">
        <w:rPr>
          <w:lang w:val="en-US"/>
        </w:rPr>
        <w:t>Disco</w:t>
      </w:r>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A Service Provider SHOULD use either the central discovery service or the integrated discovery techniques as described in [</w:t>
      </w:r>
      <w:r w:rsidR="00673592">
        <w:rPr>
          <w:lang w:val="en-US"/>
        </w:rPr>
        <w:t>Eid</w:t>
      </w:r>
      <w:r w:rsidR="004D19A5" w:rsidRPr="006D4173">
        <w:rPr>
          <w:lang w:val="en-US"/>
        </w:rPr>
        <w:t>Disco</w:t>
      </w:r>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23" w:name="_Ref290799639"/>
      <w:bookmarkStart w:id="24" w:name="_Ref290799942"/>
      <w:bookmarkStart w:id="25" w:name="_Ref290799948"/>
      <w:bookmarkStart w:id="26"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23"/>
      <w:bookmarkEnd w:id="24"/>
      <w:bookmarkEnd w:id="25"/>
      <w:bookmarkEnd w:id="26"/>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w:t>
      </w:r>
      <w:hyperlink r:id="rId28"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9"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30"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lastRenderedPageBreak/>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D5118D">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D5118D">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1"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27" w:name="_Ref274858246"/>
      <w:bookmarkStart w:id="28" w:name="_Toc305420685"/>
      <w:r>
        <w:rPr>
          <w:lang w:val="en-US"/>
        </w:rPr>
        <w:t>Message Content</w:t>
      </w:r>
      <w:bookmarkEnd w:id="27"/>
      <w:bookmarkEnd w:id="28"/>
    </w:p>
    <w:p w14:paraId="591C1800" w14:textId="239C2CAE" w:rsidR="00B40566" w:rsidRDefault="00B40566" w:rsidP="001108A7">
      <w:pPr>
        <w:rPr>
          <w:lang w:val="en-US"/>
        </w:rPr>
      </w:pPr>
      <w:r>
        <w:rPr>
          <w:lang w:val="en-US"/>
        </w:rPr>
        <w:t>[</w:t>
      </w:r>
      <w:hyperlink r:id="rId32"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MUST 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3"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79AAC857" w14:textId="77777777" w:rsidR="00006834" w:rsidRDefault="00006834" w:rsidP="001108A7">
      <w:pPr>
        <w:rPr>
          <w:lang w:val="en-US"/>
        </w:rPr>
      </w:pPr>
    </w:p>
    <w:p w14:paraId="29E28C8C" w14:textId="76E4A7B0" w:rsidR="00F221A2" w:rsidRDefault="00006834" w:rsidP="001108A7">
      <w:pPr>
        <w:rPr>
          <w:lang w:val="en-US"/>
        </w:rPr>
      </w:pPr>
      <w:r>
        <w:rPr>
          <w:lang w:val="en-US"/>
        </w:rPr>
        <w:t xml:space="preserve">A Service Provider SHOULD </w:t>
      </w:r>
      <w:r w:rsidR="009340FD">
        <w:rPr>
          <w:lang w:val="en-US"/>
        </w:rPr>
        <w:t xml:space="preserve">explicitly </w:t>
      </w:r>
      <w:r>
        <w:rPr>
          <w:lang w:val="en-US"/>
        </w:rPr>
        <w:t xml:space="preserve">specify </w:t>
      </w:r>
      <w:r w:rsidR="004D1B49">
        <w:rPr>
          <w:lang w:val="en-US"/>
        </w:rPr>
        <w:t xml:space="preserve">the </w:t>
      </w:r>
      <w:r w:rsidR="005746AA">
        <w:rPr>
          <w:lang w:val="en-US"/>
        </w:rPr>
        <w:t>requested authentication context, representing a defined Le</w:t>
      </w:r>
      <w:r w:rsidR="005746AA">
        <w:rPr>
          <w:lang w:val="en-US"/>
        </w:rPr>
        <w:t>v</w:t>
      </w:r>
      <w:r w:rsidR="005746AA">
        <w:rPr>
          <w:lang w:val="en-US"/>
        </w:rPr>
        <w:t>el of Assurance,</w:t>
      </w:r>
      <w:r w:rsidR="004D1B49">
        <w:rPr>
          <w:lang w:val="en-US"/>
        </w:rPr>
        <w:t xml:space="preserve"> under which the authentication</w:t>
      </w:r>
      <w:r w:rsidR="00AB504E">
        <w:rPr>
          <w:lang w:val="en-US"/>
        </w:rPr>
        <w:t xml:space="preserve"> process</w:t>
      </w:r>
      <w:r w:rsidR="004D1B49">
        <w:rPr>
          <w:lang w:val="en-US"/>
        </w:rPr>
        <w:t xml:space="preserve"> should be </w:t>
      </w:r>
      <w:r w:rsidR="006D40C8">
        <w:rPr>
          <w:lang w:val="en-US"/>
        </w:rPr>
        <w:t>performed</w:t>
      </w:r>
      <w:r w:rsidR="004D1B49">
        <w:rPr>
          <w:lang w:val="en-US"/>
        </w:rPr>
        <w:t xml:space="preserve"> </w:t>
      </w:r>
      <w:r w:rsidR="00500A61">
        <w:rPr>
          <w:lang w:val="en-US"/>
        </w:rPr>
        <w:t xml:space="preserve">by including </w:t>
      </w:r>
      <w:r w:rsidR="005746AA">
        <w:rPr>
          <w:lang w:val="en-US"/>
        </w:rPr>
        <w:t xml:space="preserve">an </w:t>
      </w:r>
      <w:r w:rsidR="00E452C1">
        <w:rPr>
          <w:lang w:val="en-US"/>
        </w:rPr>
        <w:t>a</w:t>
      </w:r>
      <w:r w:rsidR="005746AA">
        <w:rPr>
          <w:lang w:val="en-US"/>
        </w:rPr>
        <w:t xml:space="preserve">uthentication </w:t>
      </w:r>
      <w:r w:rsidR="00E452C1">
        <w:rPr>
          <w:lang w:val="en-US"/>
        </w:rPr>
        <w:t>c</w:t>
      </w:r>
      <w:r w:rsidR="005746AA">
        <w:rPr>
          <w:lang w:val="en-US"/>
        </w:rPr>
        <w:t>ontext</w:t>
      </w:r>
      <w:r w:rsidR="00F15CC5">
        <w:rPr>
          <w:lang w:val="en-US"/>
        </w:rPr>
        <w:t xml:space="preserve"> URI</w:t>
      </w:r>
      <w:r w:rsidR="00AB504E">
        <w:rPr>
          <w:rStyle w:val="FootnoteReference"/>
          <w:lang w:val="en-US"/>
        </w:rPr>
        <w:footnoteReference w:id="1"/>
      </w:r>
      <w:r w:rsidR="00AB504E">
        <w:rPr>
          <w:lang w:val="en-US"/>
        </w:rPr>
        <w:t xml:space="preserve"> </w:t>
      </w:r>
      <w:r w:rsidR="00F15CC5">
        <w:rPr>
          <w:lang w:val="en-US"/>
        </w:rPr>
        <w:t xml:space="preserve">as a value to the </w:t>
      </w:r>
      <w:r w:rsidR="00F15CC5">
        <w:rPr>
          <w:rStyle w:val="Code"/>
        </w:rPr>
        <w:t>&lt;saml2</w:t>
      </w:r>
      <w:r w:rsidR="00F15CC5" w:rsidRPr="00012C80">
        <w:rPr>
          <w:rStyle w:val="Code"/>
        </w:rPr>
        <w:t>:AuthnContextClassRef&gt;</w:t>
      </w:r>
      <w:r w:rsidR="00F15CC5">
        <w:rPr>
          <w:lang w:val="en-US"/>
        </w:rPr>
        <w:t xml:space="preserve"> element that is part of the </w:t>
      </w:r>
      <w:r w:rsidR="00F15CC5" w:rsidRPr="00012C80">
        <w:rPr>
          <w:rStyle w:val="Code"/>
        </w:rPr>
        <w:t>&lt;saml2p:RequestedAuthnContext&gt;</w:t>
      </w:r>
      <w:r w:rsidR="00F15CC5">
        <w:rPr>
          <w:lang w:val="en-US"/>
        </w:rPr>
        <w:t xml:space="preserve"> element.</w:t>
      </w:r>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r w:rsidR="00673592">
        <w:rPr>
          <w:lang w:val="en-US"/>
        </w:rPr>
        <w:t>Eid</w:t>
      </w:r>
      <w:r w:rsidR="00F06147" w:rsidRPr="006873B9">
        <w:rPr>
          <w:lang w:val="en-US"/>
        </w:rPr>
        <w:t>EntCat</w:t>
      </w:r>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D5118D">
        <w:rPr>
          <w:lang w:val="en-US"/>
        </w:rPr>
        <w:t>5.4.4</w:t>
      </w:r>
      <w:r w:rsidR="00294876">
        <w:rPr>
          <w:lang w:val="en-US"/>
        </w:rPr>
        <w:fldChar w:fldCharType="end"/>
      </w:r>
      <w:r w:rsidR="00844F9A">
        <w:rPr>
          <w:lang w:val="en-US"/>
        </w:rPr>
        <w:t xml:space="preserve"> below.</w:t>
      </w:r>
    </w:p>
    <w:p w14:paraId="4CCFFADF" w14:textId="77777777" w:rsidR="00072C3D" w:rsidRPr="002F146B" w:rsidRDefault="00072C3D" w:rsidP="00072C3D">
      <w:pPr>
        <w:rPr>
          <w:lang w:val="en-US"/>
        </w:rPr>
      </w:pPr>
    </w:p>
    <w:p w14:paraId="61D81008" w14:textId="77777777" w:rsidR="00072C3D"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E47FA34" w14:textId="4E7140CA" w:rsidR="007A69A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072C3D">
      <w:pPr>
        <w:pStyle w:val="Caption"/>
      </w:pPr>
      <w:r w:rsidRPr="00F126B8">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w:t>
      </w:r>
      <w:r w:rsidRPr="00F126B8">
        <w:t>d</w:t>
      </w:r>
      <w:r w:rsidRPr="00F126B8">
        <w:t>ed</w:t>
      </w:r>
      <w:r w:rsidR="00B363A9">
        <w:t xml:space="preserve"> in an authentication request message</w:t>
      </w:r>
      <w:r>
        <w:t>.</w:t>
      </w: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lastRenderedPageBreak/>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Heading2"/>
        <w:rPr>
          <w:lang w:val="en-US"/>
        </w:rPr>
      </w:pPr>
      <w:bookmarkStart w:id="29" w:name="_Ref275431164"/>
      <w:bookmarkStart w:id="30" w:name="_Ref275431167"/>
      <w:bookmarkStart w:id="31" w:name="_Ref275431183"/>
      <w:bookmarkStart w:id="32" w:name="_Ref275431194"/>
      <w:bookmarkStart w:id="33" w:name="_Toc305420686"/>
      <w:r>
        <w:rPr>
          <w:lang w:val="en-US"/>
        </w:rPr>
        <w:t>Processing Requirements</w:t>
      </w:r>
      <w:bookmarkEnd w:id="29"/>
      <w:bookmarkEnd w:id="30"/>
      <w:bookmarkEnd w:id="31"/>
      <w:bookmarkEnd w:id="32"/>
      <w:bookmarkEnd w:id="33"/>
    </w:p>
    <w:p w14:paraId="54E545C7" w14:textId="6A9BACF8" w:rsidR="00FB2295" w:rsidRDefault="00FB2295" w:rsidP="00634EA7">
      <w:pPr>
        <w:pStyle w:val="Heading3"/>
        <w:rPr>
          <w:lang w:val="en-US"/>
        </w:rPr>
      </w:pPr>
      <w:bookmarkStart w:id="34" w:name="_Toc305420687"/>
      <w:bookmarkStart w:id="35" w:name="_Ref274858256"/>
      <w:r>
        <w:rPr>
          <w:lang w:val="en-US"/>
        </w:rPr>
        <w:t xml:space="preserve">Validation of </w:t>
      </w:r>
      <w:r w:rsidR="008C205B">
        <w:rPr>
          <w:lang w:val="en-US"/>
        </w:rPr>
        <w:t>Destination</w:t>
      </w:r>
      <w:bookmarkEnd w:id="34"/>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36" w:name="_Toc305420688"/>
      <w:r>
        <w:rPr>
          <w:lang w:val="en-US"/>
        </w:rPr>
        <w:t xml:space="preserve">Validation of Assertion Consumer </w:t>
      </w:r>
      <w:r w:rsidR="00DC1909">
        <w:rPr>
          <w:lang w:val="en-US"/>
        </w:rPr>
        <w:t>Addresses</w:t>
      </w:r>
      <w:bookmarkEnd w:id="35"/>
      <w:bookmarkEnd w:id="36"/>
    </w:p>
    <w:p w14:paraId="67493341" w14:textId="06AE674F" w:rsidR="009425D0" w:rsidRDefault="009425D0" w:rsidP="00C7779A">
      <w:pPr>
        <w:rPr>
          <w:lang w:val="en-US"/>
        </w:rPr>
      </w:pPr>
      <w:r>
        <w:rPr>
          <w:lang w:val="en-US"/>
        </w:rPr>
        <w:t xml:space="preserve">The value of the </w:t>
      </w:r>
      <w:r w:rsidRPr="009425D0">
        <w:rPr>
          <w:rStyle w:val="Code"/>
        </w:rPr>
        <w:t>AssertionConsumerServiceURL</w:t>
      </w:r>
      <w:r>
        <w:rPr>
          <w:lang w:val="en-US"/>
        </w:rPr>
        <w:t xml:space="preserve"> attribute of the </w:t>
      </w:r>
      <w:r w:rsidRPr="009425D0">
        <w:rPr>
          <w:rStyle w:val="Code"/>
        </w:rPr>
        <w:t>&lt;saml2p:AuthnRequest&gt;</w:t>
      </w:r>
      <w:r>
        <w:rPr>
          <w:lang w:val="en-US"/>
        </w:rPr>
        <w:t xml:space="preserve"> message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having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4"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37" w:name="_Toc305420689"/>
      <w:r>
        <w:rPr>
          <w:lang w:val="en-US"/>
        </w:rPr>
        <w:t>Identity Provider User Interface</w:t>
      </w:r>
      <w:bookmarkEnd w:id="37"/>
    </w:p>
    <w:p w14:paraId="6B1148B3" w14:textId="71E2B182"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 xml:space="preserv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rovider’s metadata entry. Implementers of this profile MUST be c</w:t>
      </w:r>
      <w:r w:rsidR="00332B06">
        <w:rPr>
          <w:lang w:val="en-US"/>
        </w:rPr>
        <w:t>a</w:t>
      </w:r>
      <w:r w:rsidR="00332B06">
        <w:rPr>
          <w:lang w:val="en-US"/>
        </w:rPr>
        <w:t xml:space="preserve">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38" w:name="_Ref263956330"/>
      <w:bookmarkStart w:id="39" w:name="_Ref263956334"/>
      <w:bookmarkStart w:id="40" w:name="_Toc305420690"/>
      <w:r>
        <w:rPr>
          <w:lang w:val="en-US"/>
        </w:rPr>
        <w:t xml:space="preserve">Authentication </w:t>
      </w:r>
      <w:r w:rsidR="004E08F3">
        <w:rPr>
          <w:lang w:val="en-US"/>
        </w:rPr>
        <w:t>C</w:t>
      </w:r>
      <w:r>
        <w:rPr>
          <w:lang w:val="en-US"/>
        </w:rPr>
        <w:t xml:space="preserve">ontext and Level of Assurance </w:t>
      </w:r>
      <w:bookmarkStart w:id="41" w:name="_Ref298574785"/>
      <w:bookmarkEnd w:id="38"/>
      <w:bookmarkEnd w:id="39"/>
      <w:r w:rsidR="0061061F">
        <w:rPr>
          <w:lang w:val="en-US"/>
        </w:rPr>
        <w:t>Handling</w:t>
      </w:r>
      <w:bookmarkEnd w:id="41"/>
      <w:bookmarkEnd w:id="40"/>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r w:rsidR="001A035D">
        <w:rPr>
          <w:lang w:val="en-US"/>
        </w:rPr>
        <w:t>c</w:t>
      </w:r>
      <w:r>
        <w:rPr>
          <w:lang w:val="en-US"/>
        </w:rPr>
        <w:t xml:space="preserve">ontext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ign</w:t>
      </w:r>
      <w:r>
        <w:rPr>
          <w:lang w:val="en-US"/>
        </w:rPr>
        <w:t>a</w:t>
      </w:r>
      <w:r>
        <w:rPr>
          <w:lang w:val="en-US"/>
        </w:rPr>
        <w:t xml:space="preserve">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D5118D">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19549383" w:rsidR="00A104FB" w:rsidRDefault="00A104FB" w:rsidP="00A104FB">
      <w:pPr>
        <w:rPr>
          <w:lang w:val="en-US"/>
        </w:rPr>
      </w:pPr>
      <w:r>
        <w:rPr>
          <w:lang w:val="en-US"/>
        </w:rPr>
        <w:t xml:space="preserve">Identity Providers SHALL exclusively use the requested </w:t>
      </w:r>
      <w:r w:rsidR="00CC7429">
        <w:rPr>
          <w:lang w:val="en-US"/>
        </w:rPr>
        <w:t>a</w:t>
      </w:r>
      <w:r>
        <w:rPr>
          <w:lang w:val="en-US"/>
        </w:rPr>
        <w:t xml:space="preserve">uthentication </w:t>
      </w:r>
      <w:r w:rsidR="00CC7429">
        <w:rPr>
          <w:lang w:val="en-US"/>
        </w:rPr>
        <w:t>c</w:t>
      </w:r>
      <w:r>
        <w:rPr>
          <w:lang w:val="en-US"/>
        </w:rPr>
        <w:t xml:space="preserve">ontext in </w:t>
      </w:r>
      <w:r w:rsidRPr="00B324D9">
        <w:rPr>
          <w:rStyle w:val="Code"/>
        </w:rPr>
        <w:t>&lt;saml2p:AuthnRequest&gt;</w:t>
      </w:r>
      <w:r>
        <w:rPr>
          <w:rStyle w:val="Code"/>
        </w:rPr>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w:t>
      </w:r>
      <w:r w:rsidR="00960728">
        <w:rPr>
          <w:lang w:val="en-US"/>
        </w:rPr>
        <w:t>e</w:t>
      </w:r>
      <w:r w:rsidR="00960728">
        <w:rPr>
          <w:lang w:val="en-US"/>
        </w:rPr>
        <w:t>ment, to</w:t>
      </w:r>
      <w:r>
        <w:rPr>
          <w:lang w:val="en-US"/>
        </w:rPr>
        <w:t xml:space="preserve"> determine the requested authentication process and Level of Assurance. The Identity Provider </w:t>
      </w:r>
      <w:r w:rsidR="00960728">
        <w:rPr>
          <w:lang w:val="en-US"/>
        </w:rPr>
        <w:t>SHALL respond</w:t>
      </w:r>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5" w:history="1">
        <w:r w:rsidRPr="003A5A77">
          <w:rPr>
            <w:rStyle w:val="Hyperlink"/>
            <w:lang w:val="en-US"/>
          </w:rPr>
          <w:t>SAML2Core</w:t>
        </w:r>
      </w:hyperlink>
      <w:r>
        <w:rPr>
          <w:lang w:val="en-US"/>
        </w:rPr>
        <w:t xml:space="preserve">] if the requested </w:t>
      </w:r>
      <w:r w:rsidR="00CE355F">
        <w:rPr>
          <w:lang w:val="en-US"/>
        </w:rPr>
        <w:t>a</w:t>
      </w:r>
      <w:r>
        <w:rPr>
          <w:lang w:val="en-US"/>
        </w:rPr>
        <w:t xml:space="preserve">uthentication </w:t>
      </w:r>
      <w:r w:rsidR="00CE355F">
        <w:rPr>
          <w:lang w:val="en-US"/>
        </w:rPr>
        <w:t>c</w:t>
      </w:r>
      <w:r>
        <w:rPr>
          <w:lang w:val="en-US"/>
        </w:rPr>
        <w:t>o</w:t>
      </w:r>
      <w:r>
        <w:rPr>
          <w:lang w:val="en-US"/>
        </w:rPr>
        <w:t>n</w:t>
      </w:r>
      <w:r>
        <w:rPr>
          <w:lang w:val="en-US"/>
        </w:rPr>
        <w:t xml:space="preserve">text is not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the Identity Provider MAY return the result of a default authentication process that is consistent with the Identity Providers metadata.</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r w:rsidR="00673592">
        <w:rPr>
          <w:lang w:val="en-US"/>
        </w:rPr>
        <w:t>Eid</w:t>
      </w:r>
      <w:r w:rsidR="00B33417" w:rsidRPr="00B33417">
        <w:rPr>
          <w:lang w:val="en-US"/>
        </w:rPr>
        <w:t>EntCat</w:t>
      </w:r>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w:t>
      </w:r>
      <w:r w:rsidR="008B546C">
        <w:rPr>
          <w:lang w:val="en-US"/>
        </w:rPr>
        <w:t>u</w:t>
      </w:r>
      <w:r w:rsidR="008B546C">
        <w:rPr>
          <w:lang w:val="en-US"/>
        </w:rPr>
        <w:t>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lastRenderedPageBreak/>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42" w:name="_Ref275433770"/>
      <w:bookmarkStart w:id="43" w:name="_Toc305420691"/>
      <w:r>
        <w:rPr>
          <w:lang w:val="en-US"/>
        </w:rPr>
        <w:t xml:space="preserve">Single Sign On </w:t>
      </w:r>
      <w:r w:rsidR="00826245">
        <w:rPr>
          <w:lang w:val="en-US"/>
        </w:rPr>
        <w:t>Processing</w:t>
      </w:r>
      <w:bookmarkEnd w:id="42"/>
      <w:bookmarkEnd w:id="43"/>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re-use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44"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lastRenderedPageBreak/>
        <w:t xml:space="preserve">Authentication </w:t>
      </w:r>
      <w:r w:rsidR="001F235E">
        <w:rPr>
          <w:noProof/>
          <w:lang w:val="en-US" w:eastAsia="en-US"/>
        </w:rPr>
        <w:t>Responses</w:t>
      </w:r>
      <w:bookmarkEnd w:id="44"/>
    </w:p>
    <w:p w14:paraId="57FB7C05" w14:textId="42630ED4" w:rsidR="001F235E" w:rsidRPr="00BF1B8C" w:rsidRDefault="00BF1B8C" w:rsidP="00BF1B8C">
      <w:pPr>
        <w:pStyle w:val="Heading2"/>
        <w:rPr>
          <w:lang w:val="en-US" w:eastAsia="en-US"/>
        </w:rPr>
      </w:pPr>
      <w:bookmarkStart w:id="45" w:name="_Ref275430995"/>
      <w:bookmarkStart w:id="46" w:name="_Ref275431004"/>
      <w:bookmarkStart w:id="47" w:name="_Toc305420693"/>
      <w:r w:rsidRPr="00BF1B8C">
        <w:rPr>
          <w:lang w:val="en-US" w:eastAsia="en-US"/>
        </w:rPr>
        <w:t>Security Requirements</w:t>
      </w:r>
      <w:bookmarkEnd w:id="45"/>
      <w:bookmarkEnd w:id="46"/>
      <w:bookmarkEnd w:id="47"/>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6"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D5118D">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r w:rsidR="003E201C">
        <w:rPr>
          <w:lang w:val="en-US"/>
        </w:rPr>
        <w:t xml:space="preserve">accept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D5118D">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7"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Heading2"/>
        <w:rPr>
          <w:lang w:val="en-US"/>
        </w:rPr>
      </w:pPr>
      <w:bookmarkStart w:id="48" w:name="_Ref263956429"/>
      <w:bookmarkStart w:id="49" w:name="_Ref263956432"/>
      <w:bookmarkStart w:id="50" w:name="_Toc305420694"/>
      <w:r>
        <w:rPr>
          <w:lang w:val="en-US"/>
        </w:rPr>
        <w:t>Message Content</w:t>
      </w:r>
      <w:bookmarkEnd w:id="48"/>
      <w:bookmarkEnd w:id="49"/>
      <w:bookmarkEnd w:id="50"/>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D5118D">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D5118D">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51" w:name="_Ref298587314"/>
      <w:bookmarkStart w:id="52" w:name="_Toc305420695"/>
      <w:r>
        <w:rPr>
          <w:lang w:val="en-US"/>
        </w:rPr>
        <w:t>Attribute Release Rules</w:t>
      </w:r>
      <w:bookmarkEnd w:id="51"/>
      <w:bookmarkEnd w:id="52"/>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r w:rsidR="00673592">
        <w:rPr>
          <w:lang w:val="en-GB"/>
        </w:rPr>
        <w:t>E</w:t>
      </w:r>
      <w:r w:rsidR="00673592">
        <w:rPr>
          <w:lang w:val="en-GB"/>
        </w:rPr>
        <w:t>i</w:t>
      </w:r>
      <w:r w:rsidR="00673592">
        <w:rPr>
          <w:lang w:val="en-GB"/>
        </w:rPr>
        <w:t>d</w:t>
      </w:r>
      <w:r w:rsidR="0068377A">
        <w:rPr>
          <w:lang w:val="en-GB"/>
        </w:rPr>
        <w:t xml:space="preserve">EntCat]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e Se</w:t>
      </w:r>
      <w:r w:rsidR="00AF72FD">
        <w:rPr>
          <w:lang w:val="en-GB"/>
        </w:rPr>
        <w:t>r</w:t>
      </w:r>
      <w:r w:rsidR="00AF72FD">
        <w:rPr>
          <w:lang w:val="en-GB"/>
        </w:rPr>
        <w:t xml:space="preserve">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r w:rsidR="00673592">
        <w:rPr>
          <w:lang w:val="en-GB"/>
        </w:rPr>
        <w:t>Eid</w:t>
      </w:r>
      <w:r w:rsidR="0068377A">
        <w:rPr>
          <w:lang w:val="en-GB"/>
        </w:rPr>
        <w:t xml:space="preserve">Attributes])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r w:rsidR="008D76FD">
        <w:rPr>
          <w:lang w:val="en-GB"/>
        </w:rPr>
        <w:t>possess</w:t>
      </w:r>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r w:rsidR="00673592">
        <w:rPr>
          <w:lang w:val="en-GB"/>
        </w:rPr>
        <w:t>Eid</w:t>
      </w:r>
      <w:r w:rsidR="007064D2">
        <w:rPr>
          <w:lang w:val="en-GB"/>
        </w:rPr>
        <w:t>EntCat] and [</w:t>
      </w:r>
      <w:r w:rsidR="00673592">
        <w:rPr>
          <w:lang w:val="en-GB"/>
        </w:rPr>
        <w:t>Eid</w:t>
      </w:r>
      <w:r w:rsidR="007064D2">
        <w:rPr>
          <w:lang w:val="en-GB"/>
        </w:rPr>
        <w:t>Attributes] for details.</w:t>
      </w:r>
    </w:p>
    <w:p w14:paraId="2C319DC8" w14:textId="77777777" w:rsidR="004E2794" w:rsidRDefault="004E2794" w:rsidP="00DE20E6">
      <w:pPr>
        <w:rPr>
          <w:lang w:val="en-GB"/>
        </w:rPr>
      </w:pPr>
    </w:p>
    <w:p w14:paraId="2C2D878B" w14:textId="173562E7"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is responsible for checking that an Identity Provider is capable of providing necessary attributes before sending a request and to verify that it received all attributes necessary for providing a reques</w:t>
      </w:r>
      <w:r>
        <w:rPr>
          <w:lang w:val="en-GB"/>
        </w:rPr>
        <w:t>t</w:t>
      </w:r>
      <w:r>
        <w:rPr>
          <w:lang w:val="en-GB"/>
        </w:rPr>
        <w:t xml:space="preserve">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r w:rsidR="003A3E81">
        <w:rPr>
          <w:lang w:val="en-GB"/>
        </w:rPr>
        <w:t>D</w:t>
      </w:r>
      <w:r>
        <w:rPr>
          <w:lang w:val="en-GB"/>
        </w:rPr>
        <w:t xml:space="preserve">iscovery </w:t>
      </w:r>
      <w:r w:rsidR="003A3E81">
        <w:rPr>
          <w:lang w:val="en-GB"/>
        </w:rPr>
        <w:t>S</w:t>
      </w:r>
      <w:r>
        <w:rPr>
          <w:lang w:val="en-GB"/>
        </w:rPr>
        <w:t>ervice to filter out non-conformant Identity Providers, and/or by exami</w:t>
      </w:r>
      <w:r>
        <w:rPr>
          <w:lang w:val="en-GB"/>
        </w:rPr>
        <w:t>n</w:t>
      </w:r>
      <w:r>
        <w:rPr>
          <w:lang w:val="en-GB"/>
        </w:rPr>
        <w:t>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w:t>
      </w:r>
      <w:r w:rsidR="00632D79">
        <w:rPr>
          <w:lang w:val="en-GB"/>
        </w:rPr>
        <w:t>i</w:t>
      </w:r>
      <w:r w:rsidR="00632D79">
        <w:rPr>
          <w:lang w:val="en-GB"/>
        </w:rPr>
        <w:t>cated user, provide limited services or to use other resources to collect necessary attributes.</w:t>
      </w:r>
    </w:p>
    <w:p w14:paraId="38FC5488" w14:textId="4343BEDF" w:rsidR="004064B5" w:rsidRDefault="004064B5" w:rsidP="005C6432">
      <w:pPr>
        <w:pStyle w:val="Heading2"/>
        <w:rPr>
          <w:lang w:val="en-US"/>
        </w:rPr>
      </w:pPr>
      <w:bookmarkStart w:id="53" w:name="_Ref274836225"/>
      <w:bookmarkStart w:id="54" w:name="_Toc305420696"/>
      <w:r>
        <w:rPr>
          <w:lang w:val="en-US"/>
        </w:rPr>
        <w:t>Processing Requirements</w:t>
      </w:r>
      <w:bookmarkEnd w:id="53"/>
      <w:bookmarkEnd w:id="54"/>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38"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39" w:history="1">
        <w:r w:rsidR="00C05824" w:rsidRPr="00CA4D10">
          <w:rPr>
            <w:rStyle w:val="Hyperlink"/>
            <w:lang w:val="en-US"/>
          </w:rPr>
          <w:t>SAML2Core</w:t>
        </w:r>
      </w:hyperlink>
      <w:r w:rsidR="00C05824">
        <w:rPr>
          <w:lang w:val="en-US"/>
        </w:rPr>
        <w:t>], [</w:t>
      </w:r>
      <w:hyperlink r:id="rId40" w:history="1">
        <w:r w:rsidR="00C05824" w:rsidRPr="00CA4D10">
          <w:rPr>
            <w:rStyle w:val="Hyperlink"/>
            <w:lang w:val="en-US"/>
          </w:rPr>
          <w:t>SAML2Prof</w:t>
        </w:r>
      </w:hyperlink>
      <w:r w:rsidR="00C05824">
        <w:rPr>
          <w:lang w:val="en-US"/>
        </w:rPr>
        <w:t>] and [</w:t>
      </w:r>
      <w:hyperlink r:id="rId41"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2"/>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Heading3"/>
        <w:rPr>
          <w:lang w:val="en-US"/>
        </w:rPr>
      </w:pPr>
      <w:bookmarkStart w:id="55" w:name="_Toc305420697"/>
      <w:r>
        <w:rPr>
          <w:lang w:val="en-US"/>
        </w:rPr>
        <w:t>Signature Validation</w:t>
      </w:r>
      <w:bookmarkEnd w:id="55"/>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56" w:name="_Ref274919315"/>
      <w:bookmarkStart w:id="57" w:name="_Toc305420698"/>
      <w:r>
        <w:rPr>
          <w:lang w:val="en-US"/>
        </w:rPr>
        <w:t>Subject</w:t>
      </w:r>
      <w:r w:rsidR="0001776C">
        <w:rPr>
          <w:lang w:val="en-US"/>
        </w:rPr>
        <w:t xml:space="preserve"> Confirmation</w:t>
      </w:r>
      <w:bookmarkEnd w:id="56"/>
      <w:bookmarkEnd w:id="57"/>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77777777"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58" w:name="_Toc305420699"/>
      <w:r>
        <w:rPr>
          <w:lang w:val="en-US"/>
        </w:rPr>
        <w:t>Conditions</w:t>
      </w:r>
      <w:bookmarkEnd w:id="58"/>
    </w:p>
    <w:p w14:paraId="55FED866" w14:textId="19E6F8E7" w:rsidR="00705B4D" w:rsidRDefault="00705B4D" w:rsidP="002B2AE1">
      <w:pPr>
        <w:rPr>
          <w:lang w:val="en-US"/>
        </w:rPr>
      </w:pPr>
      <w:r>
        <w:rPr>
          <w:lang w:val="en-US"/>
        </w:rPr>
        <w:t xml:space="preserve">The Service Provider MUST </w:t>
      </w:r>
      <w:r w:rsidR="009A1853">
        <w:rPr>
          <w:lang w:val="en-US"/>
        </w:rPr>
        <w:t>assert</w:t>
      </w:r>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D5118D">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59" w:name="_Toc305420700"/>
      <w:r>
        <w:rPr>
          <w:lang w:val="en-US"/>
        </w:rPr>
        <w:t>The Authentication Statement</w:t>
      </w:r>
      <w:bookmarkEnd w:id="59"/>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w:t>
      </w:r>
      <w:r>
        <w:rPr>
          <w:lang w:val="en-US"/>
        </w:rPr>
        <w:lastRenderedPageBreak/>
        <w:t xml:space="preserve">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w:t>
      </w:r>
      <w:r w:rsidR="00346FFA">
        <w:rPr>
          <w:lang w:val="en-US"/>
        </w:rPr>
        <w:t>r</w:t>
      </w:r>
      <w:r w:rsidR="00346FFA">
        <w:rPr>
          <w:lang w:val="en-US"/>
        </w:rPr>
        <w:t>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3"/>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60" w:name="_Toc305420701"/>
      <w:r>
        <w:rPr>
          <w:lang w:val="en-US"/>
        </w:rPr>
        <w:t xml:space="preserve">General </w:t>
      </w:r>
      <w:r w:rsidR="009E1C15">
        <w:rPr>
          <w:lang w:val="en-US"/>
        </w:rPr>
        <w:t>Security Validation</w:t>
      </w:r>
      <w:bookmarkEnd w:id="60"/>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r w:rsidR="004C1842">
        <w:rPr>
          <w:lang w:val="en-US"/>
        </w:rPr>
        <w:t xml:space="preserve">ensure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61" w:name="_Toc305420702"/>
      <w:r>
        <w:rPr>
          <w:lang w:val="en-US"/>
        </w:rPr>
        <w:t>Error Responses</w:t>
      </w:r>
      <w:bookmarkEnd w:id="61"/>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2"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D9A0F2B" w14:textId="77777777" w:rsidR="005A1876"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3"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RDefault="008D2CDA" w:rsidP="001372ED">
      <w:pPr>
        <w:rPr>
          <w:lang w:val="en-US"/>
        </w:rPr>
      </w:pPr>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196E08E4" w14:textId="41A65271" w:rsidR="00976730" w:rsidRPr="00592C31" w:rsidRDefault="009A4911" w:rsidP="00AC7C10">
      <w:pPr>
        <w:pStyle w:val="Heading1"/>
        <w:rPr>
          <w:lang w:val="en-US"/>
        </w:rPr>
      </w:pPr>
      <w:bookmarkStart w:id="62" w:name="_Ref298670980"/>
      <w:bookmarkStart w:id="63" w:name="_Ref298670992"/>
      <w:bookmarkStart w:id="64" w:name="_Ref298830213"/>
      <w:bookmarkStart w:id="65" w:name="_Toc305420703"/>
      <w:r>
        <w:rPr>
          <w:lang w:val="en-US"/>
        </w:rPr>
        <w:lastRenderedPageBreak/>
        <w:t>A</w:t>
      </w:r>
      <w:r w:rsidR="004C3765">
        <w:rPr>
          <w:lang w:val="en-US"/>
        </w:rPr>
        <w:t>uthentication for Signature</w:t>
      </w:r>
      <w:bookmarkEnd w:id="62"/>
      <w:bookmarkEnd w:id="63"/>
      <w:bookmarkEnd w:id="64"/>
      <w:bookmarkEnd w:id="65"/>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4"/>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66" w:name="_Ref296505020"/>
      <w:bookmarkStart w:id="67" w:name="_Toc305420704"/>
      <w:r>
        <w:rPr>
          <w:lang w:val="en-US"/>
        </w:rPr>
        <w:t>Authentication Context URIs for Signature Services</w:t>
      </w:r>
      <w:bookmarkEnd w:id="66"/>
      <w:bookmarkEnd w:id="67"/>
    </w:p>
    <w:p w14:paraId="2701837A" w14:textId="2F0A9417" w:rsidR="00831206" w:rsidRDefault="0035655F" w:rsidP="00F37BA0">
      <w:pPr>
        <w:rPr>
          <w:lang w:val="en-US"/>
        </w:rPr>
      </w:pPr>
      <w:r>
        <w:rPr>
          <w:lang w:val="en-US"/>
        </w:rPr>
        <w:t>The Swedi</w:t>
      </w:r>
      <w:r w:rsidR="0034043F">
        <w:rPr>
          <w:lang w:val="en-US"/>
        </w:rPr>
        <w:t xml:space="preserve">sh eID Framework defines three </w:t>
      </w:r>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Pr>
          <w:rStyle w:val="Code"/>
        </w:rPr>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These authentication context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4362A2" w:rsidRDefault="00786453" w:rsidP="0047366C">
      <w:pPr>
        <w:pStyle w:val="ListParagraph"/>
        <w:numPr>
          <w:ilvl w:val="0"/>
          <w:numId w:val="36"/>
        </w:numPr>
        <w:rPr>
          <w:lang w:val="en-US"/>
        </w:rPr>
      </w:pPr>
      <w:r w:rsidRPr="004362A2">
        <w:rPr>
          <w:bCs/>
          <w:szCs w:val="20"/>
        </w:rPr>
        <w:t>http://id.</w:t>
      </w:r>
      <w:r w:rsidR="00284B07" w:rsidRPr="004362A2">
        <w:rPr>
          <w:bCs/>
          <w:szCs w:val="20"/>
        </w:rPr>
        <w:t>elegnamnden.se/loa/1.0/loa4-sig</w:t>
      </w:r>
      <w:r w:rsidRPr="004362A2">
        <w:rPr>
          <w:bCs/>
          <w:szCs w:val="20"/>
        </w:rPr>
        <w:t>message</w:t>
      </w:r>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w:t>
      </w:r>
      <w:r w:rsidR="00F56055">
        <w:rPr>
          <w:lang w:val="en-US"/>
        </w:rPr>
        <w:t>i</w:t>
      </w:r>
      <w:r w:rsidR="00F56055">
        <w:rPr>
          <w:lang w:val="en-US"/>
        </w:rPr>
        <w:t>fiers</w:t>
      </w:r>
      <w:r w:rsidR="00701332">
        <w:rPr>
          <w:lang w:val="en-US"/>
        </w:rPr>
        <w:t xml:space="preserve"> (see section 3.1.1 of [</w:t>
      </w:r>
      <w:r w:rsidR="00673592">
        <w:rPr>
          <w:lang w:val="en-US"/>
        </w:rPr>
        <w:t>Eid</w:t>
      </w:r>
      <w:r w:rsidR="00701332">
        <w:rPr>
          <w:lang w:val="en-US"/>
        </w:rPr>
        <w:t xml:space="preserve">Registry])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r w:rsidR="000C0642">
        <w:rPr>
          <w:lang w:val="en-US"/>
        </w:rPr>
        <w:t>c</w:t>
      </w:r>
      <w:r w:rsidR="00104A77">
        <w:rPr>
          <w:lang w:val="en-US"/>
        </w:rPr>
        <w:t>ontext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68" w:name="_Toc305420705"/>
      <w:r>
        <w:rPr>
          <w:lang w:val="en-US"/>
        </w:rPr>
        <w:t>Authentication Requests</w:t>
      </w:r>
      <w:bookmarkEnd w:id="68"/>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This MUST also be indicated in the Sign</w:t>
      </w:r>
      <w:r w:rsidR="00EE64E3">
        <w:rPr>
          <w:lang w:val="en-US"/>
        </w:rPr>
        <w:t>a</w:t>
      </w:r>
      <w:r w:rsidR="00EE64E3">
        <w:rPr>
          <w:lang w:val="en-US"/>
        </w:rPr>
        <w:t xml:space="preserve">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D5118D">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5"/>
      </w:r>
      <w:r>
        <w:rPr>
          <w:lang w:val="en-US"/>
        </w:rPr>
        <w:t xml:space="preserve"> MUST provide a user interface that is indicating that the end user is pe</w:t>
      </w:r>
      <w:r>
        <w:rPr>
          <w:lang w:val="en-US"/>
        </w:rPr>
        <w:t>r</w:t>
      </w:r>
      <w:r>
        <w:rPr>
          <w:lang w:val="en-US"/>
        </w:rPr>
        <w:t>forming a signature.</w:t>
      </w:r>
    </w:p>
    <w:p w14:paraId="10EE07C2" w14:textId="634E475A" w:rsidR="00004902" w:rsidRDefault="00004902" w:rsidP="00AB550B">
      <w:pPr>
        <w:pStyle w:val="Heading3"/>
        <w:rPr>
          <w:lang w:val="en-US"/>
        </w:rPr>
      </w:pPr>
      <w:bookmarkStart w:id="69" w:name="_Toc305420706"/>
      <w:r>
        <w:rPr>
          <w:lang w:val="en-US"/>
        </w:rPr>
        <w:t xml:space="preserve">Requesting </w:t>
      </w:r>
      <w:r w:rsidR="002F59F2">
        <w:rPr>
          <w:lang w:val="en-US"/>
        </w:rPr>
        <w:t xml:space="preserve">Display of </w:t>
      </w:r>
      <w:r>
        <w:rPr>
          <w:lang w:val="en-US"/>
        </w:rPr>
        <w:t>Signature Mess</w:t>
      </w:r>
      <w:r w:rsidR="002F59F2">
        <w:rPr>
          <w:lang w:val="en-US"/>
        </w:rPr>
        <w:t>age</w:t>
      </w:r>
      <w:bookmarkEnd w:id="69"/>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r w:rsidR="00673592">
        <w:rPr>
          <w:lang w:val="en-GB"/>
        </w:rPr>
        <w:t>Eid</w:t>
      </w:r>
      <w:r w:rsidR="004955E3">
        <w:rPr>
          <w:lang w:val="en-GB"/>
        </w:rPr>
        <w:t xml:space="preserve">DSS])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lastRenderedPageBreak/>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4"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D5118D">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w:t>
      </w:r>
      <w:r w:rsidR="0063070C">
        <w:rPr>
          <w:lang w:val="en-US"/>
        </w:rPr>
        <w:t>e</w:t>
      </w:r>
      <w:r w:rsidR="0063070C">
        <w:rPr>
          <w:lang w:val="en-US"/>
        </w:rPr>
        <w:t xml:space="preserv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roviders SHALL advertise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w:t>
      </w:r>
      <w:r w:rsidR="00FF0495">
        <w:t>s</w:t>
      </w:r>
      <w:r w:rsidR="00FF0495">
        <w:t>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w:t>
      </w:r>
      <w:r>
        <w:rPr>
          <w:lang w:val="en-US"/>
        </w:rPr>
        <w:t>d</w:t>
      </w:r>
      <w:r>
        <w:rPr>
          <w:lang w:val="en-US"/>
        </w:rPr>
        <w:t>er. If the Identity Provider fails to locate, decrypt or extract the sign message in clear text form, it must return an error response.</w:t>
      </w:r>
    </w:p>
    <w:p w14:paraId="6EFE9FF6" w14:textId="722DD0D6" w:rsidR="00C42957" w:rsidRDefault="00D3250C" w:rsidP="00A621E9">
      <w:pPr>
        <w:pStyle w:val="ListParagraph"/>
        <w:numPr>
          <w:ilvl w:val="0"/>
          <w:numId w:val="41"/>
        </w:numPr>
        <w:rPr>
          <w:lang w:val="en-US"/>
        </w:rPr>
      </w:pPr>
      <w:r>
        <w:rPr>
          <w:lang w:val="en-US"/>
        </w:rPr>
        <w:t>The Identity Provider MUST display the sign message to the user in a manner that is consistent with the data format of the sign message. If necessary the Identity Provider MUST process defined filtering rules on the message. If the present message format is not supported or the sign message for any reason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w:t>
      </w:r>
      <w:r>
        <w:rPr>
          <w:lang w:val="en-US"/>
        </w:rPr>
        <w:t>u</w:t>
      </w:r>
      <w:r>
        <w:rPr>
          <w:lang w:val="en-US"/>
        </w:rPr>
        <w:t>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The Identity Provider MUST NOT return an assertion without performing authentication process co</w:t>
      </w:r>
      <w:r>
        <w:rPr>
          <w:lang w:val="en-US"/>
        </w:rPr>
        <w:t>n</w:t>
      </w:r>
      <w:r>
        <w:rPr>
          <w:lang w:val="en-US"/>
        </w:rPr>
        <w:t xml:space="preserve">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Pr>
          <w:lang w:val="en-US"/>
        </w:rPr>
        <w:t>.</w:t>
      </w:r>
    </w:p>
    <w:p w14:paraId="234F82B5" w14:textId="7A87DE86" w:rsidR="00D34882" w:rsidRPr="00A8608B" w:rsidRDefault="001543C2" w:rsidP="008B2EF0">
      <w:pPr>
        <w:pStyle w:val="Heading2"/>
        <w:rPr>
          <w:lang w:val="en-US"/>
        </w:rPr>
      </w:pPr>
      <w:bookmarkStart w:id="70" w:name="_Toc305420707"/>
      <w:r>
        <w:rPr>
          <w:lang w:val="en-US"/>
        </w:rPr>
        <w:t>Authentication Responses</w:t>
      </w:r>
      <w:bookmarkEnd w:id="70"/>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w:t>
      </w:r>
      <w:r>
        <w:rPr>
          <w:lang w:val="en-US"/>
        </w:rPr>
        <w:lastRenderedPageBreak/>
        <w:t>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6"/>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D5118D">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71" w:name="_Toc305420708"/>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71"/>
    </w:p>
    <w:p w14:paraId="1B6FF4CC" w14:textId="77777777" w:rsidR="00927DDE" w:rsidRPr="00927DDE" w:rsidRDefault="00927DDE" w:rsidP="00927DDE">
      <w:pPr>
        <w:rPr>
          <w:lang w:val="en-US"/>
        </w:rPr>
      </w:pPr>
      <w:r w:rsidRPr="00927DDE">
        <w:rPr>
          <w:lang w:val="en-US"/>
        </w:rPr>
        <w:t>[RFC2119]</w:t>
      </w:r>
    </w:p>
    <w:p w14:paraId="0D69EC1A" w14:textId="77777777" w:rsidR="005E7482" w:rsidRDefault="00D5118D" w:rsidP="004E6F02">
      <w:pPr>
        <w:ind w:left="720"/>
        <w:rPr>
          <w:rStyle w:val="Hyperlink"/>
          <w:lang w:val="en-US"/>
        </w:rPr>
      </w:pPr>
      <w:hyperlink r:id="rId45" w:history="1">
        <w:r w:rsidR="00927DDE" w:rsidRPr="00927DDE">
          <w:rPr>
            <w:rStyle w:val="Hyperlink"/>
            <w:lang w:val="en-US"/>
          </w:rPr>
          <w:t>Bradner,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D5118D" w:rsidP="007054E8">
      <w:pPr>
        <w:ind w:left="720"/>
        <w:rPr>
          <w:color w:val="000080"/>
          <w:u w:val="single"/>
          <w:lang w:val="en-US"/>
        </w:rPr>
      </w:pPr>
      <w:hyperlink r:id="rId46" w:history="1">
        <w:r w:rsidR="00874302" w:rsidRPr="00874302">
          <w:rPr>
            <w:rStyle w:val="Hyperlink"/>
            <w:lang w:val="en-US"/>
          </w:rPr>
          <w:t>SAML2int profile v0.21 – SAML 2.0 Interoperability Profile</w:t>
        </w:r>
      </w:hyperlink>
      <w:r w:rsidR="00874302">
        <w:rPr>
          <w:lang w:val="en-US"/>
        </w:rPr>
        <w:t>.</w:t>
      </w:r>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D5118D" w:rsidP="0089786B">
      <w:pPr>
        <w:ind w:left="720"/>
        <w:rPr>
          <w:rStyle w:val="Hyperlink"/>
          <w:lang w:val="en-US"/>
        </w:rPr>
      </w:pPr>
      <w:hyperlink r:id="rId47"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8"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D5118D" w:rsidP="005E7482">
      <w:pPr>
        <w:ind w:left="720"/>
        <w:rPr>
          <w:lang w:val="en-US"/>
        </w:rPr>
      </w:pPr>
      <w:hyperlink r:id="rId49"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D5118D" w:rsidP="005E7482">
      <w:pPr>
        <w:ind w:left="720"/>
        <w:rPr>
          <w:lang w:val="en-US"/>
        </w:rPr>
      </w:pPr>
      <w:hyperlink r:id="rId50"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D5118D" w:rsidP="005E7482">
      <w:pPr>
        <w:ind w:left="720"/>
        <w:rPr>
          <w:rStyle w:val="Hyperlink"/>
          <w:lang w:val="en-US"/>
        </w:rPr>
      </w:pPr>
      <w:hyperlink r:id="rId51"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D5118D" w:rsidP="002E42F2">
      <w:pPr>
        <w:ind w:left="720"/>
        <w:rPr>
          <w:rStyle w:val="Hyperlink"/>
          <w:lang w:val="en-US"/>
        </w:rPr>
      </w:pPr>
      <w:hyperlink r:id="rId52"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3"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D5118D" w:rsidP="008D7BB1">
      <w:pPr>
        <w:ind w:left="720"/>
        <w:rPr>
          <w:lang w:val="en-US"/>
        </w:rPr>
      </w:pPr>
      <w:hyperlink r:id="rId54"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D5118D" w:rsidP="008D7BB1">
      <w:pPr>
        <w:ind w:left="720"/>
        <w:rPr>
          <w:lang w:val="en-US"/>
        </w:rPr>
      </w:pPr>
      <w:hyperlink r:id="rId55"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D5118D" w:rsidP="001E2405">
      <w:pPr>
        <w:ind w:left="720"/>
        <w:rPr>
          <w:bCs/>
          <w:lang w:val="en-US"/>
        </w:rPr>
      </w:pPr>
      <w:hyperlink r:id="rId56"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D5118D" w:rsidP="008B4498">
      <w:pPr>
        <w:ind w:left="720"/>
        <w:rPr>
          <w:rStyle w:val="Hyperlink"/>
          <w:lang w:val="en-US"/>
        </w:rPr>
      </w:pPr>
      <w:hyperlink r:id="rId57"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507BC538" w14:textId="44DB0AB4" w:rsidR="004E6F02" w:rsidRDefault="004E6F02" w:rsidP="004E6F02">
      <w:pPr>
        <w:rPr>
          <w:lang w:val="en-US"/>
        </w:rPr>
      </w:pPr>
      <w:r>
        <w:rPr>
          <w:lang w:val="en-US"/>
        </w:rPr>
        <w:lastRenderedPageBreak/>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r w:rsidRPr="00A75D24">
        <w:rPr>
          <w:lang w:val="en-US"/>
        </w:rPr>
        <w:t>Entity Categories for the Swedish eID Framework.</w:t>
      </w:r>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r w:rsidR="00673592">
        <w:rPr>
          <w:lang w:val="en-US"/>
        </w:rPr>
        <w:t>Eid</w:t>
      </w:r>
      <w:r w:rsidRPr="007429F5">
        <w:rPr>
          <w:lang w:val="en-US"/>
        </w:rPr>
        <w:t>Disc</w:t>
      </w:r>
      <w:r w:rsidR="004D19A5">
        <w:rPr>
          <w:lang w:val="en-US"/>
        </w:rPr>
        <w:t>o</w:t>
      </w:r>
      <w:r w:rsidRPr="007429F5">
        <w:rPr>
          <w:lang w:val="en-US"/>
        </w:rPr>
        <w:t>]</w:t>
      </w:r>
    </w:p>
    <w:p w14:paraId="6020E4F6" w14:textId="7CF30357" w:rsidR="004C6B4E" w:rsidRDefault="00DA12F9" w:rsidP="004E6F02">
      <w:pPr>
        <w:ind w:firstLine="720"/>
        <w:rPr>
          <w:rStyle w:val="Hyperlink"/>
          <w:lang w:val="en-US"/>
        </w:rPr>
      </w:pPr>
      <w:r w:rsidRPr="004A41B5">
        <w:rPr>
          <w:lang w:val="en-US"/>
        </w:rPr>
        <w:t>Discovery within the Swedish eID Framework</w:t>
      </w:r>
      <w:r w:rsidR="004D19A5" w:rsidRPr="004A41B5">
        <w:rPr>
          <w:lang w:val="en-US"/>
        </w:rPr>
        <w:t>.</w:t>
      </w:r>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72" w:name="_Toc305420709"/>
      <w:r>
        <w:rPr>
          <w:lang w:val="en-US"/>
        </w:rPr>
        <w:lastRenderedPageBreak/>
        <w:t>Changes between versions</w:t>
      </w:r>
      <w:bookmarkEnd w:id="72"/>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8"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w:t>
      </w:r>
      <w:r w:rsidR="00F45C8C">
        <w:rPr>
          <w:lang w:val="en-US"/>
        </w:rPr>
        <w:t>a</w:t>
      </w:r>
      <w:r w:rsidR="00F45C8C">
        <w:rPr>
          <w:lang w:val="en-US"/>
        </w:rPr>
        <w:t xml:space="preserve">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w:t>
      </w:r>
      <w:r w:rsidR="00046A23" w:rsidRPr="00046A23">
        <w:rPr>
          <w:lang w:val="en-US"/>
        </w:rPr>
        <w:t>e</w:t>
      </w:r>
      <w:r w:rsidR="00046A23" w:rsidRPr="00046A23">
        <w:rPr>
          <w:lang w:val="en-US"/>
        </w:rPr>
        <w:t>work</w:t>
      </w:r>
      <w:r>
        <w:rPr>
          <w:lang w:val="en-US"/>
        </w:rPr>
        <w:t>” has been removed from the Swedish eID Framework</w:t>
      </w:r>
      <w:r w:rsidR="00C624C0">
        <w:rPr>
          <w:lang w:val="en-US"/>
        </w:rPr>
        <w:t>. The reason for this is that it was proven di</w:t>
      </w:r>
      <w:r w:rsidR="00C624C0">
        <w:rPr>
          <w:lang w:val="en-US"/>
        </w:rPr>
        <w:t>f</w:t>
      </w:r>
      <w:r w:rsidR="00C624C0">
        <w:rPr>
          <w:lang w:val="en-US"/>
        </w:rPr>
        <w:t xml:space="preserve">ficult to make use of the </w:t>
      </w:r>
      <w:r w:rsidR="00C624C0" w:rsidRPr="002E1DA6">
        <w:rPr>
          <w:rStyle w:val="Code"/>
        </w:rPr>
        <w:t>&lt;saml2:AuthnContextDecl&gt;</w:t>
      </w:r>
      <w:r w:rsidR="00C624C0">
        <w:rPr>
          <w:lang w:val="en-US"/>
        </w:rPr>
        <w:t xml:space="preserve"> element to store authentication context p</w:t>
      </w:r>
      <w:r w:rsidR="00C624C0">
        <w:rPr>
          <w:lang w:val="en-US"/>
        </w:rPr>
        <w:t>a</w:t>
      </w:r>
      <w:r w:rsidR="00C624C0">
        <w:rPr>
          <w:lang w:val="en-US"/>
        </w:rPr>
        <w:t>rameters, and that no commercial, or open source, Identity Provider software had support for this fe</w:t>
      </w:r>
      <w:r w:rsidR="00C624C0">
        <w:rPr>
          <w:lang w:val="en-US"/>
        </w:rPr>
        <w:t>a</w:t>
      </w:r>
      <w:r w:rsidR="00C624C0">
        <w:rPr>
          <w:lang w:val="en-US"/>
        </w:rPr>
        <w:t>ture. [</w:t>
      </w:r>
      <w:r w:rsidR="00673592">
        <w:rPr>
          <w:lang w:val="en-US"/>
        </w:rPr>
        <w:t>Eid</w:t>
      </w:r>
      <w:r w:rsidR="00C624C0">
        <w:rPr>
          <w:lang w:val="en-US"/>
        </w:rPr>
        <w:t>Attributes]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examples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t>This profile now allows the HTTP-POST binding to be used for sending authentication request messa</w:t>
      </w:r>
      <w:r>
        <w:rPr>
          <w:lang w:val="en-US"/>
        </w:rPr>
        <w:t>g</w:t>
      </w:r>
      <w:r>
        <w:rPr>
          <w:lang w:val="en-US"/>
        </w:rPr>
        <w:t>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w:t>
      </w:r>
      <w:r>
        <w:rPr>
          <w:lang w:val="en-US"/>
        </w:rPr>
        <w:t>e</w:t>
      </w:r>
      <w:r>
        <w:rPr>
          <w:lang w:val="en-US"/>
        </w:rPr>
        <w:t>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w:t>
      </w:r>
      <w:r>
        <w:rPr>
          <w:lang w:val="en-US"/>
        </w:rPr>
        <w:t>v</w:t>
      </w:r>
      <w:r>
        <w:rPr>
          <w:lang w:val="en-US"/>
        </w:rPr>
        <w:t>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59"/>
      <w:headerReference w:type="default" r:id="rId60"/>
      <w:footerReference w:type="even" r:id="rId61"/>
      <w:footerReference w:type="default" r:id="rId62"/>
      <w:headerReference w:type="first" r:id="rId63"/>
      <w:footerReference w:type="first" r:id="rId64"/>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062FA" w14:textId="77777777" w:rsidR="00EA1469" w:rsidRDefault="00EA1469">
      <w:pPr>
        <w:spacing w:line="240" w:lineRule="auto"/>
      </w:pPr>
      <w:r>
        <w:separator/>
      </w:r>
    </w:p>
  </w:endnote>
  <w:endnote w:type="continuationSeparator" w:id="0">
    <w:p w14:paraId="4ADCE7C9" w14:textId="77777777" w:rsidR="00EA1469" w:rsidRDefault="00EA1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A4ED3" w14:textId="77777777" w:rsidR="00EA1469" w:rsidRDefault="00EA14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EA1469" w:rsidRPr="00C912BA" w14:paraId="3F26EF42" w14:textId="77777777" w:rsidTr="00D74D00">
      <w:tc>
        <w:tcPr>
          <w:tcW w:w="7208" w:type="dxa"/>
          <w:gridSpan w:val="4"/>
          <w:tcBorders>
            <w:bottom w:val="single" w:sz="4" w:space="0" w:color="auto"/>
          </w:tcBorders>
        </w:tcPr>
        <w:p w14:paraId="3B08F497" w14:textId="77777777" w:rsidR="00EA1469" w:rsidRPr="00C912BA" w:rsidRDefault="00EA1469" w:rsidP="00F27527">
          <w:pPr>
            <w:pStyle w:val="Ledtext"/>
            <w:rPr>
              <w:spacing w:val="20"/>
              <w:sz w:val="16"/>
              <w:szCs w:val="16"/>
              <w:lang w:val="sv-SE"/>
            </w:rPr>
          </w:pPr>
          <w:bookmarkStart w:id="73" w:name="www"/>
          <w:r w:rsidRPr="00C912BA">
            <w:rPr>
              <w:b/>
              <w:bCs/>
              <w:sz w:val="16"/>
              <w:lang w:val="sv-SE"/>
            </w:rPr>
            <w:t>www.</w:t>
          </w:r>
          <w:r>
            <w:rPr>
              <w:b/>
              <w:bCs/>
              <w:sz w:val="16"/>
              <w:lang w:val="sv-SE"/>
            </w:rPr>
            <w:t>elegnamnden</w:t>
          </w:r>
          <w:r w:rsidRPr="00C912BA">
            <w:rPr>
              <w:b/>
              <w:bCs/>
              <w:sz w:val="16"/>
              <w:lang w:val="sv-SE"/>
            </w:rPr>
            <w:t>.se</w:t>
          </w:r>
          <w:bookmarkEnd w:id="73"/>
        </w:p>
      </w:tc>
      <w:tc>
        <w:tcPr>
          <w:tcW w:w="2347" w:type="dxa"/>
          <w:tcBorders>
            <w:bottom w:val="single" w:sz="4" w:space="0" w:color="auto"/>
          </w:tcBorders>
        </w:tcPr>
        <w:p w14:paraId="619C2AE8" w14:textId="77777777" w:rsidR="00EA1469" w:rsidRPr="00C912BA" w:rsidRDefault="00EA1469" w:rsidP="00F27527">
          <w:pPr>
            <w:pStyle w:val="Ledtext"/>
            <w:rPr>
              <w:sz w:val="16"/>
              <w:lang w:val="sv-SE"/>
            </w:rPr>
          </w:pPr>
        </w:p>
      </w:tc>
    </w:tr>
    <w:tr w:rsidR="00EA1469" w:rsidRPr="00C912BA" w14:paraId="0BBF8E42" w14:textId="77777777" w:rsidTr="00D74D00">
      <w:tc>
        <w:tcPr>
          <w:tcW w:w="1988" w:type="dxa"/>
          <w:tcBorders>
            <w:top w:val="single" w:sz="4" w:space="0" w:color="auto"/>
          </w:tcBorders>
        </w:tcPr>
        <w:p w14:paraId="53B57CCF" w14:textId="77777777" w:rsidR="00EA1469" w:rsidRPr="00C912BA" w:rsidRDefault="00EA1469" w:rsidP="00F27527">
          <w:pPr>
            <w:pStyle w:val="Ledtext"/>
            <w:rPr>
              <w:lang w:val="sv-SE"/>
            </w:rPr>
          </w:pPr>
          <w:bookmarkStart w:id="74" w:name="PostadressLed"/>
          <w:r>
            <w:rPr>
              <w:lang w:val="sv-SE"/>
            </w:rPr>
            <w:t>Postadress</w:t>
          </w:r>
          <w:bookmarkEnd w:id="74"/>
        </w:p>
      </w:tc>
      <w:tc>
        <w:tcPr>
          <w:tcW w:w="1620" w:type="dxa"/>
          <w:tcBorders>
            <w:top w:val="single" w:sz="4" w:space="0" w:color="auto"/>
          </w:tcBorders>
        </w:tcPr>
        <w:p w14:paraId="7481F620" w14:textId="77777777" w:rsidR="00EA1469" w:rsidRPr="00C912BA" w:rsidRDefault="00EA1469"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EA1469" w:rsidRPr="00C912BA" w:rsidRDefault="00EA1469" w:rsidP="00F27527">
          <w:pPr>
            <w:pStyle w:val="Ledtext"/>
            <w:rPr>
              <w:lang w:val="sv-SE"/>
            </w:rPr>
          </w:pPr>
          <w:bookmarkStart w:id="75" w:name="TelefonVaxelLed"/>
          <w:r>
            <w:rPr>
              <w:lang w:val="sv-SE"/>
            </w:rPr>
            <w:t>Telefon växel</w:t>
          </w:r>
          <w:bookmarkEnd w:id="75"/>
        </w:p>
      </w:tc>
      <w:tc>
        <w:tcPr>
          <w:tcW w:w="1800" w:type="dxa"/>
          <w:tcBorders>
            <w:top w:val="single" w:sz="4" w:space="0" w:color="auto"/>
          </w:tcBorders>
        </w:tcPr>
        <w:p w14:paraId="0987B1B2" w14:textId="77777777" w:rsidR="00EA1469" w:rsidRPr="00C912BA" w:rsidRDefault="00EA1469" w:rsidP="00F27527">
          <w:pPr>
            <w:pStyle w:val="Ledtext"/>
            <w:rPr>
              <w:lang w:val="sv-SE"/>
            </w:rPr>
          </w:pPr>
          <w:bookmarkStart w:id="76" w:name="TelefonVaxelUtlLedtext"/>
          <w:bookmarkEnd w:id="76"/>
        </w:p>
      </w:tc>
      <w:tc>
        <w:tcPr>
          <w:tcW w:w="2347" w:type="dxa"/>
          <w:tcBorders>
            <w:top w:val="single" w:sz="4" w:space="0" w:color="auto"/>
          </w:tcBorders>
        </w:tcPr>
        <w:p w14:paraId="35B8C08C" w14:textId="77777777" w:rsidR="00EA1469" w:rsidRPr="00C912BA" w:rsidRDefault="00EA1469" w:rsidP="00F27527">
          <w:pPr>
            <w:pStyle w:val="Ledtext"/>
            <w:rPr>
              <w:lang w:val="sv-SE"/>
            </w:rPr>
          </w:pPr>
          <w:bookmarkStart w:id="77" w:name="EpostLed"/>
          <w:r>
            <w:rPr>
              <w:lang w:val="sv-SE"/>
            </w:rPr>
            <w:t>E-postadress</w:t>
          </w:r>
          <w:bookmarkEnd w:id="77"/>
        </w:p>
      </w:tc>
    </w:tr>
    <w:tr w:rsidR="00EA1469" w:rsidRPr="00C912BA" w14:paraId="06607072" w14:textId="77777777" w:rsidTr="00D74D00">
      <w:tc>
        <w:tcPr>
          <w:tcW w:w="1988" w:type="dxa"/>
        </w:tcPr>
        <w:p w14:paraId="4EC133D2" w14:textId="77777777" w:rsidR="00EA1469" w:rsidRPr="00C912BA" w:rsidRDefault="00EA1469" w:rsidP="00F27527">
          <w:pPr>
            <w:pStyle w:val="Ledtext"/>
            <w:rPr>
              <w:b/>
              <w:bCs/>
              <w:lang w:val="sv-SE"/>
            </w:rPr>
          </w:pPr>
          <w:bookmarkStart w:id="78" w:name="Postadress"/>
          <w:r>
            <w:rPr>
              <w:b/>
              <w:bCs/>
              <w:lang w:val="sv-SE"/>
            </w:rPr>
            <w:t xml:space="preserve">171 94  SOLNA </w:t>
          </w:r>
          <w:bookmarkEnd w:id="78"/>
        </w:p>
      </w:tc>
      <w:tc>
        <w:tcPr>
          <w:tcW w:w="1620" w:type="dxa"/>
        </w:tcPr>
        <w:p w14:paraId="64EDE1D1" w14:textId="77777777" w:rsidR="00EA1469" w:rsidRPr="00C912BA" w:rsidRDefault="00EA1469" w:rsidP="00F27527">
          <w:pPr>
            <w:pStyle w:val="Ledtext"/>
            <w:ind w:left="-57"/>
            <w:rPr>
              <w:b/>
              <w:bCs/>
              <w:lang w:val="sv-SE"/>
            </w:rPr>
          </w:pPr>
          <w:r>
            <w:rPr>
              <w:b/>
              <w:bCs/>
              <w:lang w:val="sv-SE"/>
            </w:rPr>
            <w:t>Korta gatan 10</w:t>
          </w:r>
        </w:p>
      </w:tc>
      <w:tc>
        <w:tcPr>
          <w:tcW w:w="1800" w:type="dxa"/>
        </w:tcPr>
        <w:p w14:paraId="14FD09A9" w14:textId="77777777" w:rsidR="00EA1469" w:rsidRPr="00C912BA" w:rsidRDefault="00EA1469" w:rsidP="00F27527">
          <w:pPr>
            <w:pStyle w:val="Ledtext"/>
            <w:rPr>
              <w:b/>
              <w:bCs/>
              <w:lang w:val="sv-SE"/>
            </w:rPr>
          </w:pPr>
          <w:bookmarkStart w:id="79" w:name="TelefonVaxel"/>
          <w:r>
            <w:rPr>
              <w:b/>
              <w:bCs/>
              <w:lang w:val="sv-SE"/>
            </w:rPr>
            <w:t xml:space="preserve">010-574 21 00 </w:t>
          </w:r>
          <w:bookmarkEnd w:id="79"/>
          <w:r>
            <w:rPr>
              <w:b/>
              <w:bCs/>
              <w:lang w:val="sv-SE"/>
            </w:rPr>
            <w:t xml:space="preserve"> </w:t>
          </w:r>
        </w:p>
      </w:tc>
      <w:tc>
        <w:tcPr>
          <w:tcW w:w="1800" w:type="dxa"/>
        </w:tcPr>
        <w:p w14:paraId="4A68601A" w14:textId="77777777" w:rsidR="00EA1469" w:rsidRPr="00C912BA" w:rsidRDefault="00EA1469" w:rsidP="00F27527">
          <w:pPr>
            <w:pStyle w:val="Ledtext"/>
            <w:rPr>
              <w:b/>
              <w:bCs/>
              <w:lang w:val="sv-SE"/>
            </w:rPr>
          </w:pPr>
          <w:bookmarkStart w:id="80" w:name="TelefonVaxelUtl"/>
          <w:bookmarkEnd w:id="80"/>
        </w:p>
      </w:tc>
      <w:tc>
        <w:tcPr>
          <w:tcW w:w="2347" w:type="dxa"/>
        </w:tcPr>
        <w:p w14:paraId="213B98C5" w14:textId="77777777" w:rsidR="00EA1469" w:rsidRPr="00C912BA" w:rsidRDefault="00EA1469" w:rsidP="00F27527">
          <w:pPr>
            <w:pStyle w:val="Ledtext"/>
            <w:rPr>
              <w:b/>
              <w:bCs/>
              <w:lang w:val="sv-SE"/>
            </w:rPr>
          </w:pPr>
          <w:bookmarkStart w:id="81" w:name="EmailFot"/>
          <w:r>
            <w:rPr>
              <w:b/>
              <w:bCs/>
              <w:lang w:val="sv-SE"/>
            </w:rPr>
            <w:t>kansliet@elegnamnden.se</w:t>
          </w:r>
          <w:bookmarkEnd w:id="81"/>
        </w:p>
      </w:tc>
    </w:tr>
  </w:tbl>
  <w:p w14:paraId="07C1B5E6" w14:textId="4AB8A180" w:rsidR="00EA1469" w:rsidRDefault="00EA1469"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D5118D">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D5118D">
      <w:rPr>
        <w:noProof/>
        <w:color w:val="808080"/>
        <w:sz w:val="16"/>
      </w:rPr>
      <w:t>22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EAEBF" w14:textId="77777777" w:rsidR="00EA1469" w:rsidRDefault="00EA14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CE7CE" w14:textId="77777777" w:rsidR="00EA1469" w:rsidRDefault="00EA1469">
      <w:pPr>
        <w:spacing w:line="240" w:lineRule="auto"/>
      </w:pPr>
      <w:r>
        <w:separator/>
      </w:r>
    </w:p>
  </w:footnote>
  <w:footnote w:type="continuationSeparator" w:id="0">
    <w:p w14:paraId="2D600307" w14:textId="77777777" w:rsidR="00EA1469" w:rsidRDefault="00EA1469">
      <w:pPr>
        <w:spacing w:line="240" w:lineRule="auto"/>
      </w:pPr>
      <w:r>
        <w:continuationSeparator/>
      </w:r>
    </w:p>
  </w:footnote>
  <w:footnote w:id="1">
    <w:p w14:paraId="37EFBD45" w14:textId="2EC28B5A" w:rsidR="00EA1469" w:rsidRDefault="00EA1469">
      <w:pPr>
        <w:pStyle w:val="FootnoteText"/>
      </w:pPr>
      <w:r>
        <w:rPr>
          <w:rStyle w:val="FootnoteReference"/>
        </w:rPr>
        <w:footnoteRef/>
      </w:r>
      <w:r>
        <w:t xml:space="preserve"> </w:t>
      </w:r>
      <w:r>
        <w:rPr>
          <w:lang w:val="en-US"/>
        </w:rPr>
        <w:t>See section 3.1.1 of [EidRegistry].</w:t>
      </w:r>
    </w:p>
  </w:footnote>
  <w:footnote w:id="2">
    <w:p w14:paraId="64CD3FC0" w14:textId="094B4169" w:rsidR="00EA1469" w:rsidRPr="00434B23" w:rsidRDefault="00EA1469">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3">
    <w:p w14:paraId="0656C9B1" w14:textId="68355A3F" w:rsidR="00EA1469" w:rsidRPr="00434B23" w:rsidRDefault="00EA1469">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4">
    <w:p w14:paraId="07075895" w14:textId="4AA93180" w:rsidR="00EA1469" w:rsidRDefault="00EA1469">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5">
    <w:p w14:paraId="0B3FFE12" w14:textId="5F73BB24" w:rsidR="00EA1469" w:rsidRDefault="00EA1469">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sidR="00D5118D">
        <w:rPr>
          <w:lang w:val="en-US"/>
        </w:rPr>
        <w:t>2.1.4</w:t>
      </w:r>
      <w:r>
        <w:rPr>
          <w:lang w:val="en-US"/>
        </w:rPr>
        <w:fldChar w:fldCharType="end"/>
      </w:r>
      <w:r>
        <w:rPr>
          <w:lang w:val="en-US"/>
        </w:rPr>
        <w:t>).</w:t>
      </w:r>
    </w:p>
  </w:footnote>
  <w:footnote w:id="6">
    <w:p w14:paraId="256FB513" w14:textId="69B77AF5" w:rsidR="00EA1469" w:rsidRPr="00D25B2C" w:rsidRDefault="00EA1469">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sidR="00D5118D">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w:t>
      </w:r>
      <w:r>
        <w:rPr>
          <w:lang w:val="en-US"/>
        </w:rPr>
        <w:t>e</w:t>
      </w:r>
      <w:r>
        <w:rPr>
          <w:lang w:val="en-US"/>
        </w:rPr>
        <w:t>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AE874" w14:textId="0905EAA7" w:rsidR="00EA1469" w:rsidRDefault="00EA14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771AB" w14:textId="1ED914F6" w:rsidR="00EA1469" w:rsidRDefault="00EA1469" w:rsidP="00BB4873">
    <w:pPr>
      <w:spacing w:line="240" w:lineRule="auto"/>
      <w:jc w:val="center"/>
      <w:rPr>
        <w:lang w:val="en-US"/>
      </w:rPr>
    </w:pPr>
    <w:r>
      <w:rPr>
        <w:rFonts w:ascii="SKVKFMSYMB" w:hAnsi="SKVKFMSYMB"/>
        <w:noProof/>
        <w:sz w:val="64"/>
        <w:szCs w:val="64"/>
        <w:lang w:val="en-US" w:eastAsia="en-US"/>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BB4873">
      <w:rPr>
        <w:sz w:val="16"/>
        <w:szCs w:val="16"/>
        <w:lang w:val="en-US"/>
      </w:rPr>
      <w:t>ELN-0602-v1.</w:t>
    </w:r>
    <w:r>
      <w:rPr>
        <w:sz w:val="16"/>
        <w:szCs w:val="16"/>
        <w:lang w:val="en-US"/>
      </w:rPr>
      <w:t>3</w:t>
    </w:r>
  </w:p>
  <w:p w14:paraId="04CEC393" w14:textId="3BB3C709" w:rsidR="00EA1469" w:rsidRDefault="00EA1469">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5A945" w14:textId="4307AE82" w:rsidR="00EA1469" w:rsidRDefault="00EA14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6"/>
  </w:num>
  <w:num w:numId="2">
    <w:abstractNumId w:val="41"/>
  </w:num>
  <w:num w:numId="3">
    <w:abstractNumId w:val="4"/>
  </w:num>
  <w:num w:numId="4">
    <w:abstractNumId w:val="7"/>
  </w:num>
  <w:num w:numId="5">
    <w:abstractNumId w:val="10"/>
  </w:num>
  <w:num w:numId="6">
    <w:abstractNumId w:val="16"/>
  </w:num>
  <w:num w:numId="7">
    <w:abstractNumId w:val="39"/>
  </w:num>
  <w:num w:numId="8">
    <w:abstractNumId w:val="40"/>
  </w:num>
  <w:num w:numId="9">
    <w:abstractNumId w:val="8"/>
  </w:num>
  <w:num w:numId="10">
    <w:abstractNumId w:val="42"/>
  </w:num>
  <w:num w:numId="11">
    <w:abstractNumId w:val="17"/>
  </w:num>
  <w:num w:numId="12">
    <w:abstractNumId w:val="38"/>
  </w:num>
  <w:num w:numId="13">
    <w:abstractNumId w:val="35"/>
  </w:num>
  <w:num w:numId="14">
    <w:abstractNumId w:val="11"/>
  </w:num>
  <w:num w:numId="15">
    <w:abstractNumId w:val="9"/>
  </w:num>
  <w:num w:numId="16">
    <w:abstractNumId w:val="25"/>
  </w:num>
  <w:num w:numId="17">
    <w:abstractNumId w:val="37"/>
  </w:num>
  <w:num w:numId="18">
    <w:abstractNumId w:val="28"/>
  </w:num>
  <w:num w:numId="19">
    <w:abstractNumId w:val="15"/>
  </w:num>
  <w:num w:numId="20">
    <w:abstractNumId w:val="27"/>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29"/>
  </w:num>
  <w:num w:numId="30">
    <w:abstractNumId w:val="33"/>
  </w:num>
  <w:num w:numId="31">
    <w:abstractNumId w:val="14"/>
  </w:num>
  <w:num w:numId="32">
    <w:abstractNumId w:val="32"/>
  </w:num>
  <w:num w:numId="33">
    <w:abstractNumId w:val="5"/>
  </w:num>
  <w:num w:numId="34">
    <w:abstractNumId w:val="20"/>
  </w:num>
  <w:num w:numId="35">
    <w:abstractNumId w:val="1"/>
  </w:num>
  <w:num w:numId="36">
    <w:abstractNumId w:val="22"/>
  </w:num>
  <w:num w:numId="37">
    <w:abstractNumId w:val="24"/>
  </w:num>
  <w:num w:numId="38">
    <w:abstractNumId w:val="36"/>
  </w:num>
  <w:num w:numId="39">
    <w:abstractNumId w:val="30"/>
  </w:num>
  <w:num w:numId="40">
    <w:abstractNumId w:val="31"/>
  </w:num>
  <w:num w:numId="41">
    <w:abstractNumId w:val="6"/>
  </w:num>
  <w:num w:numId="42">
    <w:abstractNumId w:val="12"/>
  </w:num>
  <w:num w:numId="43">
    <w:abstractNumId w:val="3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3837"/>
    <w:rsid w:val="000E51AE"/>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C88"/>
    <w:rsid w:val="00221003"/>
    <w:rsid w:val="00221687"/>
    <w:rsid w:val="00221B48"/>
    <w:rsid w:val="002222D3"/>
    <w:rsid w:val="00222764"/>
    <w:rsid w:val="0022307C"/>
    <w:rsid w:val="00223F92"/>
    <w:rsid w:val="00224E69"/>
    <w:rsid w:val="0022514F"/>
    <w:rsid w:val="002252BA"/>
    <w:rsid w:val="00225339"/>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30C0"/>
    <w:rsid w:val="0025369F"/>
    <w:rsid w:val="00254683"/>
    <w:rsid w:val="0025486D"/>
    <w:rsid w:val="002560D7"/>
    <w:rsid w:val="00256552"/>
    <w:rsid w:val="0025672E"/>
    <w:rsid w:val="0025685D"/>
    <w:rsid w:val="00256C4D"/>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532F"/>
    <w:rsid w:val="002853E2"/>
    <w:rsid w:val="00285834"/>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D66"/>
    <w:rsid w:val="003F6DD9"/>
    <w:rsid w:val="003F6F5C"/>
    <w:rsid w:val="003F7128"/>
    <w:rsid w:val="003F76F7"/>
    <w:rsid w:val="00401ABF"/>
    <w:rsid w:val="00404824"/>
    <w:rsid w:val="00404B3F"/>
    <w:rsid w:val="00405CB9"/>
    <w:rsid w:val="004064B5"/>
    <w:rsid w:val="00406A83"/>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093B"/>
    <w:rsid w:val="00441763"/>
    <w:rsid w:val="004433A8"/>
    <w:rsid w:val="004439F2"/>
    <w:rsid w:val="00443CBA"/>
    <w:rsid w:val="0044481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9B9"/>
    <w:rsid w:val="00613FD0"/>
    <w:rsid w:val="006155BF"/>
    <w:rsid w:val="00616976"/>
    <w:rsid w:val="00616AD5"/>
    <w:rsid w:val="00616B9C"/>
    <w:rsid w:val="006175A2"/>
    <w:rsid w:val="00617629"/>
    <w:rsid w:val="00620011"/>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2A60"/>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1395"/>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61FB"/>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7FE8"/>
    <w:rsid w:val="00781146"/>
    <w:rsid w:val="00782707"/>
    <w:rsid w:val="00782D7E"/>
    <w:rsid w:val="00783EE3"/>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EB"/>
    <w:rsid w:val="00932264"/>
    <w:rsid w:val="009340FD"/>
    <w:rsid w:val="009341A9"/>
    <w:rsid w:val="009341F3"/>
    <w:rsid w:val="009367DA"/>
    <w:rsid w:val="009370A2"/>
    <w:rsid w:val="00937273"/>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E7B"/>
    <w:rsid w:val="009D4F45"/>
    <w:rsid w:val="009D60FF"/>
    <w:rsid w:val="009D7306"/>
    <w:rsid w:val="009D7C5B"/>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7E7B"/>
    <w:rsid w:val="00A51D99"/>
    <w:rsid w:val="00A55B34"/>
    <w:rsid w:val="00A57375"/>
    <w:rsid w:val="00A5744D"/>
    <w:rsid w:val="00A577C2"/>
    <w:rsid w:val="00A608DF"/>
    <w:rsid w:val="00A61F1F"/>
    <w:rsid w:val="00A621E9"/>
    <w:rsid w:val="00A625B4"/>
    <w:rsid w:val="00A63558"/>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75F"/>
    <w:rsid w:val="00B72D9A"/>
    <w:rsid w:val="00B73D8C"/>
    <w:rsid w:val="00B74433"/>
    <w:rsid w:val="00B7472E"/>
    <w:rsid w:val="00B7510D"/>
    <w:rsid w:val="00B75297"/>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69CA"/>
    <w:rsid w:val="00BE74BC"/>
    <w:rsid w:val="00BE794D"/>
    <w:rsid w:val="00BE7C97"/>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314D"/>
    <w:rsid w:val="00C13690"/>
    <w:rsid w:val="00C13726"/>
    <w:rsid w:val="00C148F1"/>
    <w:rsid w:val="00C14ABE"/>
    <w:rsid w:val="00C1517E"/>
    <w:rsid w:val="00C15EA9"/>
    <w:rsid w:val="00C161A8"/>
    <w:rsid w:val="00C17533"/>
    <w:rsid w:val="00C2163C"/>
    <w:rsid w:val="00C21F89"/>
    <w:rsid w:val="00C224EB"/>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FF"/>
    <w:rsid w:val="00E51EE0"/>
    <w:rsid w:val="00E52D20"/>
    <w:rsid w:val="00E54A93"/>
    <w:rsid w:val="00E55ABB"/>
    <w:rsid w:val="00E605A2"/>
    <w:rsid w:val="00E60EA2"/>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saml2int.org/profile/current/" TargetMode="External"/><Relationship Id="rId63" Type="http://schemas.openxmlformats.org/officeDocument/2006/relationships/header" Target="header3.xml"/><Relationship Id="rId64" Type="http://schemas.openxmlformats.org/officeDocument/2006/relationships/footer" Target="footer3.xml"/><Relationship Id="rId65" Type="http://schemas.openxmlformats.org/officeDocument/2006/relationships/fontTable" Target="fontTable.xml"/><Relationship Id="rId66" Type="http://schemas.openxmlformats.org/officeDocument/2006/relationships/theme" Target="theme/theme1.xml"/><Relationship Id="rId67" Type="http://schemas.microsoft.com/office/2011/relationships/people" Target="people.xml"/><Relationship Id="rId50" Type="http://schemas.openxmlformats.org/officeDocument/2006/relationships/hyperlink" Target="http://docs.oasis-open.org/security/saml/v2.0/saml-profiles-2.0-os.pdf" TargetMode="External"/><Relationship Id="rId51" Type="http://schemas.openxmlformats.org/officeDocument/2006/relationships/hyperlink" Target="http://docs.oasis-open.org/security/saml/v2.0/saml-metadata-2.0-os.pdf" TargetMode="External"/><Relationship Id="rId52" Type="http://schemas.openxmlformats.org/officeDocument/2006/relationships/hyperlink" Target="http://docs.oasis-open.org/security/saml/v2.0/saml-sec-consider-2.0-os.pdf" TargetMode="External"/><Relationship Id="rId53" Type="http://schemas.openxmlformats.org/officeDocument/2006/relationships/hyperlink" Target="http://docs.oasis-open.org/security/saml/Post2.0/sstc-saml-assurance-profile.html" TargetMode="External"/><Relationship Id="rId54" Type="http://schemas.openxmlformats.org/officeDocument/2006/relationships/hyperlink" Target="https://www.oasis-open.org/committees/download.php/39441/draft-sstc-saml-metadata-ui-03.pdf" TargetMode="External"/><Relationship Id="rId55" Type="http://schemas.openxmlformats.org/officeDocument/2006/relationships/hyperlink" Target="http://docs.oasis-open.org/security/saml/Post2.0/sstc-metadata-attr.html" TargetMode="External"/><Relationship Id="rId56" Type="http://schemas.openxmlformats.org/officeDocument/2006/relationships/hyperlink" Target="http://macedir.org/entity-category/" TargetMode="External"/><Relationship Id="rId57" Type="http://schemas.openxmlformats.org/officeDocument/2006/relationships/hyperlink" Target="http://docs.oasis-open.org/security/saml/Post2.0/sstc-saml-idp-discovery.pdf" TargetMode="External"/><Relationship Id="rId58" Type="http://schemas.openxmlformats.org/officeDocument/2006/relationships/hyperlink" Target="http://saml2int.org/profile/current/" TargetMode="External"/><Relationship Id="rId59" Type="http://schemas.openxmlformats.org/officeDocument/2006/relationships/header" Target="header1.xml"/><Relationship Id="rId40" Type="http://schemas.openxmlformats.org/officeDocument/2006/relationships/hyperlink" Target="http://docs.oasis-open.org/security/saml/v2.0/saml-profiles-2.0-os.pdf" TargetMode="External"/><Relationship Id="rId41" Type="http://schemas.openxmlformats.org/officeDocument/2006/relationships/hyperlink" Target="http://docs.oasis-open.org/security/saml/v2.0/saml-sec-consider-2.0-os.pdf" TargetMode="External"/><Relationship Id="rId42" Type="http://schemas.openxmlformats.org/officeDocument/2006/relationships/hyperlink" Target="http://docs.oasis-open.org/security/saml/v2.0/saml-core-2.0-os.pdf" TargetMode="External"/><Relationship Id="rId43" Type="http://schemas.openxmlformats.org/officeDocument/2006/relationships/hyperlink" Target="http://docs.oasis-open.org/security/saml/v2.0/saml-bindings-2.0-os.pdf" TargetMode="External"/><Relationship Id="rId44" Type="http://schemas.openxmlformats.org/officeDocument/2006/relationships/hyperlink" Target="http://docs.oasis-open.org/security/saml/v2.0/saml-core-2.0-os.pdf" TargetMode="External"/><Relationship Id="rId45" Type="http://schemas.openxmlformats.org/officeDocument/2006/relationships/hyperlink" Target="http://www.ietf.org/rfc/rfc2119.txt" TargetMode="External"/><Relationship Id="rId46" Type="http://schemas.openxmlformats.org/officeDocument/2006/relationships/hyperlink" Target="http://saml2int.org/profile/current/" TargetMode="External"/><Relationship Id="rId47" Type="http://schemas.openxmlformats.org/officeDocument/2006/relationships/hyperlink" Target="http://docs.oasis-open.org/security/saml/v2.0/saml-core-2.0-os.pdf" TargetMode="External"/><Relationship Id="rId48" Type="http://schemas.openxmlformats.org/officeDocument/2006/relationships/hyperlink" Target="http://docs.oasis-open.org/security/saml/v2.0/errata05/os/saml-v2.0-errata05-os.html" TargetMode="External"/><Relationship Id="rId49" Type="http://schemas.openxmlformats.org/officeDocument/2006/relationships/hyperlink" Target="http://docs.oasis-open.org/security/saml/v2.0/saml-bindings-2.0-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docs.oasis-open.org/security/saml/v2.0/saml-bindings-2.0-os.pdf" TargetMode="External"/><Relationship Id="rId31" Type="http://schemas.openxmlformats.org/officeDocument/2006/relationships/hyperlink" Target="http://docs.oasis-open.org/security/saml/v2.0/saml-bindings-2.0-os.pdf" TargetMode="External"/><Relationship Id="rId32" Type="http://schemas.openxmlformats.org/officeDocument/2006/relationships/hyperlink" Target="http://saml2int.org/profile/current/" TargetMode="External"/><Relationship Id="rId33" Type="http://schemas.openxmlformats.org/officeDocument/2006/relationships/hyperlink" Target="http://docs.oasis-open.org/security/saml/v2.0/saml-profiles-2.0-os.pdf" TargetMode="External"/><Relationship Id="rId34" Type="http://schemas.openxmlformats.org/officeDocument/2006/relationships/hyperlink" Target="http://saml2int.org/profile/current/" TargetMode="External"/><Relationship Id="rId35" Type="http://schemas.openxmlformats.org/officeDocument/2006/relationships/hyperlink" Target="http://docs.oasis-open.org/security/saml/v2.0/saml-core-2.0-os.pdf" TargetMode="External"/><Relationship Id="rId36" Type="http://schemas.openxmlformats.org/officeDocument/2006/relationships/hyperlink" Target="http://saml2int.org/profile/current/" TargetMode="External"/><Relationship Id="rId37" Type="http://schemas.openxmlformats.org/officeDocument/2006/relationships/hyperlink" Target="http://saml2int.org/profile/current/" TargetMode="External"/><Relationship Id="rId38" Type="http://schemas.openxmlformats.org/officeDocument/2006/relationships/hyperlink" Target="http://docs.oasis-open.org/security/saml/v2.0/saml-sec-consider-2.0-os.pdf" TargetMode="External"/><Relationship Id="rId39" Type="http://schemas.openxmlformats.org/officeDocument/2006/relationships/hyperlink" Target="http://docs.oasis-open.org/security/saml/v2.0/saml-core-2.0-os.pdf" TargetMode="Externa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macedir.org/entity-category/" TargetMode="External"/><Relationship Id="rId22" Type="http://schemas.openxmlformats.org/officeDocument/2006/relationships/hyperlink" Target="http://macedir.org/entity-category/" TargetMode="External"/><Relationship Id="rId23" Type="http://schemas.openxmlformats.org/officeDocument/2006/relationships/hyperlink" Target="http://docs.oasis-open.org/security/saml/Post2.0/sstc-saml-assurance-profile.html" TargetMode="External"/><Relationship Id="rId24" Type="http://schemas.openxmlformats.org/officeDocument/2006/relationships/hyperlink" Target="http://docs.oasis-open.org/security/saml/v2.0/errata05/os/saml-v2.0-errata05-os.html" TargetMode="External"/><Relationship Id="rId25" Type="http://schemas.openxmlformats.org/officeDocument/2006/relationships/hyperlink" Target="http://macedir.org/entity-category/" TargetMode="External"/><Relationship Id="rId26" Type="http://schemas.openxmlformats.org/officeDocument/2006/relationships/hyperlink" Target="http://docs.oasis-open.org/security/saml/v2.0/saml-core-2.0-os.pdf" TargetMode="External"/><Relationship Id="rId27" Type="http://schemas.openxmlformats.org/officeDocument/2006/relationships/hyperlink" Target="http://docs.oasis-open.org/security/saml/Post2.0/sstc-saml-idp-discovery.pdf" TargetMode="External"/><Relationship Id="rId28" Type="http://schemas.openxmlformats.org/officeDocument/2006/relationships/hyperlink" Target="http://saml2int.org/profile/current/" TargetMode="External"/><Relationship Id="rId29" Type="http://schemas.openxmlformats.org/officeDocument/2006/relationships/hyperlink" Target="http://saml2int.org/profile/current/" TargetMode="Externa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footer" Target="footer2.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8CBBC-BF3A-E64A-9467-1D39C09E1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7951</Words>
  <Characters>45324</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53169</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20</cp:revision>
  <cp:lastPrinted>2015-10-05T20:05:00Z</cp:lastPrinted>
  <dcterms:created xsi:type="dcterms:W3CDTF">2015-09-08T13:25:00Z</dcterms:created>
  <dcterms:modified xsi:type="dcterms:W3CDTF">2015-10-05T20:05:00Z</dcterms:modified>
</cp:coreProperties>
</file>