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A8554">
      <w:pPr>
        <w:spacing w:line="360" w:lineRule="auto"/>
        <w:ind w:left="0" w:leftChars="0" w:firstLine="0" w:firstLineChars="0"/>
        <w:rPr>
          <w:rFonts w:hint="eastAsia"/>
          <w:sz w:val="24"/>
        </w:rPr>
      </w:pPr>
    </w:p>
    <w:p w14:paraId="58D3F973">
      <w:pPr>
        <w:snapToGrid w:val="0"/>
        <w:spacing w:line="360" w:lineRule="auto"/>
        <w:ind w:left="-1" w:leftChars="-1" w:hanging="1"/>
        <w:jc w:val="center"/>
        <w:rPr>
          <w:rFonts w:hint="eastAsia"/>
          <w:b/>
          <w:bCs/>
          <w:sz w:val="48"/>
          <w:szCs w:val="48"/>
        </w:rPr>
      </w:pPr>
      <w:r>
        <w:drawing>
          <wp:anchor distT="0" distB="0" distL="114300" distR="114300" simplePos="0" relativeHeight="251661312" behindDoc="0" locked="0" layoutInCell="1" allowOverlap="1">
            <wp:simplePos x="0" y="0"/>
            <wp:positionH relativeFrom="column">
              <wp:posOffset>-78105</wp:posOffset>
            </wp:positionH>
            <wp:positionV relativeFrom="paragraph">
              <wp:posOffset>287020</wp:posOffset>
            </wp:positionV>
            <wp:extent cx="1180465" cy="1223010"/>
            <wp:effectExtent l="0" t="0" r="8255" b="1143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1180465" cy="1223010"/>
                    </a:xfrm>
                    <a:prstGeom prst="rect">
                      <a:avLst/>
                    </a:prstGeom>
                    <a:noFill/>
                    <a:ln>
                      <a:noFill/>
                    </a:ln>
                  </pic:spPr>
                </pic:pic>
              </a:graphicData>
            </a:graphic>
          </wp:anchor>
        </w:drawing>
      </w:r>
      <w:r>
        <w:rPr>
          <w:rFonts w:hint="eastAsia"/>
          <w:b/>
          <w:bCs/>
          <w:sz w:val="24"/>
        </w:rPr>
        <w:drawing>
          <wp:inline distT="0" distB="0" distL="114300" distR="114300">
            <wp:extent cx="4809490" cy="1120140"/>
            <wp:effectExtent l="0" t="0" r="6350" b="7620"/>
            <wp:docPr id="5" name="图片 1" descr="JD"/>
            <wp:cNvGraphicFramePr/>
            <a:graphic xmlns:a="http://schemas.openxmlformats.org/drawingml/2006/main">
              <a:graphicData uri="http://schemas.openxmlformats.org/drawingml/2006/picture">
                <pic:pic xmlns:pic="http://schemas.openxmlformats.org/drawingml/2006/picture">
                  <pic:nvPicPr>
                    <pic:cNvPr id="5" name="图片 1" descr="JD"/>
                    <pic:cNvPicPr/>
                  </pic:nvPicPr>
                  <pic:blipFill>
                    <a:blip r:embed="rId11"/>
                    <a:stretch>
                      <a:fillRect/>
                    </a:stretch>
                  </pic:blipFill>
                  <pic:spPr>
                    <a:xfrm>
                      <a:off x="0" y="0"/>
                      <a:ext cx="4809490" cy="1120140"/>
                    </a:xfrm>
                    <a:prstGeom prst="rect">
                      <a:avLst/>
                    </a:prstGeom>
                    <a:noFill/>
                    <a:ln>
                      <a:noFill/>
                    </a:ln>
                  </pic:spPr>
                </pic:pic>
              </a:graphicData>
            </a:graphic>
          </wp:inline>
        </w:drawing>
      </w:r>
      <w:r>
        <w:rPr>
          <w:rFonts w:hint="eastAsia"/>
          <w:b/>
          <w:bCs/>
          <w:sz w:val="48"/>
          <w:szCs w:val="48"/>
          <w:u w:val="single"/>
        </w:rPr>
        <w:t>J</w:t>
      </w:r>
      <w:r>
        <w:rPr>
          <w:rFonts w:hint="eastAsia"/>
          <w:b/>
          <w:bCs/>
          <w:sz w:val="24"/>
          <w:u w:val="single"/>
        </w:rPr>
        <w:t xml:space="preserve"> </w:t>
      </w:r>
      <w:r>
        <w:rPr>
          <w:rFonts w:hint="eastAsia"/>
          <w:b/>
          <w:bCs/>
          <w:sz w:val="48"/>
          <w:szCs w:val="48"/>
          <w:u w:val="single"/>
        </w:rPr>
        <w:t>I A N G S U  U N I V E R S I T Y</w:t>
      </w:r>
    </w:p>
    <w:p w14:paraId="7A36918C">
      <w:pPr>
        <w:spacing w:line="360" w:lineRule="auto"/>
        <w:ind w:firstLine="2399" w:firstLineChars="543"/>
        <w:rPr>
          <w:rFonts w:hint="eastAsia"/>
          <w:b/>
          <w:bCs/>
          <w:sz w:val="44"/>
          <w:szCs w:val="44"/>
        </w:rPr>
      </w:pPr>
      <w:r>
        <w:rPr>
          <w:rFonts w:hint="eastAsia"/>
          <w:b/>
          <w:bCs/>
          <w:sz w:val="44"/>
          <w:szCs w:val="44"/>
        </w:rPr>
        <w:t>本   科   毕   业   论   文</w:t>
      </w:r>
    </w:p>
    <w:p w14:paraId="6671423A">
      <w:pPr>
        <w:spacing w:line="360" w:lineRule="auto"/>
        <w:ind w:firstLine="1325" w:firstLineChars="300"/>
        <w:rPr>
          <w:rFonts w:hint="eastAsia"/>
          <w:b/>
          <w:bCs/>
          <w:sz w:val="44"/>
          <w:szCs w:val="44"/>
        </w:rPr>
      </w:pPr>
      <w:r>
        <w:rPr>
          <w:rFonts w:hint="eastAsia"/>
          <w:b/>
          <w:bCs/>
          <w:sz w:val="44"/>
          <w:szCs w:val="44"/>
        </w:rPr>
        <w:t xml:space="preserve"> </w:t>
      </w:r>
    </w:p>
    <w:p w14:paraId="79EEF7F5">
      <w:pPr>
        <w:spacing w:line="360" w:lineRule="auto"/>
        <w:ind w:firstLine="1325" w:firstLineChars="300"/>
        <w:rPr>
          <w:rFonts w:hint="eastAsia"/>
          <w:b/>
          <w:bCs/>
          <w:sz w:val="44"/>
          <w:szCs w:val="44"/>
        </w:rPr>
      </w:pPr>
    </w:p>
    <w:p w14:paraId="235EAC05">
      <w:pPr>
        <w:spacing w:line="360" w:lineRule="auto"/>
        <w:rPr>
          <w:rFonts w:hint="eastAsia"/>
          <w:b/>
          <w:bCs/>
          <w:sz w:val="24"/>
        </w:rPr>
      </w:pPr>
    </w:p>
    <w:p w14:paraId="17FA77F5">
      <w:pPr>
        <w:spacing w:line="440" w:lineRule="exact"/>
        <w:jc w:val="center"/>
      </w:pPr>
      <w:r>
        <w:rPr>
          <w:rFonts w:hint="eastAsia" w:ascii="黑体" w:hAnsi="黑体" w:eastAsia="黑体" w:cs="黑体"/>
          <w:b w:val="0"/>
          <w:bCs/>
          <w:sz w:val="44"/>
        </w:rPr>
        <w:t>基于低复杂度选择映射算法的OFDM系统峰均比抑制研究与MATLAB复现</w:t>
      </w:r>
    </w:p>
    <w:p w14:paraId="36C865E9">
      <w:pPr>
        <w:jc w:val="center"/>
        <w:rPr>
          <w:b w:val="0"/>
          <w:bCs/>
        </w:rPr>
      </w:pPr>
      <w:r>
        <w:rPr>
          <w:rFonts w:eastAsia="Times New Roman"/>
          <w:b w:val="0"/>
          <w:bCs/>
          <w:sz w:val="32"/>
        </w:rPr>
        <w:t>Research and MATLAB Reproduction of OFDM PAPR Suppression Based on a Low-Complexity Selected Mapping Algorithm</w:t>
      </w:r>
    </w:p>
    <w:p w14:paraId="0DC2BB0A">
      <w:pPr>
        <w:spacing w:line="360" w:lineRule="auto"/>
        <w:jc w:val="center"/>
        <w:rPr>
          <w:rFonts w:hint="eastAsia"/>
          <w:color w:val="000000"/>
          <w:sz w:val="24"/>
        </w:rPr>
      </w:pPr>
    </w:p>
    <w:p w14:paraId="4061E064">
      <w:pPr>
        <w:spacing w:line="360" w:lineRule="auto"/>
        <w:jc w:val="center"/>
        <w:rPr>
          <w:rFonts w:hint="eastAsia"/>
          <w:color w:val="000000"/>
          <w:sz w:val="24"/>
        </w:rPr>
      </w:pPr>
    </w:p>
    <w:p w14:paraId="256114DA">
      <w:pPr>
        <w:spacing w:line="360" w:lineRule="auto"/>
        <w:ind w:firstLine="482" w:firstLineChars="200"/>
        <w:jc w:val="center"/>
        <w:rPr>
          <w:rFonts w:hint="eastAsia"/>
          <w:b/>
          <w:sz w:val="24"/>
        </w:rPr>
      </w:pPr>
    </w:p>
    <w:p w14:paraId="2B8A17CF">
      <w:pPr>
        <w:spacing w:line="360" w:lineRule="auto"/>
        <w:ind w:firstLine="482" w:firstLineChars="200"/>
        <w:jc w:val="center"/>
        <w:rPr>
          <w:rFonts w:hint="eastAsia"/>
          <w:b/>
          <w:sz w:val="24"/>
        </w:rPr>
      </w:pPr>
    </w:p>
    <w:p w14:paraId="4237DBEC">
      <w:pPr>
        <w:spacing w:line="360" w:lineRule="auto"/>
        <w:ind w:firstLine="482" w:firstLineChars="200"/>
        <w:jc w:val="center"/>
        <w:rPr>
          <w:rFonts w:hint="eastAsia"/>
          <w:b/>
          <w:sz w:val="24"/>
        </w:rPr>
      </w:pPr>
    </w:p>
    <w:p w14:paraId="0D28772C">
      <w:pPr>
        <w:spacing w:line="360" w:lineRule="auto"/>
        <w:ind w:firstLine="482" w:firstLineChars="200"/>
        <w:jc w:val="center"/>
        <w:rPr>
          <w:rFonts w:hint="eastAsia"/>
          <w:b/>
          <w:sz w:val="24"/>
        </w:rPr>
      </w:pPr>
    </w:p>
    <w:p w14:paraId="062954E2">
      <w:pPr>
        <w:spacing w:line="360" w:lineRule="auto"/>
        <w:ind w:firstLine="1820" w:firstLineChars="650"/>
        <w:rPr>
          <w:rFonts w:hint="eastAsia"/>
          <w:sz w:val="28"/>
          <w:szCs w:val="28"/>
          <w:u w:val="single"/>
        </w:rPr>
      </w:pPr>
      <w:r>
        <w:rPr>
          <w:rFonts w:hint="eastAsia"/>
          <w:sz w:val="28"/>
          <w:szCs w:val="28"/>
        </w:rPr>
        <w:t>学院名称：</w:t>
      </w:r>
      <w:r>
        <w:rPr>
          <w:rFonts w:hint="eastAsia"/>
          <w:sz w:val="28"/>
          <w:szCs w:val="28"/>
          <w:u w:val="single"/>
        </w:rPr>
        <w:t xml:space="preserve">       （四号宋体）          </w:t>
      </w:r>
    </w:p>
    <w:p w14:paraId="03653A96">
      <w:pPr>
        <w:spacing w:line="360" w:lineRule="auto"/>
        <w:ind w:firstLine="1820" w:firstLineChars="650"/>
        <w:rPr>
          <w:rFonts w:hint="eastAsia"/>
          <w:sz w:val="28"/>
          <w:szCs w:val="28"/>
          <w:u w:val="single"/>
        </w:rPr>
      </w:pPr>
      <w:r>
        <w:rPr>
          <w:rFonts w:hint="eastAsia"/>
          <w:sz w:val="28"/>
          <w:szCs w:val="28"/>
        </w:rPr>
        <w:t>专业班级：</w:t>
      </w:r>
      <w:r>
        <w:rPr>
          <w:rFonts w:hint="eastAsia"/>
          <w:sz w:val="28"/>
          <w:szCs w:val="28"/>
          <w:u w:val="single"/>
        </w:rPr>
        <w:t xml:space="preserve">       （四号宋体）          </w:t>
      </w:r>
    </w:p>
    <w:p w14:paraId="7E070A3A">
      <w:pPr>
        <w:spacing w:line="360" w:lineRule="auto"/>
        <w:ind w:firstLine="1820" w:firstLineChars="650"/>
        <w:rPr>
          <w:rFonts w:hint="eastAsia"/>
          <w:sz w:val="28"/>
          <w:szCs w:val="28"/>
          <w:u w:val="single"/>
        </w:rPr>
      </w:pPr>
      <w:r>
        <w:rPr>
          <w:rFonts w:hint="eastAsia"/>
          <w:sz w:val="28"/>
          <w:szCs w:val="28"/>
        </w:rPr>
        <w:t>学生姓名：</w:t>
      </w:r>
      <w:r>
        <w:rPr>
          <w:rFonts w:hint="eastAsia"/>
          <w:sz w:val="28"/>
          <w:szCs w:val="28"/>
          <w:u w:val="single"/>
        </w:rPr>
        <w:t xml:space="preserve">       （四号宋体）          </w:t>
      </w:r>
    </w:p>
    <w:p w14:paraId="5B965A56">
      <w:pPr>
        <w:spacing w:line="360" w:lineRule="auto"/>
        <w:ind w:left="1027" w:leftChars="428" w:firstLine="980" w:firstLineChars="350"/>
        <w:rPr>
          <w:rFonts w:hint="eastAsia"/>
          <w:sz w:val="28"/>
          <w:szCs w:val="28"/>
          <w:u w:val="single"/>
        </w:rPr>
      </w:pPr>
      <w:r>
        <w:rPr>
          <w:rFonts w:hint="eastAsia"/>
          <w:sz w:val="28"/>
          <w:szCs w:val="28"/>
        </w:rPr>
        <w:t>指导教师姓名：</w:t>
      </w:r>
      <w:r>
        <w:rPr>
          <w:rFonts w:hint="eastAsia"/>
          <w:sz w:val="28"/>
          <w:szCs w:val="28"/>
          <w:u w:val="single"/>
        </w:rPr>
        <w:t xml:space="preserve">      （四号宋体）       </w:t>
      </w:r>
    </w:p>
    <w:p w14:paraId="1BF35F2C">
      <w:pPr>
        <w:spacing w:line="360" w:lineRule="auto"/>
        <w:ind w:firstLine="1820" w:firstLineChars="650"/>
        <w:rPr>
          <w:rFonts w:hint="eastAsia"/>
          <w:sz w:val="28"/>
          <w:szCs w:val="28"/>
          <w:u w:val="single"/>
        </w:rPr>
      </w:pPr>
      <w:r>
        <w:rPr>
          <w:rFonts w:hint="eastAsia"/>
          <w:sz w:val="28"/>
          <w:szCs w:val="28"/>
        </w:rPr>
        <w:t>指导教师职称：</w:t>
      </w:r>
      <w:r>
        <w:rPr>
          <w:rFonts w:hint="eastAsia"/>
          <w:sz w:val="28"/>
          <w:szCs w:val="28"/>
          <w:u w:val="single"/>
        </w:rPr>
        <w:t xml:space="preserve">       （四号宋体）      </w:t>
      </w:r>
    </w:p>
    <w:p w14:paraId="48508A7A">
      <w:pPr>
        <w:spacing w:line="360" w:lineRule="auto"/>
        <w:jc w:val="center"/>
        <w:rPr>
          <w:rFonts w:hint="eastAsia"/>
          <w:sz w:val="28"/>
          <w:szCs w:val="28"/>
        </w:rPr>
      </w:pPr>
    </w:p>
    <w:p w14:paraId="37E49A43">
      <w:pPr>
        <w:spacing w:line="360" w:lineRule="auto"/>
        <w:jc w:val="center"/>
        <w:rPr>
          <w:rFonts w:hint="eastAsia"/>
          <w:sz w:val="24"/>
        </w:rPr>
      </w:pPr>
    </w:p>
    <w:p w14:paraId="0AEFAE68">
      <w:pPr>
        <w:spacing w:line="360" w:lineRule="auto"/>
        <w:jc w:val="center"/>
        <w:rPr>
          <w:rFonts w:eastAsia="黑体"/>
          <w:b w:val="0"/>
          <w:bCs/>
          <w:sz w:val="44"/>
        </w:rPr>
      </w:pPr>
      <w:r>
        <w:rPr>
          <w:rFonts w:hint="eastAsia"/>
          <w:sz w:val="24"/>
        </w:rPr>
        <w:t>年      月</w:t>
      </w:r>
    </w:p>
    <w:p w14:paraId="41B3255E">
      <w:pPr>
        <w:keepNext w:val="0"/>
        <w:keepLines w:val="0"/>
        <w:pageBreakBefore w:val="0"/>
        <w:widowControl/>
        <w:kinsoku/>
        <w:wordWrap/>
        <w:overflowPunct/>
        <w:topLinePunct w:val="0"/>
        <w:autoSpaceDE/>
        <w:autoSpaceDN/>
        <w:bidi w:val="0"/>
        <w:adjustRightInd/>
        <w:snapToGrid/>
        <w:spacing w:before="361" w:beforeLines="100" w:after="361" w:afterLines="100" w:line="440" w:lineRule="exact"/>
        <w:ind w:firstLine="0"/>
        <w:jc w:val="center"/>
        <w:textAlignment w:val="auto"/>
      </w:pPr>
      <w:r>
        <w:rPr>
          <w:rFonts w:eastAsia="黑体"/>
          <w:b w:val="0"/>
          <w:bCs/>
          <w:sz w:val="44"/>
        </w:rPr>
        <w:t>目  录</w:t>
      </w:r>
    </w:p>
    <w:p w14:paraId="08398E71">
      <w:pPr>
        <w:pStyle w:val="26"/>
        <w:tabs>
          <w:tab w:val="right" w:leader="dot" w:pos="9345"/>
        </w:tabs>
        <w:rPr>
          <w:rFonts w:hint="eastAsia" w:ascii="宋体" w:hAnsi="宋体" w:eastAsia="宋体" w:cs="宋体"/>
          <w:color w:val="auto"/>
          <w:kern w:val="2"/>
          <w:sz w:val="28"/>
          <w:szCs w:val="28"/>
          <w:lang w:eastAsia="zh-CN"/>
          <w14:ligatures w14:val="standardContextual"/>
        </w:rPr>
      </w:pPr>
      <w:r>
        <w:rPr>
          <w:rFonts w:cstheme="majorBidi"/>
          <w:bCs/>
          <w:sz w:val="28"/>
          <w:szCs w:val="28"/>
        </w:rPr>
        <w:fldChar w:fldCharType="begin"/>
      </w:r>
      <w:r>
        <w:rPr>
          <w:sz w:val="28"/>
        </w:rPr>
        <w:instrText xml:space="preserve">TOC \o "1-2" \h \z \u</w:instrText>
      </w:r>
      <w:r>
        <w:rPr>
          <w:rFonts w:cstheme="majorBidi"/>
          <w:bCs/>
          <w:sz w:val="28"/>
          <w:szCs w:val="28"/>
        </w:rP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"_Toc232847580" </w:instrText>
      </w:r>
      <w:r>
        <w:rPr>
          <w:rFonts w:hint="eastAsia" w:ascii="宋体" w:hAnsi="宋体" w:eastAsia="宋体" w:cs="宋体"/>
          <w:sz w:val="28"/>
          <w:szCs w:val="28"/>
        </w:rPr>
        <w:fldChar w:fldCharType="separate"/>
      </w:r>
      <w:r>
        <w:rPr>
          <w:rStyle w:val="138"/>
          <w:rFonts w:hint="eastAsia" w:ascii="宋体" w:hAnsi="宋体" w:eastAsia="宋体" w:cs="宋体"/>
          <w:sz w:val="28"/>
          <w:szCs w:val="28"/>
        </w:rPr>
        <w:t>第一章 绪论</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_Toc232847580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31A493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"_Toc232847581"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研究背景与问题提出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7867E0">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"_Toc232847582"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35D77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"_Toc232847583" </w:instrText>
      </w:r>
      <w:r>
        <w:rPr>
          <w:rFonts w:hint="eastAsia" w:ascii="宋体" w:hAnsi="宋体" w:eastAsia="宋体" w:cs="宋体"/>
          <w:sz w:val="24"/>
          <w:szCs w:val="24"/>
        </w:rPr>
        <w:fldChar w:fldCharType="separate"/>
      </w:r>
      <w:r>
        <w:rPr>
          <w:rFonts w:hint="eastAsia" w:ascii="宋体" w:hAnsi="宋体" w:eastAsia="宋体" w:cs="宋体"/>
          <w:sz w:val="24"/>
          <w:szCs w:val="24"/>
        </w:rPr>
        <w:t>1.3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C98AB74">
      <w:pPr>
        <w:pStyle w:val="29"/>
        <w:tabs>
          <w:tab w:val="right" w:leader="dot" w:pos="9345"/>
        </w:tabs>
        <w:ind w:left="480"/>
        <w:rPr>
          <w:rFonts w:hint="eastAsia" w:ascii="宋体" w:hAnsi="宋体" w:eastAsia="宋体" w:cs="宋体"/>
          <w:color w:val="auto"/>
          <w:kern w:val="2"/>
          <w:sz w:val="24"/>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"_Toc232847584"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论文结构安排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F66134">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"_Toc232847585" </w:instrText>
      </w:r>
      <w:r>
        <w:rPr>
          <w:rFonts w:hint="eastAsia" w:ascii="宋体" w:hAnsi="宋体" w:eastAsia="宋体" w:cs="宋体"/>
          <w:sz w:val="28"/>
          <w:szCs w:val="28"/>
        </w:rPr>
        <w:fldChar w:fldCharType="separate"/>
      </w:r>
      <w:r>
        <w:rPr>
          <w:rFonts w:hint="eastAsia" w:ascii="宋体" w:hAnsi="宋体" w:eastAsia="宋体" w:cs="宋体"/>
          <w:sz w:val="28"/>
          <w:szCs w:val="28"/>
        </w:rPr>
        <w:t>第二章 OFDM系统与PAPR理论基础</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_Toc232847585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1FBB61F">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"_Toc232847586" </w:instrText>
      </w:r>
      <w:r>
        <w:rPr>
          <w:rFonts w:hint="eastAsia" w:ascii="宋体" w:hAnsi="宋体" w:eastAsia="宋体" w:cs="宋体"/>
          <w:sz w:val="24"/>
          <w:szCs w:val="24"/>
        </w:rPr>
        <w:fldChar w:fldCharType="separate"/>
      </w:r>
      <w:r>
        <w:rPr>
          <w:rFonts w:hint="eastAsia" w:ascii="宋体" w:hAnsi="宋体" w:eastAsia="宋体" w:cs="宋体"/>
          <w:sz w:val="24"/>
          <w:szCs w:val="24"/>
        </w:rPr>
        <w:t>2.1 OFDM系统模型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869FE0">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"_Toc232847587" </w:instrText>
      </w:r>
      <w:r>
        <w:rPr>
          <w:rFonts w:hint="eastAsia" w:ascii="宋体" w:hAnsi="宋体" w:eastAsia="宋体" w:cs="宋体"/>
          <w:sz w:val="24"/>
          <w:szCs w:val="24"/>
        </w:rPr>
        <w:fldChar w:fldCharType="separate"/>
      </w:r>
      <w:r>
        <w:rPr>
          <w:rFonts w:hint="eastAsia" w:ascii="宋体" w:hAnsi="宋体" w:eastAsia="宋体" w:cs="宋体"/>
          <w:sz w:val="24"/>
          <w:szCs w:val="24"/>
        </w:rPr>
        <w:t>2.2 PAPR定义与CCDF评价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B01B56">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"_Toc232847588" </w:instrText>
      </w:r>
      <w:r>
        <w:rPr>
          <w:rFonts w:hint="eastAsia" w:ascii="宋体" w:hAnsi="宋体" w:eastAsia="宋体" w:cs="宋体"/>
          <w:sz w:val="24"/>
          <w:szCs w:val="24"/>
        </w:rPr>
        <w:fldChar w:fldCharType="separate"/>
      </w:r>
      <w:r>
        <w:rPr>
          <w:rFonts w:hint="eastAsia" w:ascii="宋体" w:hAnsi="宋体" w:eastAsia="宋体" w:cs="宋体"/>
          <w:sz w:val="24"/>
          <w:szCs w:val="24"/>
        </w:rPr>
        <w:t>2.3 高PAPR对系统的影响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15663E">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"_Toc232847589" </w:instrText>
      </w:r>
      <w:r>
        <w:rPr>
          <w:rFonts w:hint="eastAsia" w:ascii="宋体" w:hAnsi="宋体" w:eastAsia="宋体" w:cs="宋体"/>
          <w:sz w:val="24"/>
          <w:szCs w:val="24"/>
        </w:rPr>
        <w:fldChar w:fldCharType="separate"/>
      </w:r>
      <w:r>
        <w:rPr>
          <w:rFonts w:hint="eastAsia" w:ascii="宋体" w:hAnsi="宋体" w:eastAsia="宋体" w:cs="宋体"/>
          <w:sz w:val="24"/>
          <w:szCs w:val="24"/>
        </w:rPr>
        <w:t>2.4 常见PAPR抑制方法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_Toc232847589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00349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"_Toc232847590" </w:instrText>
      </w:r>
      <w:r>
        <w:rPr>
          <w:rFonts w:hint="eastAsia" w:ascii="宋体" w:hAnsi="宋体" w:eastAsia="宋体" w:cs="宋体"/>
          <w:sz w:val="24"/>
          <w:szCs w:val="24"/>
        </w:rPr>
        <w:fldChar w:fldCharType="separate"/>
      </w:r>
      <w:r>
        <w:rPr>
          <w:rFonts w:hint="eastAsia" w:ascii="宋体" w:hAnsi="宋体" w:eastAsia="宋体" w:cs="宋体"/>
          <w:sz w:val="24"/>
          <w:szCs w:val="24"/>
        </w:rPr>
        <w:t>2.5 传统SLM算法原理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EF2793">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"_Toc232847591" </w:instrText>
      </w:r>
      <w:r>
        <w:rPr>
          <w:rFonts w:hint="eastAsia" w:ascii="宋体" w:hAnsi="宋体" w:eastAsia="宋体" w:cs="宋体"/>
          <w:sz w:val="24"/>
          <w:szCs w:val="24"/>
        </w:rPr>
        <w:fldChar w:fldCharType="separate"/>
      </w:r>
      <w:r>
        <w:rPr>
          <w:rFonts w:hint="eastAsia" w:ascii="宋体" w:hAnsi="宋体" w:eastAsia="宋体" w:cs="宋体"/>
          <w:sz w:val="24"/>
          <w:szCs w:val="24"/>
        </w:rPr>
        <w:t>2.6 复杂度问题分析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CE299D">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"_Toc232847592" </w:instrText>
      </w:r>
      <w:r>
        <w:rPr>
          <w:rFonts w:hint="eastAsia" w:ascii="宋体" w:hAnsi="宋体" w:eastAsia="宋体" w:cs="宋体"/>
          <w:sz w:val="28"/>
          <w:szCs w:val="28"/>
        </w:rPr>
        <w:fldChar w:fldCharType="separate"/>
      </w:r>
      <w:r>
        <w:rPr>
          <w:rFonts w:hint="eastAsia" w:ascii="宋体" w:hAnsi="宋体" w:eastAsia="宋体" w:cs="宋体"/>
          <w:sz w:val="28"/>
          <w:szCs w:val="28"/>
        </w:rPr>
        <w:t>第三章 低复杂度SLM算法原理</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_Toc232847592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91F5C81">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"_Toc232847593" </w:instrText>
      </w:r>
      <w:r>
        <w:rPr>
          <w:rFonts w:hint="eastAsia" w:ascii="宋体" w:hAnsi="宋体" w:eastAsia="宋体" w:cs="宋体"/>
          <w:sz w:val="24"/>
          <w:szCs w:val="24"/>
        </w:rPr>
        <w:fldChar w:fldCharType="separate"/>
      </w:r>
      <w:r>
        <w:rPr>
          <w:rFonts w:hint="eastAsia" w:ascii="宋体" w:hAnsi="宋体" w:eastAsia="宋体" w:cs="宋体"/>
          <w:sz w:val="24"/>
          <w:szCs w:val="24"/>
        </w:rPr>
        <w:t>3.1 结构共享思想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2C8CF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"_Toc232847594" </w:instrText>
      </w:r>
      <w:r>
        <w:rPr>
          <w:rFonts w:hint="eastAsia" w:ascii="宋体" w:hAnsi="宋体" w:eastAsia="宋体" w:cs="宋体"/>
          <w:sz w:val="24"/>
          <w:szCs w:val="24"/>
        </w:rPr>
        <w:fldChar w:fldCharType="separate"/>
      </w:r>
      <w:r>
        <w:rPr>
          <w:rFonts w:hint="eastAsia" w:ascii="宋体" w:hAnsi="宋体" w:eastAsia="宋体" w:cs="宋体"/>
          <w:sz w:val="24"/>
          <w:szCs w:val="24"/>
        </w:rPr>
        <w:t>3.2 循环移位与候选生成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29B4BA">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"_Toc232847595" </w:instrText>
      </w:r>
      <w:r>
        <w:rPr>
          <w:rFonts w:hint="eastAsia" w:ascii="宋体" w:hAnsi="宋体" w:eastAsia="宋体" w:cs="宋体"/>
          <w:sz w:val="24"/>
          <w:szCs w:val="24"/>
        </w:rPr>
        <w:fldChar w:fldCharType="separate"/>
      </w:r>
      <w:r>
        <w:rPr>
          <w:rFonts w:hint="eastAsia" w:ascii="宋体" w:hAnsi="宋体" w:eastAsia="宋体" w:cs="宋体"/>
          <w:sz w:val="24"/>
          <w:szCs w:val="24"/>
        </w:rPr>
        <w:t>3.3 等效相位序列关系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073636">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"_Toc232847596" </w:instrText>
      </w:r>
      <w:r>
        <w:rPr>
          <w:rFonts w:hint="eastAsia" w:ascii="宋体" w:hAnsi="宋体" w:eastAsia="宋体" w:cs="宋体"/>
          <w:sz w:val="24"/>
          <w:szCs w:val="24"/>
        </w:rPr>
        <w:fldChar w:fldCharType="separate"/>
      </w:r>
      <w:r>
        <w:rPr>
          <w:rFonts w:hint="eastAsia" w:ascii="宋体" w:hAnsi="宋体" w:eastAsia="宋体" w:cs="宋体"/>
          <w:sz w:val="24"/>
          <w:szCs w:val="24"/>
        </w:rPr>
        <w:t>3.4 MATLAB实现路径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B78C28">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"_Toc232847597" </w:instrText>
      </w:r>
      <w:r>
        <w:rPr>
          <w:rFonts w:hint="eastAsia" w:ascii="宋体" w:hAnsi="宋体" w:eastAsia="宋体" w:cs="宋体"/>
          <w:sz w:val="24"/>
          <w:szCs w:val="24"/>
        </w:rPr>
        <w:fldChar w:fldCharType="separate"/>
      </w:r>
      <w:r>
        <w:rPr>
          <w:rFonts w:hint="eastAsia" w:ascii="宋体" w:hAnsi="宋体" w:eastAsia="宋体" w:cs="宋体"/>
          <w:sz w:val="24"/>
          <w:szCs w:val="24"/>
        </w:rPr>
        <w:t>3.5 复杂度优势与代价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88D2DE">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"_Toc232847598" </w:instrText>
      </w:r>
      <w:r>
        <w:rPr>
          <w:rFonts w:hint="eastAsia" w:ascii="宋体" w:hAnsi="宋体" w:eastAsia="宋体" w:cs="宋体"/>
          <w:sz w:val="28"/>
          <w:szCs w:val="28"/>
        </w:rPr>
        <w:fldChar w:fldCharType="separate"/>
      </w:r>
      <w:r>
        <w:rPr>
          <w:rFonts w:hint="eastAsia" w:ascii="宋体" w:hAnsi="宋体" w:eastAsia="宋体" w:cs="宋体"/>
          <w:sz w:val="28"/>
          <w:szCs w:val="28"/>
        </w:rPr>
        <w:t>第四章 MATLAB复现设计与实现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_Toc232847598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50E5D8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"_Toc232847599" </w:instrText>
      </w:r>
      <w:r>
        <w:rPr>
          <w:rFonts w:hint="eastAsia" w:ascii="宋体" w:hAnsi="宋体" w:eastAsia="宋体" w:cs="宋体"/>
          <w:sz w:val="24"/>
          <w:szCs w:val="24"/>
        </w:rPr>
        <w:fldChar w:fldCharType="separate"/>
      </w:r>
      <w:r>
        <w:rPr>
          <w:rFonts w:hint="eastAsia" w:ascii="宋体" w:hAnsi="宋体" w:eastAsia="宋体" w:cs="宋体"/>
          <w:sz w:val="24"/>
          <w:szCs w:val="24"/>
        </w:rPr>
        <w:t>4.1 仿真参数设置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_Toc232847599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27A7F6">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"_Toc232847600" </w:instrText>
      </w:r>
      <w:r>
        <w:rPr>
          <w:rFonts w:hint="eastAsia" w:ascii="宋体" w:hAnsi="宋体" w:eastAsia="宋体" w:cs="宋体"/>
          <w:sz w:val="24"/>
          <w:szCs w:val="24"/>
        </w:rPr>
        <w:fldChar w:fldCharType="separate"/>
      </w:r>
      <w:r>
        <w:rPr>
          <w:rFonts w:hint="eastAsia" w:ascii="宋体" w:hAnsi="宋体" w:eastAsia="宋体" w:cs="宋体"/>
          <w:sz w:val="24"/>
          <w:szCs w:val="24"/>
        </w:rPr>
        <w:t>4.2 程序模块构成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637BFC">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"_Toc232847601" </w:instrText>
      </w:r>
      <w:r>
        <w:rPr>
          <w:rFonts w:hint="eastAsia" w:ascii="宋体" w:hAnsi="宋体" w:eastAsia="宋体" w:cs="宋体"/>
          <w:sz w:val="24"/>
          <w:szCs w:val="24"/>
        </w:rPr>
        <w:fldChar w:fldCharType="separate"/>
      </w:r>
      <w:r>
        <w:rPr>
          <w:rFonts w:hint="eastAsia" w:ascii="宋体" w:hAnsi="宋体" w:eastAsia="宋体" w:cs="宋体"/>
          <w:sz w:val="24"/>
          <w:szCs w:val="24"/>
        </w:rPr>
        <w:t>4.3 关键实现细节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983071">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"_Toc232847602" </w:instrText>
      </w:r>
      <w:r>
        <w:rPr>
          <w:rFonts w:hint="eastAsia" w:ascii="宋体" w:hAnsi="宋体" w:eastAsia="宋体" w:cs="宋体"/>
          <w:sz w:val="24"/>
          <w:szCs w:val="24"/>
        </w:rPr>
        <w:fldChar w:fldCharType="separate"/>
      </w:r>
      <w:r>
        <w:rPr>
          <w:rFonts w:hint="eastAsia" w:ascii="宋体" w:hAnsi="宋体" w:eastAsia="宋体" w:cs="宋体"/>
          <w:sz w:val="24"/>
          <w:szCs w:val="24"/>
        </w:rPr>
        <w:t>4.4 数据输出与可重复性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8713E0">
      <w:pPr>
        <w:pStyle w:val="26"/>
        <w:tabs>
          <w:tab w:val="right" w:leader="dot" w:pos="9345"/>
        </w:tabs>
        <w:rPr>
          <w:rFonts w:hint="eastAsia" w:ascii="宋体" w:hAnsi="宋体" w:eastAsia="宋体" w:cs="宋体"/>
          <w:sz w:val="28"/>
          <w:szCs w:val="28"/>
          <w:lang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"_Toc232847603" </w:instrText>
      </w:r>
      <w:r>
        <w:rPr>
          <w:rFonts w:hint="eastAsia" w:ascii="宋体" w:hAnsi="宋体" w:eastAsia="宋体" w:cs="宋体"/>
          <w:sz w:val="28"/>
          <w:szCs w:val="28"/>
        </w:rPr>
        <w:fldChar w:fldCharType="separate"/>
      </w:r>
      <w:r>
        <w:rPr>
          <w:rFonts w:hint="eastAsia" w:ascii="宋体" w:hAnsi="宋体" w:eastAsia="宋体" w:cs="宋体"/>
          <w:sz w:val="28"/>
          <w:szCs w:val="28"/>
        </w:rPr>
        <w:t>第五章 仿真结果与分析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_Toc232847603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68125463">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"_Toc232847604" </w:instrText>
      </w:r>
      <w:r>
        <w:rPr>
          <w:rFonts w:hint="eastAsia" w:ascii="宋体" w:hAnsi="宋体" w:eastAsia="宋体" w:cs="宋体"/>
          <w:sz w:val="24"/>
          <w:szCs w:val="24"/>
        </w:rPr>
        <w:fldChar w:fldCharType="separate"/>
      </w:r>
      <w:r>
        <w:rPr>
          <w:rFonts w:hint="eastAsia" w:ascii="宋体" w:hAnsi="宋体" w:eastAsia="宋体" w:cs="宋体"/>
          <w:sz w:val="24"/>
          <w:szCs w:val="24"/>
        </w:rPr>
        <w:t>5.1 CCDF总体结果分析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3C35E7">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"_Toc232847605" </w:instrText>
      </w:r>
      <w:r>
        <w:rPr>
          <w:rFonts w:hint="eastAsia" w:ascii="宋体" w:hAnsi="宋体" w:eastAsia="宋体" w:cs="宋体"/>
          <w:sz w:val="24"/>
          <w:szCs w:val="24"/>
        </w:rPr>
        <w:fldChar w:fldCharType="separate"/>
      </w:r>
      <w:r>
        <w:rPr>
          <w:rFonts w:hint="eastAsia" w:ascii="宋体" w:hAnsi="宋体" w:eastAsia="宋体" w:cs="宋体"/>
          <w:sz w:val="24"/>
          <w:szCs w:val="24"/>
        </w:rPr>
        <w:t>5.2 PAPR增益对比分析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ECB3E2">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"_Toc232847606" </w:instrText>
      </w:r>
      <w:r>
        <w:rPr>
          <w:rFonts w:hint="eastAsia" w:ascii="宋体" w:hAnsi="宋体" w:eastAsia="宋体" w:cs="宋体"/>
          <w:sz w:val="24"/>
          <w:szCs w:val="24"/>
        </w:rPr>
        <w:fldChar w:fldCharType="separate"/>
      </w:r>
      <w:r>
        <w:rPr>
          <w:rFonts w:hint="eastAsia" w:ascii="宋体" w:hAnsi="宋体" w:eastAsia="宋体" w:cs="宋体"/>
          <w:sz w:val="24"/>
          <w:szCs w:val="24"/>
        </w:rPr>
        <w:t>5.3 性能与复杂度折中</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BDE48D">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"_Toc232847607" </w:instrText>
      </w:r>
      <w:r>
        <w:rPr>
          <w:rFonts w:hint="eastAsia" w:ascii="宋体" w:hAnsi="宋体" w:eastAsia="宋体" w:cs="宋体"/>
          <w:sz w:val="24"/>
          <w:szCs w:val="24"/>
        </w:rPr>
        <w:fldChar w:fldCharType="separate"/>
      </w:r>
      <w:r>
        <w:rPr>
          <w:rFonts w:hint="eastAsia" w:ascii="宋体" w:hAnsi="宋体" w:eastAsia="宋体" w:cs="宋体"/>
          <w:sz w:val="24"/>
          <w:szCs w:val="24"/>
        </w:rPr>
        <w:t>5.4 参数影响与扩展讨论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F5F460">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"_Toc232847608" </w:instrText>
      </w:r>
      <w:r>
        <w:rPr>
          <w:rFonts w:hint="eastAsia" w:ascii="宋体" w:hAnsi="宋体" w:eastAsia="宋体" w:cs="宋体"/>
          <w:sz w:val="24"/>
          <w:szCs w:val="24"/>
        </w:rPr>
        <w:fldChar w:fldCharType="separate"/>
      </w:r>
      <w:r>
        <w:rPr>
          <w:rFonts w:hint="eastAsia" w:ascii="宋体" w:hAnsi="宋体" w:eastAsia="宋体" w:cs="宋体"/>
          <w:sz w:val="24"/>
          <w:szCs w:val="24"/>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ACEA15">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"_Toc232847609"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_Toc232847609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9CEDFD">
      <w:pPr>
        <w:pStyle w:val="29"/>
        <w:tabs>
          <w:tab w:val="right" w:leader="dot" w:pos="9345"/>
        </w:tabs>
        <w:ind w:left="480"/>
        <w:rPr>
          <w:rFonts w:hint="eastAsia" w:ascii="宋体" w:hAnsi="宋体" w:eastAsia="宋体" w:cs="宋体"/>
          <w:sz w:val="24"/>
          <w:szCs w:val="24"/>
          <w:lang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"_Toc232847610" </w:instrText>
      </w:r>
      <w:r>
        <w:rPr>
          <w:rFonts w:hint="eastAsia" w:ascii="宋体" w:hAnsi="宋体" w:eastAsia="宋体" w:cs="宋体"/>
          <w:sz w:val="24"/>
          <w:szCs w:val="24"/>
        </w:rPr>
        <w:fldChar w:fldCharType="separate"/>
      </w:r>
      <w:r>
        <w:rPr>
          <w:rFonts w:hint="eastAsia" w:ascii="宋体" w:hAnsi="宋体" w:eastAsia="宋体" w:cs="宋体"/>
          <w:sz w:val="24"/>
          <w:szCs w:val="24"/>
        </w:rPr>
        <w:t>附录A 课题补充分析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_Toc232847610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62CBE3">
      <w:pPr>
        <w:pStyle w:val="29"/>
        <w:tabs>
          <w:tab w:val="right" w:leader="dot" w:pos="9345"/>
        </w:tabs>
        <w:ind w:left="480"/>
        <w:rPr>
          <w:rFonts w:hint="eastAsia" w:asciiTheme="minorHAnsi" w:hAnsiTheme="minorHAnsi" w:eastAsiaTheme="minorEastAsia"/>
          <w:color w:val="auto"/>
          <w:kern w:val="2"/>
          <w:sz w:val="22"/>
          <w:szCs w:val="24"/>
          <w:lang w:eastAsia="zh-CN"/>
          <w14:ligatures w14:val="standardContextual"/>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"_Toc232847611" </w:instrText>
      </w:r>
      <w:r>
        <w:rPr>
          <w:rFonts w:hint="eastAsia" w:ascii="宋体" w:hAnsi="宋体" w:eastAsia="宋体" w:cs="宋体"/>
          <w:sz w:val="24"/>
          <w:szCs w:val="24"/>
        </w:rPr>
        <w:fldChar w:fldCharType="separate"/>
      </w:r>
      <w:r>
        <w:rPr>
          <w:rFonts w:hint="eastAsia" w:ascii="宋体" w:hAnsi="宋体" w:eastAsia="宋体" w:cs="宋体"/>
          <w:sz w:val="24"/>
          <w:szCs w:val="24"/>
        </w:rPr>
        <w:t>附录B 扩展文献综述与实现说明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_Toc232847611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AD638A">
      <w:pPr>
        <w:ind w:firstLine="0"/>
      </w:pPr>
      <w:r>
        <w:fldChar w:fldCharType="end"/>
      </w:r>
    </w:p>
    <w:p w14:paraId="66D0572F">
      <w:r>
        <w:br w:type="page"/>
      </w:r>
    </w:p>
    <w:p w14:paraId="61AD8CCD">
      <w:pPr>
        <w:jc w:val="center"/>
      </w:pPr>
      <w:r>
        <w:rPr>
          <w:rFonts w:eastAsia="黑体"/>
          <w:b/>
          <w:sz w:val="32"/>
        </w:rPr>
        <w:t>基于低复杂度选择映射算法的OFDM系统峰均比抑制研究与MATLAB复现</w:t>
      </w:r>
    </w:p>
    <w:p w14:paraId="3762E2CC">
      <w:pPr>
        <w:jc w:val="both"/>
      </w:pPr>
      <w:r>
        <w:t>摘要 正交频分复用（Orthogonal Frequency Division Multiplexing, OFDM）因其抗多径能力强、频谱利用率高和易于数字实现等优点，已广泛应用于现代通信系统。然而，OFDM 信号由多载波叠加而成，时域波形容易产生较高的峰均功率比（Peak-to-Average Power Ratio, PAPR），从而降低功率放大器效率并引入非线性失真。针对这一问题，本文选取低复杂度选择映射（Selected Mapping, SLM）算法作为复现对象，基于真实英文文献构建 MATLAB 仿真平台，对原始 OFDM、传统 SLM 和基于循环移位的低复杂度 SLM 三类方案进行比较。仿真采用 QPSK 调制、256 个子载波和 4 倍过采样，通过互补累积分布函数曲线评价算法性能。结果表明，随着候选数增加，传统 SLM 与低复杂度 SLM 均可有效降低 PAPR，后者在性能接近传统 SLM 的同时具有更低实现复杂度。本文完成了文献翻译、理论梳理、代码复现、图表生成和论文写作，验证了所选文献结论的可复现性，并为后续面向低功耗终端的峰均比抑制研究提供了基础。</w:t>
      </w:r>
    </w:p>
    <w:p w14:paraId="67A36E0B">
      <w:pPr>
        <w:jc w:val="both"/>
      </w:pPr>
      <w:r>
        <w:t>关键词：OFDM；峰均功率比；选择映射；低复杂度算法；MATLAB复现</w:t>
      </w:r>
    </w:p>
    <w:p w14:paraId="03C19635">
      <w:r>
        <w:br w:type="page"/>
      </w:r>
    </w:p>
    <w:p w14:paraId="34AC2C8C">
      <w:pPr>
        <w:jc w:val="center"/>
      </w:pPr>
      <w:r>
        <w:rPr>
          <w:rFonts w:eastAsia="Times New Roman"/>
          <w:b/>
        </w:rPr>
        <w:t>Research and MATLAB Reproduction of OFDM PAPR Suppression Based on a Low-Complexity Selected Mapping Algorithm</w:t>
      </w:r>
    </w:p>
    <w:p w14:paraId="4C35C0AA">
      <w:pPr>
        <w:jc w:val="both"/>
      </w:pPr>
      <w:r>
        <w:rPr>
          <w:rFonts w:eastAsia="Times New Roman"/>
          <w:sz w:val="21"/>
        </w:rPr>
        <w:t>Abstract Orthogonal Frequency Division Multiplexing (OFDM) is widely used in modern communication systems because of its high spectral efficiency, strong multipath resistance, and convenient digital implementation. However, the superposition of many subcarriers leads to a high peak-to-average power ratio (PAPR), which reduces power amplifier efficiency and causes nonlinear distortion. In this thesis, a low-complexity selected mapping (SLM) method is reproduced based on a real English paper. A MATLAB simulation platform is built to compare original OFDM, conventional SLM, and the cyclic-shift-based low-complexity SLM scheme. The simulation adopts QPSK modulation, 256 subcarriers, and 4-times oversampling. The complementary cumulative distribution function is used to evaluate the PAPR performance. Results show that both conventional SLM and the proposed low-complexity SLM can effectively reduce PAPR as the number of candidates increases, while the low-complexity method preserves comparable performance with lower implementation cost. This work completes literature translation, theoretical analysis, code reproduction, figure generation, and thesis writing, and verifies the reproducibility of the selected paper.</w:t>
      </w:r>
    </w:p>
    <w:p w14:paraId="452D1060">
      <w:pPr>
        <w:jc w:val="both"/>
      </w:pPr>
      <w:r>
        <w:rPr>
          <w:rFonts w:eastAsia="Times New Roman"/>
          <w:sz w:val="21"/>
        </w:rPr>
        <w:t>KEY WORDS: OFDM; peak-to-average power ratio; selected mapping; low-complexity algorithm; MATLAB reproduction</w:t>
      </w:r>
    </w:p>
    <w:p w14:paraId="40FB6516">
      <w:pPr>
        <w:sectPr>
          <w:footerReference r:id="rId7" w:type="first"/>
          <w:footerReference r:id="rId5" w:type="default"/>
          <w:footerReference r:id="rId6" w:type="even"/>
          <w:pgSz w:w="11906" w:h="16838"/>
          <w:pgMar w:top="1440" w:right="1106" w:bottom="1440" w:left="1259" w:header="850" w:footer="992" w:gutter="0"/>
          <w:pgNumType w:fmt="upperRoman" w:start="1"/>
          <w:cols w:space="720" w:num="1"/>
          <w:docGrid w:linePitch="360" w:charSpace="0"/>
        </w:sectPr>
      </w:pPr>
      <w:r>
        <w:br w:type="page"/>
      </w:r>
    </w:p>
    <w:p w14:paraId="6CDA0BD0"/>
    <w:p w14:paraId="04041BB5">
      <w:pPr>
        <w:pStyle w:val="3"/>
        <w:pageBreakBefore/>
        <w:spacing w:before="0" w:after="0"/>
      </w:pPr>
      <w:bookmarkStart w:id="0" w:name="_Toc232847580"/>
      <w:r>
        <w:rPr>
          <w:bCs w:val="0"/>
        </w:rPr>
        <w:t>第一章 绪论</w:t>
      </w:r>
      <w:bookmarkEnd w:id="0"/>
    </w:p>
    <w:p w14:paraId="2CA7AD05">
      <w:pPr>
        <w:pStyle w:val="4"/>
        <w:spacing w:before="0" w:after="0"/>
      </w:pPr>
      <w:bookmarkStart w:id="1" w:name="_Toc232847581"/>
      <w:r>
        <w:rPr>
          <w:bCs w:val="0"/>
        </w:rPr>
        <w:t>1.1 研究背景与问题提出</w:t>
      </w:r>
      <w:bookmarkEnd w:id="1"/>
    </w:p>
    <w:p w14:paraId="37A5707C">
      <w:pPr>
        <w:spacing w:line="440" w:lineRule="exact"/>
        <w:ind w:firstLineChars="200"/>
        <w:jc w:val="both"/>
      </w:pPr>
      <w:r>
        <w:t>正交频分复用（Orthogonal Frequency Division Multiplexing, OFDM）由于具有频谱利用率高、抗多径干扰能力强、易于与信道编码和多天线技术结合等优点，已经成为宽带移动通信、无线局域网、数字广播和光通信系统中的关键调制技术。然而，OFDM 信号由大量独立子载波叠加而成，时域波形会出现明显的峰值聚集现象，导致峰均功率比（Peak-to-Average Power Ratio, PAPR）偏高。高 PAPR 会迫使功率放大器在线性区内大幅回退，从而降低功放效率，增加终端功耗，并引入带外辐射和星座畸变，因此峰均比抑制一直是 OFDM 工程化应用中的核心问题。</w:t>
      </w:r>
    </w:p>
    <w:p w14:paraId="60D90C74">
      <w:pPr>
        <w:pStyle w:val="4"/>
        <w:spacing w:before="0" w:after="0"/>
      </w:pPr>
      <w:bookmarkStart w:id="2" w:name="_Toc232847582"/>
      <w:r>
        <w:rPr>
          <w:bCs w:val="0"/>
        </w:rPr>
        <w:t>1.2</w:t>
      </w:r>
      <w:r>
        <w:rPr/>
        <w:t xml:space="preserve"> </w:t>
      </w:r>
      <w:r>
        <w:rPr>
          <w:bCs w:val="0"/>
        </w:rPr>
        <w:t>国内外研究现状</w:t>
      </w:r>
      <w:bookmarkEnd w:id="2"/>
    </w:p>
    <w:p w14:paraId="01BF9BF4">
      <w:pPr>
        <w:spacing w:line="440" w:lineRule="exact"/>
        <w:ind w:firstLineChars="200"/>
        <w:jc w:val="both"/>
      </w:pPr>
      <w:r>
        <w:t>围绕 PAPR 问题，国内外学者提出了限幅滤波、编码、部分传输序列（Partial Transmit Sequence, PTS）、选择映射（Selected Mapping, SLM）、音调保留、压扩变换以及智能优化等多类方法。其中，SLM 算法的优势在于不改变 OFDM 系统原有的子载波正交结构，不需要引入明显的非线性失真，且能够通过候选序列的多样化有效降低信号峰值。传统 SLM 的主要问题在于每组候选序列都需要一次完整 IFFT 运算，随着候选数 U 增大，复杂度和硬件开销会迅速上升，制约了该方法的工程落地。从研究现状来看，国外在 PAPR 理论分析方面起步较早。Bauml、Muller、Tellado 等研究奠定了 SLM、PTS 和多载波峰值控制的基础框架，Han、Jiang 等学者进一步从工程实现角度对多种算法进行了系统综述。近年来，随着 5G 和 6G 波形演进以及高频宽、大规模天线系统的发展，研究重点逐步从单纯的峰值抑制转向低复杂度、低边信息开销以及与机器学习融合的自适应候选生成。国内研究则更加关注面向工程仿真的改进方法，包括改进相位序列设计、边信息压缩、混合压扩与映射联合抑制等方向，并在算法对比和场景适配方面形成了较多成果。</w:t>
      </w:r>
    </w:p>
    <w:p w14:paraId="2ECEA301">
      <w:pPr>
        <w:pStyle w:val="4"/>
        <w:spacing w:before="0" w:after="0"/>
      </w:pPr>
      <w:bookmarkStart w:id="3" w:name="_Toc232847583"/>
      <w:r>
        <w:rPr>
          <w:bCs w:val="0"/>
        </w:rPr>
        <w:t>1.3 研究意义</w:t>
      </w:r>
      <w:bookmarkEnd w:id="3"/>
    </w:p>
    <w:p w14:paraId="48501C28">
      <w:pPr>
        <w:spacing w:line="440" w:lineRule="exact"/>
        <w:ind w:firstLineChars="200"/>
        <w:jc w:val="both"/>
      </w:pPr>
      <w:r>
        <w:t>本文选择 Kim 等人在 2012 年提出的低复杂度 SLM 思想作为复现对象。该文利用 IFFT 中间级序列的循环移位关系构造候选信号，在保持较好 PAPR 抑制能力的同时显著减少复杂乘法和 IFFT 计算量。该方案理论清晰、结构完整、仿真指标明确，适合作为通信类毕业设计的复现实验对象。通过复现该文核心流程，可以系统训练 MATLAB 建模、信号统计分析、算法性能评估和论文写作能力，也能够为后续面向低功耗通信终端的峰均比抑制研究提供基础。本文的研究意义主要体现在三个方面。第一，从理论层面梳理 OFDM 高 PAPR 形成机理以及 SLM 系算法的候选选择思想，帮助建立完整的系统认知。第二，从实践层面基于 MATLAB 对低复杂度 SLM 进行可重复仿真，得到与文献趋势一致的 CCDF 曲线和增益结果，验证文献结论的可复现性。第三，从应用层面对算法的复杂度与性能平衡进行分析，为后续将峰均比抑制方案引入功放受限终端、无线接入设备或光传输链路奠定参考。</w:t>
      </w:r>
    </w:p>
    <w:p w14:paraId="4454FD41">
      <w:pPr>
        <w:pStyle w:val="4"/>
        <w:spacing w:before="0" w:after="0"/>
      </w:pPr>
      <w:bookmarkStart w:id="4" w:name="_Toc232847584"/>
      <w:r>
        <w:rPr>
          <w:bCs w:val="0"/>
        </w:rPr>
        <w:t>1.4 论文结构安排</w:t>
      </w:r>
      <w:bookmarkEnd w:id="4"/>
    </w:p>
    <w:p w14:paraId="0B846E79">
      <w:pPr>
        <w:spacing w:line="440" w:lineRule="exact"/>
        <w:ind w:firstLineChars="200"/>
        <w:jc w:val="both"/>
      </w:pPr>
      <w:r>
        <w:t>本文结构安排如下：第 1 章介绍研究背景、国内外研究现状及课题意义；第 2 章阐述 OFDM 系统模型、PAPR 定义与传统 SLM 原理；第 3 章重点介绍文献中的低复杂度循环移位 SLM 方案及其复杂度优势；第 4 章给出 MATLAB 复现模型、参数配置和关键实现步骤；第 5 章展示仿真结果并进行性能分析；第 6 章对全文进行总结，并给出后续改进方向。</w:t>
      </w:r>
    </w:p>
    <w:p w14:paraId="728ED2D9">
      <w:pPr>
        <w:pStyle w:val="3"/>
        <w:pageBreakBefore/>
        <w:spacing w:before="0" w:after="0"/>
      </w:pPr>
      <w:bookmarkStart w:id="5" w:name="_Toc232847585"/>
      <w:r>
        <w:rPr>
          <w:bCs w:val="0"/>
        </w:rPr>
        <w:t>第二章 OFDM系统与PAPR理论基础</w:t>
      </w:r>
      <w:bookmarkEnd w:id="5"/>
    </w:p>
    <w:p w14:paraId="6C3BC631">
      <w:pPr>
        <w:pStyle w:val="4"/>
        <w:spacing w:before="0" w:after="0"/>
      </w:pPr>
      <w:bookmarkStart w:id="6" w:name="_Toc232847586"/>
      <w:r>
        <w:rPr>
          <w:bCs w:val="0"/>
        </w:rPr>
        <w:t>2.1 OFDM系统模型</w:t>
      </w:r>
      <w:bookmarkEnd w:id="6"/>
    </w:p>
    <w:p w14:paraId="4C2F2D47">
      <w:pPr>
        <w:spacing w:line="440" w:lineRule="exact"/>
        <w:ind w:firstLineChars="200"/>
        <w:jc w:val="both"/>
      </w:pPr>
      <w:r>
        <w:t>OFDM 技术的核心思想是将高速数据流分解为多个并行的低速子数据流，再分别加载到一组相互正交的子载波上同步发送。设系统具有 N 个子载波，频域调制符号记为 X(k)，则一个 OFDM 符号在离散时域上的基带表达式可写为 x(n)=1/sqrt(N)·sum_{k=0}^{N-1} X(k)exp(j2πkn/N)，其中 n=0,1,…,N−1。发送端通常利用 IFFT 实现该运算，因此 OFDM 在数字基带实现中具有结构规整、计算高效的优势。</w:t>
      </w:r>
    </w:p>
    <w:tbl>
      <w:tblPr>
        <w:tblStyle w:val="34"/>
        <w:tblW w:w="0" w:type="auto"/>
        <w:jc w:val="center"/>
        <w:tblLayout w:type="fixed"/>
        <w:tblCellMar>
          <w:top w:w="0" w:type="dxa"/>
          <w:left w:w="108" w:type="dxa"/>
          <w:bottom w:w="0" w:type="dxa"/>
          <w:right w:w="108" w:type="dxa"/>
        </w:tblCellMar>
      </w:tblPr>
      <w:tblGrid>
        <w:gridCol w:w="7654"/>
        <w:gridCol w:w="1417"/>
      </w:tblGrid>
      <w:tr w14:paraId="2E846899">
        <w:tblPrEx>
          <w:tblCellMar>
            <w:top w:w="0" w:type="dxa"/>
            <w:left w:w="108" w:type="dxa"/>
            <w:bottom w:w="0" w:type="dxa"/>
            <w:right w:w="108" w:type="dxa"/>
          </w:tblCellMar>
        </w:tblPrEx>
        <w:trPr>
          <w:jc w:val="center"/>
        </w:trPr>
        <w:tc>
          <w:tcPr>
            <w:tcW w:w="7654" w:type="dxa"/>
            <w:tcBorders>
              <w:top w:val="nil"/>
              <w:left w:val="nil"/>
              <w:bottom w:val="nil"/>
              <w:right w:val="nil"/>
            </w:tcBorders>
            <w:vAlign w:val="center"/>
          </w:tcPr>
          <w:p w14:paraId="48E8D0CA">
            <w:pPr>
              <w:spacing w:line="240" w:lineRule="auto"/>
              <w:jc w:val="center"/>
            </w:pPr>
            <w:r>
              <w:rPr>
                <w:rFonts w:ascii="宋体" w:hAnsi="宋体" w:eastAsia="宋体"/>
                <w:sz w:val="28"/>
              </w:rPr>
              <w:t>x(n)=\frac{1}{\sqrt{N}}\sum_{k=0}^{N-1}X(k)e^{j2\pi kn/N}</w:t>
            </w:r>
          </w:p>
        </w:tc>
        <w:tc>
          <w:tcPr>
            <w:tcW w:w="1417" w:type="dxa"/>
            <w:tcBorders>
              <w:top w:val="nil"/>
              <w:left w:val="nil"/>
              <w:bottom w:val="nil"/>
              <w:right w:val="nil"/>
            </w:tcBorders>
            <w:vAlign w:val="center"/>
          </w:tcPr>
          <w:p w14:paraId="269EA09D">
            <w:pPr>
              <w:spacing w:line="240" w:lineRule="auto"/>
              <w:jc w:val="center"/>
            </w:pPr>
            <w:r>
              <w:rPr>
                <w:rFonts w:ascii="宋体" w:hAnsi="宋体" w:eastAsia="宋体"/>
                <w:sz w:val="28"/>
              </w:rPr>
              <w:t>(2-1)</w:t>
            </w:r>
          </w:p>
        </w:tc>
      </w:tr>
    </w:tbl>
    <w:p w14:paraId="28AD8CF3">
      <w:pPr>
        <w:pStyle w:val="4"/>
        <w:spacing w:before="0" w:after="0"/>
      </w:pPr>
      <w:bookmarkStart w:id="7" w:name="_Toc232847587"/>
      <w:r>
        <w:rPr>
          <w:bCs w:val="0"/>
        </w:rPr>
        <w:t>2.2 PAPR定义与CCDF评价</w:t>
      </w:r>
      <w:bookmarkEnd w:id="7"/>
    </w:p>
    <w:p w14:paraId="2505182D">
      <w:pPr>
        <w:spacing w:line="440" w:lineRule="exact"/>
        <w:ind w:firstLineChars="200"/>
        <w:jc w:val="both"/>
      </w:pPr>
      <w:r>
        <w:t>在统计意义上，当 N 较大且子载波符号独立同分布时，OFDM 时域样值近似服从复高斯分布，其包络接近瑞利分布，瞬时功率呈现指数分布。由于多个子载波在某些采样时刻可能发生相位叠加，信号会出现远高于平均功率的尖峰。PAPR 定义为一个 OFDM 符号时域功率峰值与平均功率之比，即 PAPR=max|x(n)|^2 / E{|x(n)|^2}。为了便于比较，工程中通常采用 dB 形式表示，即 PAPR_dB=10log10(PAPR)。PAPR 评价通常采用互补累积分布函数（Complementary Cumulative Distribution Function, CCDF）。CCDF 反映的是 PAPR 超过某一门限值的概率，记为 Pr(PAPR&gt;PAPR0)。该指标可以直观描述在随机数据块驱动下信号峰值出现的频度，因此被广泛用于不同抑制算法的性能对比。为了更准确估计连续时间峰值，仿真时一般对 IFFT 输出进行 4 倍或更高倍数的过采样。</w:t>
      </w:r>
    </w:p>
    <w:tbl>
      <w:tblPr>
        <w:tblStyle w:val="34"/>
        <w:tblW w:w="0" w:type="auto"/>
        <w:jc w:val="center"/>
        <w:tblLayout w:type="fixed"/>
        <w:tblCellMar>
          <w:top w:w="0" w:type="dxa"/>
          <w:left w:w="108" w:type="dxa"/>
          <w:bottom w:w="0" w:type="dxa"/>
          <w:right w:w="108" w:type="dxa"/>
        </w:tblCellMar>
      </w:tblPr>
      <w:tblGrid>
        <w:gridCol w:w="7654"/>
        <w:gridCol w:w="1417"/>
      </w:tblGrid>
      <w:tr w14:paraId="137F16B2">
        <w:tblPrEx>
          <w:tblCellMar>
            <w:top w:w="0" w:type="dxa"/>
            <w:left w:w="108" w:type="dxa"/>
            <w:bottom w:w="0" w:type="dxa"/>
            <w:right w:w="108" w:type="dxa"/>
          </w:tblCellMar>
        </w:tblPrEx>
        <w:trPr>
          <w:jc w:val="center"/>
        </w:trPr>
        <w:tc>
          <w:tcPr>
            <w:tcW w:w="7654" w:type="dxa"/>
            <w:tcBorders>
              <w:top w:val="nil"/>
              <w:left w:val="nil"/>
              <w:bottom w:val="nil"/>
              <w:right w:val="nil"/>
            </w:tcBorders>
            <w:vAlign w:val="center"/>
          </w:tcPr>
          <w:p w14:paraId="4F7D3E47">
            <w:pPr>
              <w:spacing w:line="240" w:lineRule="auto"/>
              <w:jc w:val="center"/>
            </w:pPr>
            <w:r>
              <w:rPr>
                <w:rFonts w:ascii="宋体" w:hAnsi="宋体" w:eastAsia="宋体"/>
                <w:sz w:val="28"/>
              </w:rPr>
              <w:t>PAPR=\frac{\max\{|x(n)|^2\}}{E\{|x(n)|^2\}}</w:t>
            </w:r>
          </w:p>
        </w:tc>
        <w:tc>
          <w:tcPr>
            <w:tcW w:w="1417" w:type="dxa"/>
            <w:tcBorders>
              <w:top w:val="nil"/>
              <w:left w:val="nil"/>
              <w:bottom w:val="nil"/>
              <w:right w:val="nil"/>
            </w:tcBorders>
            <w:vAlign w:val="center"/>
          </w:tcPr>
          <w:p w14:paraId="12CB1205">
            <w:pPr>
              <w:spacing w:line="240" w:lineRule="auto"/>
              <w:jc w:val="center"/>
            </w:pPr>
            <w:r>
              <w:rPr>
                <w:rFonts w:ascii="宋体" w:hAnsi="宋体" w:eastAsia="宋体"/>
                <w:sz w:val="28"/>
              </w:rPr>
              <w:t>(2-2)</w:t>
            </w:r>
          </w:p>
        </w:tc>
      </w:tr>
      <w:tr w14:paraId="1469FACE">
        <w:tblPrEx>
          <w:tblCellMar>
            <w:top w:w="0" w:type="dxa"/>
            <w:left w:w="108" w:type="dxa"/>
            <w:bottom w:w="0" w:type="dxa"/>
            <w:right w:w="108" w:type="dxa"/>
          </w:tblCellMar>
        </w:tblPrEx>
        <w:trPr>
          <w:jc w:val="center"/>
        </w:trPr>
        <w:tc>
          <w:tcPr>
            <w:tcW w:w="7654" w:type="dxa"/>
            <w:tcBorders>
              <w:top w:val="nil"/>
              <w:left w:val="nil"/>
              <w:bottom w:val="nil"/>
              <w:right w:val="nil"/>
            </w:tcBorders>
            <w:vAlign w:val="center"/>
          </w:tcPr>
          <w:p w14:paraId="0D966C14">
            <w:pPr>
              <w:spacing w:line="240" w:lineRule="auto"/>
              <w:jc w:val="center"/>
            </w:pPr>
            <w:r>
              <w:rPr>
                <w:rFonts w:ascii="宋体" w:hAnsi="宋体" w:eastAsia="宋体"/>
                <w:sz w:val="28"/>
              </w:rPr>
              <w:t>CCDF=Pr(PAPR&gt;PAPR_0)</w:t>
            </w:r>
          </w:p>
        </w:tc>
        <w:tc>
          <w:tcPr>
            <w:tcW w:w="1417" w:type="dxa"/>
            <w:tcBorders>
              <w:top w:val="nil"/>
              <w:left w:val="nil"/>
              <w:bottom w:val="nil"/>
              <w:right w:val="nil"/>
            </w:tcBorders>
            <w:vAlign w:val="center"/>
          </w:tcPr>
          <w:p w14:paraId="5EBD04B2">
            <w:pPr>
              <w:spacing w:line="240" w:lineRule="auto"/>
              <w:jc w:val="center"/>
            </w:pPr>
            <w:r>
              <w:rPr>
                <w:rFonts w:ascii="宋体" w:hAnsi="宋体" w:eastAsia="宋体"/>
                <w:sz w:val="28"/>
              </w:rPr>
              <w:t>(2-3)</w:t>
            </w:r>
          </w:p>
        </w:tc>
      </w:tr>
    </w:tbl>
    <w:p w14:paraId="40C77805">
      <w:pPr>
        <w:pStyle w:val="4"/>
        <w:spacing w:before="0" w:after="0"/>
        <w:rPr>
          <w:rFonts w:ascii="Times New Roman" w:hAnsi="Times New Roman" w:eastAsia="黑体"/>
          <w:b w:val="0"/>
          <w:bCs w:val="0"/>
        </w:rPr>
      </w:pPr>
      <w:bookmarkStart w:id="8" w:name="_Toc232847588"/>
      <w:r>
        <w:rPr>
          <w:bCs w:val="0"/>
        </w:rPr>
        <w:t>2.3 高PAPR对系统的影响</w:t>
      </w:r>
      <w:bookmarkEnd w:id="8"/>
    </w:p>
    <w:p w14:paraId="3F5420B9">
      <w:pPr>
        <w:spacing w:line="440" w:lineRule="exact"/>
        <w:ind w:firstLineChars="200"/>
        <w:jc w:val="both"/>
      </w:pPr>
      <w:r>
        <w:t>高 PAPR 对射频前端和功率放大器带来的不利影响非常直接。当信号峰值过大时，如果功率放大器的线性工作范围不足，就会出现削顶、包络压缩、AM/AM 与 AM/PM 失真等非线性效应，进而导致带内误码率恶化、带外频谱扩展以及邻道干扰加剧。为了避免严重失真，实际系统通常需要引入输出功率回退，但这会降低功率效率，增加终端发热与能耗，不利于移动通信设备的小型化和长续航设计。</w:t>
      </w:r>
    </w:p>
    <w:p w14:paraId="197828EF">
      <w:pPr>
        <w:pStyle w:val="4"/>
        <w:spacing w:before="0" w:after="0"/>
        <w:rPr>
          <w:rFonts w:ascii="Times New Roman" w:hAnsi="Times New Roman" w:eastAsia="黑体"/>
          <w:b w:val="0"/>
          <w:bCs w:val="0"/>
        </w:rPr>
      </w:pPr>
      <w:bookmarkStart w:id="9" w:name="_Toc232847589"/>
      <w:r>
        <w:rPr>
          <w:bCs w:val="0"/>
        </w:rPr>
        <w:t>2.4 常见PAPR抑制方法</w:t>
      </w:r>
      <w:bookmarkEnd w:id="9"/>
    </w:p>
    <w:p w14:paraId="31C7167E">
      <w:pPr>
        <w:spacing w:line="440" w:lineRule="exact"/>
        <w:ind w:firstLineChars="200"/>
        <w:jc w:val="both"/>
      </w:pPr>
      <w:r>
        <w:t>传统峰均比抑制方法大体可以分为信号失真类和无失真类。失真类方法如限幅滤波、压扩等实现简单、复杂度低，但会引入带内畸变和带外辐射。无失真类方法如编码、SLM、PTS 等能够在不破坏子载波正交性的前提下降低峰值，但往往以较高的候选搜索复杂度、边信息传输开销或存储成本为代价。其中，SLM 由于结构灵活且不需要对子块进行最优组合搜索，在综合性能上具有较好的平衡。</w:t>
      </w:r>
    </w:p>
    <w:p w14:paraId="3DB6A60F">
      <w:pPr>
        <w:pStyle w:val="4"/>
        <w:spacing w:before="0" w:after="0"/>
        <w:rPr>
          <w:rFonts w:ascii="Times New Roman" w:hAnsi="Times New Roman" w:eastAsia="黑体"/>
          <w:b w:val="0"/>
          <w:bCs w:val="0"/>
        </w:rPr>
      </w:pPr>
      <w:bookmarkStart w:id="10" w:name="_Toc232847590"/>
      <w:r>
        <w:rPr>
          <w:bCs w:val="0"/>
        </w:rPr>
        <w:t>2.5 传统SLM算法原理</w:t>
      </w:r>
      <w:bookmarkEnd w:id="10"/>
    </w:p>
    <w:p w14:paraId="230D4F77">
      <w:pPr>
        <w:spacing w:line="440" w:lineRule="exact"/>
        <w:ind w:firstLineChars="200"/>
        <w:jc w:val="both"/>
      </w:pPr>
      <w:r>
        <w:t>传统 SLM 的基本流程为：先将频域数据块 X 与 U 组不同的相位旋转序列逐一相乘，得到 U 组候选频域符号；再分别执行 IFFT 变换得到 U 个候选时域 OFDM 信号；最后计算每个候选信号的 PAPR 并选择最小者发送。该方法本质上利用不同相位旋转改变时域样值叠加关系，通过候选多样性提高获得低峰值波形的概率。若接收端知道所选候选对应的序号，即可恢复原始数据，因此 SLM 不引入失真，但需要传输边信息。</w:t>
      </w:r>
    </w:p>
    <w:p w14:paraId="50AE3CAE">
      <w:pPr>
        <w:pStyle w:val="4"/>
        <w:spacing w:before="0" w:after="0"/>
        <w:rPr>
          <w:rFonts w:ascii="Times New Roman" w:hAnsi="Times New Roman" w:eastAsia="黑体"/>
          <w:b w:val="0"/>
          <w:bCs w:val="0"/>
        </w:rPr>
      </w:pPr>
      <w:bookmarkStart w:id="11" w:name="_Toc232847591"/>
      <w:r>
        <w:rPr>
          <w:bCs w:val="0"/>
        </w:rPr>
        <w:t>2.6 复杂度问题分析</w:t>
      </w:r>
      <w:bookmarkEnd w:id="11"/>
    </w:p>
    <w:p w14:paraId="475ABEBF">
      <w:pPr>
        <w:spacing w:line="440" w:lineRule="exact"/>
        <w:ind w:firstLineChars="200"/>
        <w:jc w:val="both"/>
      </w:pPr>
      <w:r>
        <w:t>尽管传统 SLM 能取得较好的峰均比抑制效果，但其性能提升高度依赖候选序列数 U，而复杂度也近似与 U 线性增长。对每个候选序列执行一次 N 点 IFFT 不仅带来较多复乘和复加运算，也会增加硬件并行处理压力。由此可见，在保证性能前提下降低候选生成的计算代价，是 SLM 研究持续受到关注的重要原因。</w:t>
      </w:r>
    </w:p>
    <w:p w14:paraId="7F546F90">
      <w:pPr>
        <w:pStyle w:val="3"/>
        <w:keepNext/>
        <w:keepLines/>
        <w:pageBreakBefore/>
        <w:widowControl/>
        <w:kinsoku/>
        <w:wordWrap/>
        <w:overflowPunct/>
        <w:topLinePunct w:val="0"/>
        <w:autoSpaceDE/>
        <w:autoSpaceDN/>
        <w:bidi w:val="0"/>
        <w:adjustRightInd/>
        <w:snapToGrid/>
        <w:spacing w:before="0" w:after="0" w:line="440" w:lineRule="exact"/>
        <w:textAlignment w:val="auto"/>
        <w:rPr>
          <w:sz w:val="30"/>
          <w:szCs w:val="30"/>
        </w:rPr>
      </w:pPr>
      <w:bookmarkStart w:id="12" w:name="_Toc232847592"/>
      <w:r>
        <w:rPr>
          <w:bCs w:val="0"/>
          <w:szCs w:val="30"/>
        </w:rPr>
        <w:t>第三章 低复杂度SLM算法原理</w:t>
      </w:r>
      <w:bookmarkEnd w:id="12"/>
    </w:p>
    <w:p w14:paraId="6548E0C5">
      <w:pPr>
        <w:pStyle w:val="4"/>
        <w:spacing w:before="0" w:after="0"/>
      </w:pPr>
      <w:bookmarkStart w:id="13" w:name="_Toc232847593"/>
      <w:r>
        <w:rPr>
          <w:bCs w:val="0"/>
        </w:rPr>
        <w:t>3.1 结构共享思想</w:t>
      </w:r>
      <w:bookmarkEnd w:id="13"/>
    </w:p>
    <w:p w14:paraId="37E3D057">
      <w:pPr>
        <w:spacing w:line="440" w:lineRule="exact"/>
        <w:ind w:firstLineChars="200"/>
        <w:jc w:val="both"/>
      </w:pPr>
      <w:r>
        <w:t>Kim 等人提出的方法立足于 IFFT 信号流图的结构特性。对于 N 点 IFFT，若将其分解为若干级蝶形运算，则在中间某一级可以得到 M 条长度为 N/M 的子序列。传统方法会为每个候选序列重新执行完整 IFFT，而文献中的核心思路是：不再对所有候选重复整套蝶形运算，而是在中间级输出的基础上，对不同子序列分别施加循环移位，再经过后续较少级数的蝶形运算生成新的候选 OFDM 信号。</w:t>
      </w:r>
    </w:p>
    <w:p w14:paraId="39BC6D3A">
      <w:pPr>
        <w:pStyle w:val="4"/>
        <w:spacing w:before="0" w:after="0"/>
        <w:rPr>
          <w:rFonts w:ascii="Times New Roman" w:hAnsi="Times New Roman" w:eastAsia="黑体"/>
          <w:b w:val="0"/>
          <w:bCs w:val="0"/>
        </w:rPr>
      </w:pPr>
      <w:bookmarkStart w:id="14" w:name="_Toc232847594"/>
      <w:r>
        <w:rPr>
          <w:bCs w:val="0"/>
        </w:rPr>
        <w:t>3.2 循环移位与候选生成</w:t>
      </w:r>
      <w:bookmarkEnd w:id="14"/>
    </w:p>
    <w:p w14:paraId="0CB718D3">
      <w:pPr>
        <w:spacing w:line="440" w:lineRule="exact"/>
        <w:ind w:firstLineChars="200"/>
        <w:jc w:val="both"/>
      </w:pPr>
      <w:r>
        <w:t>设第 u 个候选序列在第 m 条子序列上采用循环移位量 a_m^u，则不同子序列的移位组合会在时域形成不同的候选波形。由于循环移位可以等效为频域上的特定相位旋转，因此该方法从数学本质上仍属于 SLM 范畴，只是候选生成方式从“每次重新做完整 IFFT”转变为“共享前级运算并在中间序列层面进行移位重组”。这种结构共享显著减少了复杂乘法次数与 IFFT 级联运算开销。</w:t>
      </w:r>
    </w:p>
    <w:p w14:paraId="67400674">
      <w:pPr>
        <w:pStyle w:val="4"/>
        <w:spacing w:before="0" w:after="0"/>
        <w:rPr>
          <w:rFonts w:ascii="Times New Roman" w:hAnsi="Times New Roman" w:eastAsia="黑体"/>
          <w:b w:val="0"/>
          <w:bCs w:val="0"/>
        </w:rPr>
      </w:pPr>
      <w:bookmarkStart w:id="15" w:name="_Toc232847595"/>
      <w:r>
        <w:rPr>
          <w:bCs w:val="0"/>
        </w:rPr>
        <w:t>3.3 等效相位序列关系</w:t>
      </w:r>
      <w:bookmarkEnd w:id="15"/>
    </w:p>
    <w:p w14:paraId="1E448C00">
      <w:pPr>
        <w:spacing w:line="440" w:lineRule="exact"/>
        <w:ind w:firstLineChars="200"/>
        <w:jc w:val="both"/>
      </w:pPr>
      <w:r>
        <w:t>文献进一步给出了循环移位与等效相位序列之间的关系。若第 l 组频域样本对应的中间子序列采用移位量 a_m^u，则在频域可构造出等效相位旋转向量 P^u(k)。换言之，使用循环移位法生成的候选信号，等价于对原始符号块乘以一组具有特殊结构的相位序列后再执行 IFFT。该结论说明： proposed 方法不仅保留了 SLM 的无失真优势，还为后续软件复现提供了两种实现路径，即中间级移位实现路径和等效相位序列实现路径。</w:t>
      </w:r>
    </w:p>
    <w:p w14:paraId="46BB9924">
      <w:pPr>
        <w:pStyle w:val="4"/>
        <w:spacing w:before="0" w:after="0"/>
        <w:rPr>
          <w:rFonts w:ascii="Times New Roman" w:hAnsi="Times New Roman" w:eastAsia="黑体"/>
          <w:b w:val="0"/>
          <w:bCs w:val="0"/>
        </w:rPr>
      </w:pPr>
      <w:bookmarkStart w:id="16" w:name="_Toc232847596"/>
      <w:r>
        <w:rPr>
          <w:bCs w:val="0"/>
        </w:rPr>
        <w:t>3.4 MATLAB实现路径</w:t>
      </w:r>
      <w:bookmarkEnd w:id="16"/>
    </w:p>
    <w:p w14:paraId="25EEDC50">
      <w:pPr>
        <w:spacing w:line="440" w:lineRule="exact"/>
        <w:ind w:firstLineChars="200"/>
        <w:jc w:val="both"/>
      </w:pPr>
      <w:r>
        <w:t>本文 MATLAB 复现采用等效相位序列方式实现。一方面，这种方式编程更直接，便于与传统 SLM 进行公平对比；另一方面，也能较清晰地呈现文献“循环移位候选 = 特定相位旋转候选”的理论关系。具体实现时，先按子序列编号为不同分组分配循环移位量，再根据 IFFT 级联结构推导出各频域子载波对应的相位旋转因子，最终用 X(k)·P^u(k) 构成第 u 个候选输入。</w:t>
      </w:r>
    </w:p>
    <w:p w14:paraId="5786A18F">
      <w:pPr>
        <w:pStyle w:val="4"/>
        <w:spacing w:before="0" w:after="0"/>
        <w:rPr>
          <w:rFonts w:ascii="Times New Roman" w:hAnsi="Times New Roman" w:eastAsia="黑体"/>
          <w:b w:val="0"/>
          <w:bCs w:val="0"/>
        </w:rPr>
      </w:pPr>
      <w:bookmarkStart w:id="17" w:name="_Toc232847597"/>
      <w:r>
        <w:rPr>
          <w:bCs w:val="0"/>
        </w:rPr>
        <w:t>3.5 复杂度优势与代价</w:t>
      </w:r>
      <w:bookmarkEnd w:id="17"/>
    </w:p>
    <w:p w14:paraId="62F0C323">
      <w:pPr>
        <w:spacing w:line="440" w:lineRule="exact"/>
        <w:ind w:firstLineChars="200"/>
        <w:jc w:val="both"/>
      </w:pPr>
      <w:r>
        <w:t>与传统 SLM 相比，低复杂度循环移位方案的优势主要体现在复杂度方面。传统 SLM 若要生成 U 个候选波形，需要执行 U 次 N 点 IFFT。改进方案则只需共享前级运算，并在中间级之后做较少级数的处理，或者直接通过结构化相位向量近似等效实现，从而减少整体乘加数量。对于较大的候选数 U 和较高的子载波数 N，这种复杂度差异会更加明显，因此该思路特别适合对硬件资源和处理时延较敏感的通信场景。当然，文献方法也并非没有代价。循环移位量的设计会影响候选间的独立性，如果设计不合理，不同候选波形之间可能存在较强相关性，从而削弱 PAPR 抑制效果。因此，在复现过程中，除了比较传统 SLM 与改进算法在同一 U 下的 CCDF 曲线外，还需要分析候选数、子序列划分方式、循环移位规则对结果的影响。本文后续仿真将重点围绕这一点展开。从工程角度看，该方法的研究价值在于其体现了通信算法设计中常见的“性能-复杂度折中”思想。毕业设计不应只关注曲线是否下降，更应关注这种下降是以怎样的计算代价获得的，以及在终端芯片、基带处理器或 FPGA/ASIC 实现时是否具备可扩展性。基于此，本文在复现结果分析中将同时给出 PAPR 改善趋势与复杂度层面的定性讨论。</w:t>
      </w:r>
    </w:p>
    <w:p w14:paraId="497B0DE6">
      <w:pPr>
        <w:pStyle w:val="3"/>
        <w:pageBreakBefore/>
        <w:spacing w:before="0" w:after="0"/>
      </w:pPr>
      <w:bookmarkStart w:id="18" w:name="_Toc232847598"/>
      <w:r>
        <w:rPr>
          <w:bCs w:val="0"/>
        </w:rPr>
        <w:t>第四章 MATLAB复现设计与实现</w:t>
      </w:r>
      <w:bookmarkEnd w:id="18"/>
    </w:p>
    <w:p w14:paraId="10D117E2">
      <w:pPr>
        <w:pStyle w:val="4"/>
        <w:spacing w:before="0" w:after="0"/>
      </w:pPr>
      <w:bookmarkStart w:id="19" w:name="_Toc232847599"/>
      <w:r>
        <w:rPr>
          <w:bCs w:val="0"/>
        </w:rPr>
        <w:t>4.1 仿真参数设置</w:t>
      </w:r>
      <w:bookmarkEnd w:id="19"/>
    </w:p>
    <w:p w14:paraId="408DFF16">
      <w:pPr>
        <w:spacing w:line="440" w:lineRule="exact"/>
        <w:ind w:firstLineChars="200"/>
        <w:jc w:val="both"/>
      </w:pPr>
      <w:r>
        <w:t>本章按照文献的实验思路建立 MATLAB 仿真平台。仿真对象为基带 OFDM 系统，采用 N=256 个子载波、QPSK 调制、4 倍过采样，候选序列数 U 分别取 1、2、4、8、16。考虑到 PAPR 统计结果需要足够多的数据块支撑，本文共生成 20000 个独立 OFDM 符号用于蒙特卡罗统计，以保证 CCDF 曲线具有较好的平滑性与可信度。</w:t>
      </w:r>
    </w:p>
    <w:p w14:paraId="227FBB7F">
      <w:pPr>
        <w:spacing w:line="240" w:lineRule="auto"/>
        <w:jc w:val="center"/>
      </w:pPr>
      <w:r>
        <w:rPr>
          <w:sz w:val="21"/>
        </w:rPr>
        <w:t>表1 MATLAB复现主要参数</w:t>
      </w:r>
    </w:p>
    <w:p w14:paraId="1948BC13">
      <w:pPr>
        <w:spacing w:line="240" w:lineRule="auto"/>
        <w:jc w:val="center"/>
      </w:pPr>
      <w:r>
        <w:rPr>
          <w:rFonts w:eastAsia="Times New Roman"/>
          <w:sz w:val="21"/>
        </w:rPr>
        <w:t>Table 1 Main parameters of MATLAB reproduction</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7"/>
        <w:gridCol w:w="4677"/>
      </w:tblGrid>
      <w:tr w14:paraId="15BF37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663DC94">
            <w:pPr>
              <w:spacing w:line="240" w:lineRule="auto"/>
              <w:jc w:val="center"/>
            </w:pPr>
            <w:r>
              <w:rPr>
                <w:rFonts w:ascii="宋体" w:hAnsi="宋体" w:eastAsia="宋体"/>
                <w:sz w:val="28"/>
              </w:rPr>
              <w:t>参数名称</w:t>
            </w:r>
          </w:p>
        </w:tc>
        <w:tc>
          <w:tcPr>
            <w:tcW w:w="4677" w:type="dxa"/>
            <w:vAlign w:val="center"/>
          </w:tcPr>
          <w:p w14:paraId="1011CBAC">
            <w:pPr>
              <w:spacing w:line="240" w:lineRule="auto"/>
              <w:jc w:val="center"/>
            </w:pPr>
            <w:r>
              <w:rPr>
                <w:rFonts w:ascii="宋体" w:hAnsi="宋体" w:eastAsia="宋体"/>
                <w:sz w:val="28"/>
              </w:rPr>
              <w:t>取值</w:t>
            </w:r>
          </w:p>
        </w:tc>
      </w:tr>
      <w:tr w14:paraId="73FF25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63D0C8D9">
            <w:pPr>
              <w:spacing w:line="240" w:lineRule="auto"/>
              <w:jc w:val="center"/>
            </w:pPr>
            <w:r>
              <w:rPr>
                <w:rFonts w:ascii="宋体" w:hAnsi="宋体" w:eastAsia="宋体"/>
                <w:sz w:val="28"/>
              </w:rPr>
              <w:t>子载波数 N</w:t>
            </w:r>
          </w:p>
        </w:tc>
        <w:tc>
          <w:tcPr>
            <w:tcW w:w="4677" w:type="dxa"/>
            <w:vAlign w:val="center"/>
          </w:tcPr>
          <w:p w14:paraId="5BB6198D">
            <w:pPr>
              <w:spacing w:line="240" w:lineRule="auto"/>
              <w:jc w:val="center"/>
            </w:pPr>
            <w:r>
              <w:rPr>
                <w:rFonts w:ascii="宋体" w:hAnsi="宋体" w:eastAsia="宋体"/>
                <w:sz w:val="28"/>
              </w:rPr>
              <w:t>256</w:t>
            </w:r>
          </w:p>
        </w:tc>
      </w:tr>
      <w:tr w14:paraId="0E75D5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E51025F">
            <w:pPr>
              <w:spacing w:line="240" w:lineRule="auto"/>
              <w:jc w:val="center"/>
            </w:pPr>
            <w:r>
              <w:rPr>
                <w:rFonts w:ascii="宋体" w:hAnsi="宋体" w:eastAsia="宋体"/>
                <w:sz w:val="28"/>
              </w:rPr>
              <w:t>调制方式</w:t>
            </w:r>
          </w:p>
        </w:tc>
        <w:tc>
          <w:tcPr>
            <w:tcW w:w="4677" w:type="dxa"/>
            <w:vAlign w:val="center"/>
          </w:tcPr>
          <w:p w14:paraId="24D4B022">
            <w:pPr>
              <w:spacing w:line="240" w:lineRule="auto"/>
              <w:jc w:val="center"/>
            </w:pPr>
            <w:r>
              <w:rPr>
                <w:rFonts w:ascii="宋体" w:hAnsi="宋体" w:eastAsia="宋体"/>
                <w:sz w:val="28"/>
              </w:rPr>
              <w:t>QPSK</w:t>
            </w:r>
          </w:p>
        </w:tc>
      </w:tr>
      <w:tr w14:paraId="57FCDD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599EB88D">
            <w:pPr>
              <w:spacing w:line="240" w:lineRule="auto"/>
              <w:jc w:val="center"/>
            </w:pPr>
            <w:r>
              <w:rPr>
                <w:rFonts w:ascii="宋体" w:hAnsi="宋体" w:eastAsia="宋体"/>
                <w:sz w:val="28"/>
              </w:rPr>
              <w:t>过采样倍数</w:t>
            </w:r>
          </w:p>
        </w:tc>
        <w:tc>
          <w:tcPr>
            <w:tcW w:w="4677" w:type="dxa"/>
            <w:vAlign w:val="center"/>
          </w:tcPr>
          <w:p w14:paraId="391AE62B">
            <w:pPr>
              <w:spacing w:line="240" w:lineRule="auto"/>
              <w:jc w:val="center"/>
            </w:pPr>
            <w:r>
              <w:rPr>
                <w:rFonts w:ascii="宋体" w:hAnsi="宋体" w:eastAsia="宋体"/>
                <w:sz w:val="28"/>
              </w:rPr>
              <w:t>4</w:t>
            </w:r>
          </w:p>
        </w:tc>
      </w:tr>
      <w:tr w14:paraId="0E5C95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ACA8E8F">
            <w:pPr>
              <w:spacing w:line="240" w:lineRule="auto"/>
              <w:jc w:val="center"/>
            </w:pPr>
            <w:r>
              <w:rPr>
                <w:rFonts w:ascii="宋体" w:hAnsi="宋体" w:eastAsia="宋体"/>
                <w:sz w:val="28"/>
              </w:rPr>
              <w:t>子序列数 M</w:t>
            </w:r>
          </w:p>
        </w:tc>
        <w:tc>
          <w:tcPr>
            <w:tcW w:w="4677" w:type="dxa"/>
            <w:vAlign w:val="center"/>
          </w:tcPr>
          <w:p w14:paraId="67CBBE9E">
            <w:pPr>
              <w:spacing w:line="240" w:lineRule="auto"/>
              <w:jc w:val="center"/>
            </w:pPr>
            <w:r>
              <w:rPr>
                <w:rFonts w:ascii="宋体" w:hAnsi="宋体" w:eastAsia="宋体"/>
                <w:sz w:val="28"/>
              </w:rPr>
              <w:t>4</w:t>
            </w:r>
          </w:p>
        </w:tc>
      </w:tr>
      <w:tr w14:paraId="2CE2AD1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10EDBFF6">
            <w:pPr>
              <w:spacing w:line="240" w:lineRule="auto"/>
              <w:jc w:val="center"/>
            </w:pPr>
            <w:r>
              <w:rPr>
                <w:rFonts w:ascii="宋体" w:hAnsi="宋体" w:eastAsia="宋体"/>
                <w:sz w:val="28"/>
              </w:rPr>
              <w:t>候选数 U</w:t>
            </w:r>
          </w:p>
        </w:tc>
        <w:tc>
          <w:tcPr>
            <w:tcW w:w="4677" w:type="dxa"/>
            <w:vAlign w:val="center"/>
          </w:tcPr>
          <w:p w14:paraId="0BEA0C33">
            <w:pPr>
              <w:spacing w:line="240" w:lineRule="auto"/>
              <w:jc w:val="center"/>
            </w:pPr>
            <w:r>
              <w:rPr>
                <w:rFonts w:ascii="宋体" w:hAnsi="宋体" w:eastAsia="宋体"/>
                <w:sz w:val="28"/>
              </w:rPr>
              <w:t>1、2、4、8、16</w:t>
            </w:r>
          </w:p>
        </w:tc>
      </w:tr>
      <w:tr w14:paraId="0CA1B4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7" w:type="dxa"/>
            <w:vAlign w:val="center"/>
          </w:tcPr>
          <w:p w14:paraId="0F17E7F0">
            <w:pPr>
              <w:spacing w:line="240" w:lineRule="auto"/>
              <w:jc w:val="center"/>
            </w:pPr>
            <w:r>
              <w:rPr>
                <w:rFonts w:ascii="宋体" w:hAnsi="宋体" w:eastAsia="宋体"/>
                <w:sz w:val="28"/>
              </w:rPr>
              <w:t>统计 OFDM 符号数</w:t>
            </w:r>
          </w:p>
        </w:tc>
        <w:tc>
          <w:tcPr>
            <w:tcW w:w="4677" w:type="dxa"/>
            <w:vAlign w:val="center"/>
          </w:tcPr>
          <w:p w14:paraId="232990B8">
            <w:pPr>
              <w:spacing w:line="240" w:lineRule="auto"/>
              <w:jc w:val="center"/>
            </w:pPr>
            <w:r>
              <w:rPr>
                <w:rFonts w:ascii="宋体" w:hAnsi="宋体" w:eastAsia="宋体"/>
                <w:sz w:val="28"/>
              </w:rPr>
              <w:t>20000</w:t>
            </w:r>
          </w:p>
        </w:tc>
      </w:tr>
    </w:tbl>
    <w:p w14:paraId="32A84491">
      <w:pPr>
        <w:pStyle w:val="4"/>
        <w:spacing w:before="0" w:after="0"/>
      </w:pPr>
      <w:bookmarkStart w:id="20" w:name="_Toc232847600"/>
      <w:r>
        <w:rPr>
          <w:bCs w:val="0"/>
        </w:rPr>
        <w:t>4.2 程序模块构成</w:t>
      </w:r>
      <w:bookmarkEnd w:id="20"/>
    </w:p>
    <w:p w14:paraId="7C5B4A89">
      <w:pPr>
        <w:spacing w:line="440" w:lineRule="exact"/>
        <w:ind w:firstLineChars="200"/>
        <w:jc w:val="both"/>
      </w:pPr>
      <w:r>
        <w:t>仿真程序主要由五个模块构成。第一，随机符号生成模块，利用 randi 产生离散比特，再经 pskmod 映射为 QPSK 复符号。第二，原始 OFDM 信号生成模块，通过频域零填充实现 4 倍过采样，再执行 IFFT 得到时域波形。第三，传统 SLM 模块，为每个候选序列独立生成随机相位旋转向量，相位集合取 {1, -1, j, -j}，并对每个候选求取 PAPR 后保留最小值。第四，低复杂度 SLM 模块，根据循环移位规则构造等效相位旋转向量，再生成候选时域信号。第五，统计绘图模块，对各组 PAPR 样本估计 CCDF，并输出对比曲线和性能增益图。</w:t>
      </w:r>
    </w:p>
    <w:p w14:paraId="55475E22">
      <w:pPr>
        <w:pStyle w:val="4"/>
        <w:spacing w:before="0" w:after="0"/>
        <w:rPr>
          <w:rFonts w:ascii="Times New Roman" w:hAnsi="Times New Roman" w:eastAsia="黑体"/>
          <w:b w:val="0"/>
          <w:bCs w:val="0"/>
        </w:rPr>
      </w:pPr>
      <w:bookmarkStart w:id="21" w:name="_Toc232847601"/>
      <w:r>
        <w:rPr>
          <w:bCs w:val="0"/>
        </w:rPr>
        <w:t>4.3 关键实现细节</w:t>
      </w:r>
      <w:bookmarkEnd w:id="21"/>
    </w:p>
    <w:p w14:paraId="2DF31BA4">
      <w:pPr>
        <w:spacing w:line="440" w:lineRule="exact"/>
        <w:ind w:firstLineChars="200"/>
        <w:jc w:val="both"/>
      </w:pPr>
      <w:r>
        <w:t>在实现细节上，PAPR 的计算采用单符号瞬时峰值功率与平均功率之比。由于 MATLAB 的 ifft 默认带有 1/N 归一化系数，而 PAPR 是比值指标，因此该系数不会影响最终结果。过采样实现方面，本文使用频域插零法，以避免仅基于 Nyquist 采样点低估真实峰值。该处理与文献和相关经典文献的仿真习惯保持一致。对于 proposed 算法，本文没有在 IFFT 流图中逐级手工搭建蝶形网络，而是使用文献给出的等效思想：先为不同子序列分配循环移位量，再根据子载波编号推导出等效相位因子。这样既保证了代码清晰，也保留了算法的结构特征。为提高可重复性，程序中固定随机数种子，使每次运行得到一致的统计结果，方便毕业设计报告中引用图表。</w:t>
      </w:r>
    </w:p>
    <w:p w14:paraId="62781B86">
      <w:pPr>
        <w:pStyle w:val="4"/>
        <w:spacing w:before="0" w:after="0"/>
      </w:pPr>
      <w:bookmarkStart w:id="22" w:name="_Toc232847602"/>
      <w:r>
        <w:rPr>
          <w:bCs w:val="0"/>
        </w:rPr>
        <w:t>4.4 数据输出与可重复性</w:t>
      </w:r>
      <w:bookmarkEnd w:id="22"/>
    </w:p>
    <w:p w14:paraId="34C4BF51">
      <w:pPr>
        <w:spacing w:line="440" w:lineRule="exact"/>
        <w:ind w:firstLineChars="200"/>
        <w:jc w:val="both"/>
      </w:pPr>
      <w:r>
        <w:t>为了便于后续写作与归档，仿真结果被自动保存为 MAT 数据文件、PNG 图片以及文本摘要文件。图像文件包括 CCDF 总体对比图和随候选数变化的 PAPR 增益图，数据文件则保留所有门限下的统计概率值与原始样本，可供后续补图或扩展分析使用。这种“代码-数据-图片-文档”一体化输出方式符合工程化研究的基本规范，也能降低最终排版阶段的重复劳动。从复现工作量上看，该实验难度适中。它既不像复杂信道估计、联合检测或深度学习通信系统那样需要大量训练和参数搜索，也不至于简单到缺乏论文展开空间。通过系统建模、候选生成、统计分析和复杂度讨论，已经能够形成一套完整的通信仿真实验链条，这也是本文最终选定该方向的重要原因。</w:t>
      </w:r>
    </w:p>
    <w:p w14:paraId="7AEC65E2">
      <w:pPr>
        <w:pStyle w:val="3"/>
        <w:pageBreakBefore/>
        <w:spacing w:before="0" w:after="0"/>
      </w:pPr>
      <w:bookmarkStart w:id="23" w:name="_Toc232847603"/>
      <w:r>
        <w:rPr>
          <w:bCs w:val="0"/>
        </w:rPr>
        <w:t>第五章 仿真结果与分析</w:t>
      </w:r>
      <w:bookmarkEnd w:id="23"/>
    </w:p>
    <w:p w14:paraId="5A0D78AD">
      <w:pPr>
        <w:pStyle w:val="4"/>
        <w:spacing w:before="0" w:after="0"/>
        <w:rPr>
          <w:rFonts w:ascii="Times New Roman" w:hAnsi="Times New Roman" w:eastAsia="黑体"/>
          <w:b w:val="0"/>
          <w:bCs w:val="0"/>
        </w:rPr>
      </w:pPr>
      <w:bookmarkStart w:id="24" w:name="_Toc232847604"/>
      <w:r>
        <w:rPr>
          <w:bCs w:val="0"/>
        </w:rPr>
        <w:t>5.1 CCDF总体结果分析</w:t>
      </w:r>
      <w:bookmarkEnd w:id="24"/>
    </w:p>
    <w:p w14:paraId="51DB5C23">
      <w:pPr>
        <w:spacing w:line="440" w:lineRule="exact"/>
        <w:ind w:firstLineChars="200"/>
        <w:jc w:val="both"/>
      </w:pPr>
      <w:r>
        <w:t>从生成的 CCDF 曲线可以看出，随着候选序列数 U 的增加，传统 SLM 与低复杂度 SLM 的 PAPR 性能都呈现持续改善的趋势。这符合 SLM 的基本原理，即候选越多，越容易在多个随机相位组合中找到峰值更低的时域波形。原始 OFDM 在相同门限下的超限概率最高，而 U=16 时两种 SLM 方案的曲线都明显向左移动，说明峰均比得到有效抑制。在相同 U 下，本文复现得到的低复杂度 SLM 曲线与传统 SLM 曲线整体接近，某些门限区间略有性能损失，但差距并不大。这表明采用结构化循环移位构造候选序列，虽然会牺牲部分候选独立性，却仍能保持较好的峰值抑制能力。对于工程实现而言，这种小幅性能损失若能换来明显复杂度下降，通常是可以接受的。</w:t>
      </w:r>
    </w:p>
    <w:p w14:paraId="676A9C01">
      <w:pPr>
        <w:jc w:val="center"/>
      </w:pPr>
      <w:r>
        <w:drawing>
          <wp:inline distT="0" distB="0" distL="0" distR="0">
            <wp:extent cx="5579745" cy="416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580000" cy="4169314"/>
                    </a:xfrm>
                    <a:prstGeom prst="rect">
                      <a:avLst/>
                    </a:prstGeom>
                  </pic:spPr>
                </pic:pic>
              </a:graphicData>
            </a:graphic>
          </wp:inline>
        </w:drawing>
      </w:r>
    </w:p>
    <w:p w14:paraId="7FEFC4C6">
      <w:pPr>
        <w:spacing w:line="240" w:lineRule="auto"/>
        <w:jc w:val="center"/>
      </w:pPr>
      <w:r>
        <w:rPr>
          <w:sz w:val="21"/>
        </w:rPr>
        <w:t>图1 不同候选数下三类方案的CCDF对比曲线</w:t>
      </w:r>
    </w:p>
    <w:p w14:paraId="2C5CEE25">
      <w:pPr>
        <w:spacing w:line="240" w:lineRule="auto"/>
        <w:jc w:val="center"/>
      </w:pPr>
      <w:r>
        <w:rPr>
          <w:rFonts w:eastAsia="Times New Roman"/>
          <w:sz w:val="21"/>
        </w:rPr>
        <w:t>Fig.1 CCDF comparison of three schemes under different candidate numbers</w:t>
      </w:r>
    </w:p>
    <w:p w14:paraId="0428D1FE">
      <w:pPr>
        <w:spacing w:line="440" w:lineRule="exact"/>
        <w:ind w:firstLineChars="200"/>
        <w:jc w:val="both"/>
      </w:pPr>
      <w:r>
        <w:t>由图 5.1 可以直观看出，低复杂度 SLM 的 CCDF 曲线整体位于原始 OFDM 曲线左侧，并且在大多数门限处与传统 SLM 保持接近，验证了本文复现实现与理论预期一致。</w:t>
      </w:r>
    </w:p>
    <w:p w14:paraId="2D0CBADE">
      <w:pPr>
        <w:pStyle w:val="4"/>
        <w:spacing w:before="0" w:after="0"/>
      </w:pPr>
      <w:bookmarkStart w:id="25" w:name="_Toc232847605"/>
      <w:r>
        <w:rPr>
          <w:bCs w:val="0"/>
        </w:rPr>
        <w:t>5.2 PAPR增益对比分析</w:t>
      </w:r>
      <w:bookmarkEnd w:id="25"/>
    </w:p>
    <w:p w14:paraId="5C6995F6">
      <w:pPr>
        <w:spacing w:line="440" w:lineRule="exact"/>
        <w:ind w:firstLineChars="200"/>
        <w:jc w:val="both"/>
      </w:pPr>
      <w:r>
        <w:t>以 CCDF=10^-2 处作为比较基准，仿真结果显示：当 U 从 2 增加到 16 时，两类方法相对原始 OFDM 的 PAPR 改善量均逐步提升。其中传统 SLM 的改善幅度略优，而 proposed 方法在候选数增加后的收益增长更加平稳。说明循环移位策略虽然简化了候选生成，但没有破坏 SLM“多候选择优”的基本增益机制。造成两类曲线差异的原因主要有两点。第一，传统 SLM 通常采用更接近独立随机的相位序列，其候选之间相关性较低，理论上更容易产生极端低峰值波形。第二，低复杂度方案的候选由有限的子序列循环移位组合得到，等效相位结构具有约束性，因此候选多样性略弱。不过该约束正是复杂度下降的来源，说明性能与计算量之间客观存在折中。</w:t>
      </w:r>
    </w:p>
    <w:p w14:paraId="59AAEADD">
      <w:pPr>
        <w:jc w:val="center"/>
      </w:pPr>
      <w:r>
        <w:drawing>
          <wp:inline distT="0" distB="0" distL="0" distR="0">
            <wp:extent cx="5579745" cy="3749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580000" cy="3749248"/>
                    </a:xfrm>
                    <a:prstGeom prst="rect">
                      <a:avLst/>
                    </a:prstGeom>
                  </pic:spPr>
                </pic:pic>
              </a:graphicData>
            </a:graphic>
          </wp:inline>
        </w:drawing>
      </w:r>
    </w:p>
    <w:p w14:paraId="0D00FABA">
      <w:pPr>
        <w:spacing w:line="240" w:lineRule="auto"/>
        <w:jc w:val="center"/>
      </w:pPr>
      <w:r>
        <w:rPr>
          <w:sz w:val="21"/>
        </w:rPr>
        <w:t>图2 候选数变化对PAPR改善量的影响</w:t>
      </w:r>
    </w:p>
    <w:p w14:paraId="799F6E42">
      <w:pPr>
        <w:spacing w:line="240" w:lineRule="auto"/>
        <w:jc w:val="center"/>
      </w:pPr>
      <w:r>
        <w:rPr>
          <w:rFonts w:eastAsia="Times New Roman"/>
          <w:sz w:val="21"/>
        </w:rPr>
        <w:t>Fig.2 Influence of candidate number on PAPR reduction gain</w:t>
      </w:r>
    </w:p>
    <w:p w14:paraId="7455DF1F">
      <w:pPr>
        <w:spacing w:line="440" w:lineRule="exact"/>
        <w:ind w:firstLineChars="200"/>
        <w:jc w:val="both"/>
      </w:pPr>
      <w:r>
        <w:t>图 5.2 展示了在 CCDF 为 10^-2 位置处的 PAPR 改善趋势。随着候选数增加，改进方案与传统方案均表现出更大的增益，但低复杂度方案在复杂度更低的前提下保持了较平稳的性能提升。</w:t>
      </w:r>
    </w:p>
    <w:p w14:paraId="1D5D9FED">
      <w:pPr>
        <w:pStyle w:val="4"/>
        <w:spacing w:before="0" w:after="0"/>
        <w:rPr>
          <w:rFonts w:ascii="Times New Roman" w:hAnsi="Times New Roman" w:eastAsia="黑体"/>
          <w:b w:val="0"/>
          <w:bCs w:val="0"/>
        </w:rPr>
      </w:pPr>
      <w:bookmarkStart w:id="26" w:name="_Toc232847606"/>
      <w:r>
        <w:rPr>
          <w:bCs w:val="0"/>
        </w:rPr>
        <w:t>5.3 性能与复杂度折中</w:t>
      </w:r>
      <w:bookmarkEnd w:id="26"/>
    </w:p>
    <w:p w14:paraId="2BCCFDB9">
      <w:pPr>
        <w:keepNext w:val="0"/>
        <w:keepLines w:val="0"/>
        <w:pageBreakBefore w:val="0"/>
        <w:widowControl/>
        <w:kinsoku/>
        <w:wordWrap/>
        <w:overflowPunct/>
        <w:topLinePunct w:val="0"/>
        <w:autoSpaceDE/>
        <w:autoSpaceDN/>
        <w:bidi w:val="0"/>
        <w:adjustRightInd/>
        <w:snapToGrid/>
        <w:spacing w:line="360" w:lineRule="auto"/>
        <w:ind w:firstLineChars="200"/>
        <w:jc w:val="both"/>
        <w:textAlignment w:val="auto"/>
      </w:pPr>
      <w:r>
        <w:rPr>
          <w:rFonts w:hint="eastAsia" w:ascii="宋体" w:hAnsi="宋体" w:eastAsia="宋体" w:cs="宋体"/>
        </w:rPr>
        <w:t>从复杂度角度分析，传统 SLM 在每个候选上都要执行一次完整 IFFT，因此当 U 较大时，IFFT 运算成为最主要的开销。改进方案则通过共享部分 IFFT 结构或直接利用等效旋转关系，降低了候选生成代价。尤其在面向实时处理或硬件实现时，减少重复 IFFT 的收益远不止理论上的乘加次数下降，还包含访存、流水线深度和时延控制等系统层面的优势。总体来看，本文复现结果与文献结论在趋势上保持一致：低复杂度循环移位 SLM 能在较低实现复杂度下获得接近传统 SLM 的 PAPR 抑制性能。该结果验证了原文方法的合理性，也说明该文献适合作为本科通信类毕业设计中的算法复现实验对象。</w:t>
      </w:r>
    </w:p>
    <w:p w14:paraId="722E65A4">
      <w:pPr>
        <w:pStyle w:val="4"/>
        <w:spacing w:before="0" w:after="0"/>
      </w:pPr>
      <w:bookmarkStart w:id="27" w:name="_Toc232847607"/>
      <w:r>
        <w:rPr>
          <w:bCs w:val="0"/>
        </w:rPr>
        <w:t>5.4 参数影响与扩展讨论</w:t>
      </w:r>
      <w:bookmarkEnd w:id="27"/>
    </w:p>
    <w:p w14:paraId="78FE30B2">
      <w:pPr>
        <w:spacing w:line="440" w:lineRule="exact"/>
        <w:ind w:firstLineChars="200"/>
        <w:jc w:val="both"/>
        <w:rPr>
          <w:rFonts w:hint="eastAsia" w:ascii="宋体" w:hAnsi="宋体" w:eastAsia="宋体" w:cs="宋体"/>
        </w:rPr>
      </w:pPr>
      <w:r>
        <w:rPr>
          <w:rFonts w:hint="eastAsia" w:ascii="宋体" w:hAnsi="宋体" w:eastAsia="宋体" w:cs="宋体"/>
        </w:rPr>
        <w:t>仿真结果也说明，参数选择会影响最终性能。例如子序列划分数 M、循环移位量设计规则、相位集合形式以及调制方式都可能改变候选统计特性。本文主要复现文献的核心思想，因此参数设置保持相对简洁。若后续继续深化，可进一步尝试对循环移位集合进行优化设计，或引入边信息鲁棒编码，研究在复杂信道和功放非线性条件下的综合表现。</w:t>
      </w:r>
    </w:p>
    <w:p w14:paraId="4A9F2110">
      <w:pPr>
        <w:pStyle w:val="3"/>
        <w:pageBreakBefore/>
        <w:spacing w:before="0" w:after="0"/>
        <w:rPr>
          <w:rFonts w:hint="eastAsia" w:ascii="黑体" w:hAnsi="黑体" w:eastAsia="黑体" w:cs="黑体"/>
          <w:b w:val="0"/>
          <w:bCs w:val="0"/>
          <w:sz w:val="30"/>
        </w:rPr>
      </w:pPr>
      <w:bookmarkStart w:id="28" w:name="_Toc232847608"/>
      <w:r>
        <w:rPr>
          <w:bCs w:val="0"/>
        </w:rPr>
        <w:t>结  论</w:t>
      </w:r>
      <w:bookmarkEnd w:id="28"/>
    </w:p>
    <w:p w14:paraId="55C43B27">
      <w:pPr>
        <w:spacing w:line="440" w:lineRule="exact"/>
        <w:ind w:firstLineChars="200"/>
        <w:jc w:val="both"/>
        <w:rPr>
          <w:rFonts w:hint="eastAsia" w:ascii="宋体" w:hAnsi="宋体" w:cs="宋体"/>
          <w:lang w:eastAsia="zh-CN"/>
        </w:rPr>
      </w:pPr>
      <w:r>
        <w:rPr>
          <w:rFonts w:hint="eastAsia" w:ascii="宋体" w:hAnsi="宋体" w:eastAsia="宋体" w:cs="宋体"/>
        </w:rPr>
        <w:t>本文围绕 OFDM 系统的高峰均比问题，选择一篇真实英文文献作为复现对象，系统完成了理论梳理、算法分析、MATLAB 建模和结果验证。首先，本文总结了 OFDM 信号高 PAPR 的形成机理及其对功率放大器效率和系统线性度的不利影响；其次，对传统 SLM 的基本思想、优点和复杂度瓶颈进行了说明；然后，重点分析了文献中基于循环移位中间序列的低复杂度 SLM 方案，并据此建立了可复现的 MATLAB 仿真流程；最后，通过 CCDF 曲线与增益图验证了该方法能够在保持较好 PAPR 抑制性能的同时降低候选生成复杂度。从毕业设计完成情况看，本文已经较好实现了预定目标：一是完成了主文献的选取与内容消化，二是完成了 MATLAB 仿真代码编写和结果保存，三是形成了可用于答辩和归档的开题报告、正文及英文文献翻译等文档材料。整个过程体现了从文献阅读到模型抽象，再到软件实现和论文表达的完整科研训练路径。本文仍存在一定局限。由于时间和篇幅限制，仿真主要聚焦于无信道失真条件下的基带 PAPR 统计，尚未进一步考虑功率放大器非线性模型、边信息误检、误码率联动分析以及多天线 OFDM 场景。对于复杂度分析，本文也以定性讨论为主，未逐项展开硬件门级代价估算。这些内容都可以作为后续研究的扩展方向。未来工作可以从以下几个方面展开：第一，将低复杂度 SLM 与功放数字预失真、压扩或削峰滤波进行联合设计，研究综合抑制效果；第二，利用启发式搜索或轻量机器学习方法优化循环移位量与候选选择策略，提高在有限复杂度约束下的性能；第三，将算法拓展到 MIMO-OFDM、FBMC 或面向 6G 的新型多载波波形中，分析在更复杂系统架构下的适用性。总体而言，峰均比抑制仍是通信系统工程实现中具有持续研究价值的课题。</w:t>
      </w:r>
      <w:r>
        <w:rPr>
          <w:rFonts w:hint="eastAsia" w:ascii="宋体" w:hAnsi="宋体" w:cs="宋体"/>
          <w:lang w:eastAsia="zh-CN"/>
        </w:rPr>
        <w:t>、</w:t>
      </w:r>
    </w:p>
    <w:p w14:paraId="2B259238">
      <w:pPr>
        <w:jc w:val="both"/>
      </w:pPr>
      <w:r>
        <w:t>为了使正文内容更加完整，本文补充讨论边信息传输问题。SLM 类方法在接收端需要知道最终采用了哪一路候选序列，否则无法正确恢复发送数据。若边信息出错，即使发射端成功降低了 PAPR，接收端仍可能出现整块数据解调错误。因此，在实际系统中常常需要为边信息设计可靠传输机制，例如采用强纠错编码、差错检测与重传策略，或者研究无需边信息的盲检测方案。虽然本文复现重点在于 PAPR 曲线本身，但这一问题仍是评价 SLM 工程可用性时不可忽视的内容。</w:t>
      </w:r>
    </w:p>
    <w:p w14:paraId="5B673F6A">
      <w:pPr>
        <w:jc w:val="both"/>
      </w:pPr>
      <w:r>
        <w:t>本文还从社会与经济效益角度对课题进行了分析。随着绿色通信和低碳计算理念的推广，通信设备功耗问题受到越来越多关注。降低 OFDM 发射链路的峰值压力，有助于提升功放效率、减少散热需求和电池消耗。对于基站、接入点以及光接入网等需要长期运行的通信设备而言，即使功率效率只有有限提升，累计到大规模部署场景中也可能带来明显的节能收益。因此，围绕低复杂度 PAPR 抑制开展研究，不仅具有学术意义，也具有潜在的工程经济价值。</w:t>
      </w:r>
    </w:p>
    <w:p w14:paraId="22F8B3E1">
      <w:pPr>
        <w:jc w:val="both"/>
      </w:pPr>
      <w:r>
        <w:t>从本科毕业设计培养目标看，本课题覆盖了通信原理、数字信号处理、随机过程、MATLAB 编程和科技论文写作等多项能力训练。学生需要先理解 OFDM 子载波正交性与 IFFT 实现原理，再掌握峰值统计、CCDF 评估与候选优化思想，随后将理论转化为可执行代码，并最终以论文形式完成总结。这样的训练过程具有较强的综合性和实践性，能够较好体现通信类专业毕业设计的培养要求。</w:t>
      </w:r>
    </w:p>
    <w:p w14:paraId="3A198792">
      <w:pPr>
        <w:jc w:val="both"/>
      </w:pPr>
      <w:r>
        <w:t>在仿真平台搭建过程中，还需要注意实验可重复性问题。若随机数种子不固定，不同次运行的 CCDF 曲线可能存在细微波动，不利于后续论文截图和答辩展示。为此，本文在 MATLAB 中使用固定种子初始化随机数发生器，并统一保存 MAT 数据和 PNG 图像。这样既保证了结果可复核，也为后续重新绘图或补充更多参数组实验留下了便利。</w:t>
      </w:r>
    </w:p>
    <w:p w14:paraId="0072B4CC">
      <w:pPr>
        <w:jc w:val="both"/>
      </w:pPr>
      <w:r>
        <w:t>对于图表排版，本文遵循毕业论文常见规范：图题位于图下方且居中，表题位于表上方且居中，图表内部采用较小字号以保证页面层次清晰。考虑到学院格式要求中明确指出图和图题、表和表头不能分页，因此在自动生成 Word 文档时，本文尽量保持图题和图片、表题和表格相邻放置，并使用较为克制的页面布局，避免大块空白和尴尬的跨页断裂。</w:t>
      </w:r>
    </w:p>
    <w:p w14:paraId="4B8EB7E5">
      <w:pPr>
        <w:jc w:val="both"/>
      </w:pPr>
      <w:r>
        <w:t>如果进一步扩展本课题，还可以加入误码率分析。因为理想 SLM 本身不引入失真，在边信息正确恢复的前提下，其误码率理论上应与原始 OFDM 接近。但在存在功放非线性、边信息错误或接收端同步偏差的情况下，算法性能会体现出更复杂的耦合关系。将 PAPR 曲线、误码率曲线和功放效率曲线联合考察，会使研究结论更接近工程实际。</w:t>
      </w:r>
    </w:p>
    <w:p w14:paraId="3D31B877">
      <w:pPr>
        <w:jc w:val="both"/>
      </w:pPr>
      <w:r>
        <w:t>本文选择 QPSK 调制主要出于两点考虑。第一，QPSK 是经典且稳定的调制方式，便于将观察重点集中在 PAPR 统计本身；第二，文献复现实验通常优先采用基础调制阶数，以减少与调制方式相关的附加因素。若在后续工作中改用 16QAM、64QAM 等高阶调制，虽然候选抑制总体趋势不会改变，但各曲线的具体位置和统计分布会发生一定变化，需要重新进行系统比较。</w:t>
      </w:r>
    </w:p>
    <w:p w14:paraId="377E7E3B">
      <w:pPr>
        <w:jc w:val="both"/>
      </w:pPr>
      <w:r>
        <w:t>关于子载波数 N 的选择，N=256 兼顾了计算量与统计代表性。当 N 较小时，时域样值出现极端峰值的概率相对较低，PAPR 问题不够突出；当 N 进一步增大时，PAPR 通常会上升，且候选搜索价值更加明显。若在后续研究中将 N 扩展到 512 或 1024，可以更贴近部分宽带系统设置，但相应的仿真时间和数据存储开销也会增加。</w:t>
      </w:r>
    </w:p>
    <w:p w14:paraId="0ABD5E7A">
      <w:pPr>
        <w:jc w:val="both"/>
      </w:pPr>
      <w:r>
        <w:t>本文中 proposed 方案的 MATLAB 实现采用等效相位向量方式，而没有逐级写出 IFFT 蝶形结构。这种处理在复现中是合理的，因为文献已经证明循环移位与相位旋转之间的等效关系。对本科毕业设计而言，这种实现方式既能正确体现算法本质，又能控制代码复杂度，使更多精力集中在结果分析和论文表达上。不过若面向硬件设计课程或 FPGA 实验，则可以进一步按照 IFFT 流图实现中间级共享，以更贴近原文的结构优势。</w:t>
      </w:r>
    </w:p>
    <w:p w14:paraId="1DDE14E9">
      <w:pPr>
        <w:jc w:val="both"/>
      </w:pPr>
      <w:r>
        <w:t>从答辩准备角度看，本课题的展示逻辑也较为清晰：先解释 OFDM 为什么会有高 PAPR，再说明传统 SLM 如何通过候选选择降低峰值，随后指出其复杂度瓶颈，最后引出利用循环移位降低复杂度的改进思想。这样的叙述链条完整，便于在答辩中回答“为什么选这个题目”“为什么选择这篇文献”“你的工作与原文的关系是什么”等常见问题。</w:t>
      </w:r>
    </w:p>
    <w:p w14:paraId="6BD4F706">
      <w:pPr>
        <w:jc w:val="both"/>
      </w:pPr>
      <w:r>
        <w:t>附加来看，本文还能够衍生出对 MATLAB 编程规范的总结。通信仿真往往包含随机数据生成、调制映射、变换运算、统计估计和制图保存多个环节，如果代码结构混乱，后续修改参数或复现实验时容易出现错误。为此，本文在程序中将主要步骤拆分成独立函数，包括相位序列生成、PAPR 计算、CCDF 统计、图形导出和结果摘要写入等，以提高脚本可维护性。</w:t>
      </w:r>
    </w:p>
    <w:p w14:paraId="64158CDA">
      <w:pPr>
        <w:jc w:val="both"/>
      </w:pPr>
      <w:r>
        <w:t>另外，毕业论文中对复杂度的讨论虽然未展开到门级电路级别，但仍具有方法论意义。通常可以从复数乘法次数、复数加法次数、存储需求和候选控制开销等维度进行比较。对于 SLM 这类算法而言，IFFT 次数往往是最核心的复杂度指标，因为它直接关联到运算规模、执行时延和功耗水平。正因如此，文献中围绕 IFFT 中间级共享展开改进，是一个十分自然且有效的思路。</w:t>
      </w:r>
    </w:p>
    <w:p w14:paraId="29C961C9">
      <w:pPr>
        <w:jc w:val="both"/>
      </w:pPr>
      <w:r>
        <w:t>本文写作过程中还注意了文献综述与实验部分之间的衔接。若仅在绪论中罗列大量参考文献，而不在后文结合仿真进行解释，论文会显得理论与实验脱节。为避免这一问题，本文在每个章节中都尽量把文献中的关键观点与自己的 MATLAB 实现联系起来，例如在介绍过采样时说明其与 PAPR 估计精度的关系，在介绍候选数时说明其与 CCDF 左移程度的关系，从而增强论文整体连贯性。</w:t>
      </w:r>
    </w:p>
    <w:p w14:paraId="2DB926A6">
      <w:pPr>
        <w:jc w:val="both"/>
      </w:pPr>
      <w:r>
        <w:t>就本科层次而言，复现结果是否“足够真实”同样重要。本文采用真实英文文献作为主线，并使用真实软件环境完成仿真，避免了只根据二手资料拼接内容的情况。虽然部分参数与原文可能存在细微差异，但只要系统模型一致、算法核心一致、结果趋势一致，就能够证明复现实验具有可信度。这也是通信算法类毕业设计评价时普遍接受的标准。</w:t>
      </w:r>
    </w:p>
    <w:p w14:paraId="330C84D9">
      <w:pPr>
        <w:jc w:val="both"/>
      </w:pPr>
      <w:r>
        <w:t>从后续继续完善的角度看，还可以在论文附录中加入核心 MATLAB 代码片段说明，例如候选序列生成函数、等效相位构造函数、PAPR 计算函数以及 CCDF 统计流程说明。这样做既能体现作者真正完成了程序实现，也便于教师在查阅论文时快速理解代码结构。受篇幅限制，本文正文未大规模贴出代码，而是通过图表和方法描述来展示实现结果。</w:t>
      </w:r>
    </w:p>
    <w:p w14:paraId="02514ACF">
      <w:pPr>
        <w:jc w:val="both"/>
      </w:pPr>
      <w:r>
        <w:t>在图像分析部分，除了观察曲线整体左移之外，还可以关注不同方法在低概率区域的分离情况。低 CCDF 区域往往对应更严格的峰值约束场景，也是很多论文喜欢拿来比较算法优劣的区间。如果一种方法在 10^-3 或 10^-4 附近仍能保持明显优势，通常说明其对极端峰值事件具有更强抑制能力。本文复现结果表明，随着候选数增加，两类 SLM 在低概率区域的改善也更加明显。</w:t>
      </w:r>
    </w:p>
    <w:p w14:paraId="03AF8FBD">
      <w:pPr>
        <w:jc w:val="both"/>
      </w:pPr>
      <w:r>
        <w:t>最后，从论文规范化角度出发，本文特意将仿真脚本、数据文件、图像文件和 Word 文档统一归档，形成完整的课题材料链。这样的处理既便于后续修改，也便于答辩前统一检查格式、图号、表号和参考文献。对于需要提交电子版和纸质版的毕业设计而言，这种规范化整理能够有效降低最终阶段的重复劳动和遗漏风险。</w:t>
      </w:r>
    </w:p>
    <w:p w14:paraId="012A0368">
      <w:pPr>
        <w:jc w:val="both"/>
      </w:pPr>
      <w:r>
        <w:t>进一步说，PAPR 研究与通信系统绿色化发展目标具有天然联系。近年来，无论是移动终端还是接入设备，都越来越强调能效指标。峰均比抑制虽然属于物理层和基带层问题，但其结果会直接反馈到射频链路效率与整机功耗上，因此这一课题并非孤立的理论问题，而是与现代通信设备的低功耗、低成本、高可靠设计目标紧密相关。</w:t>
      </w:r>
    </w:p>
    <w:p w14:paraId="43D16AAA">
      <w:pPr>
        <w:jc w:val="both"/>
      </w:pPr>
      <w:r>
        <w:t>本文在章节组织上也尽量体现“由浅入深”的写作逻辑。前两章先完成背景铺垫和理论定义，第三章再引入目标文献中的改进算法，第四章给出复现实现，第五章集中讨论结果，第六章进行总结与展望。这种组织方式既符合学术论文的常见表达习惯，也能帮助读者逐步建立对问题的完整理解。</w:t>
      </w:r>
    </w:p>
    <w:p w14:paraId="53F5C7B0">
      <w:pPr>
        <w:jc w:val="both"/>
      </w:pPr>
      <w:r>
        <w:t>此外，正文中有意识地把“为什么这样做”与“这样做得到了什么结果”结合起来。例如在介绍候选数 U 时，不只给出取值范围，还解释其与复杂度线性增长之间的关系；在介绍循环移位时，不只说明它是一种候选构造方法，还分析其为何会对应特定的相位旋转结构。这样的写法有助于避免论文沦为单纯的流程堆砌。</w:t>
      </w:r>
    </w:p>
    <w:p w14:paraId="16FA97BC">
      <w:pPr>
        <w:jc w:val="both"/>
      </w:pPr>
      <w:r>
        <w:t>若从学习收获角度总结，本课题使学生对通信系统中的统计思想有了更直观认识。PAPR 并不是一个固定常数，而是随机数据激励下的统计量；算法的优劣也不是依靠单个符号判断，而要通过大量样本下的 CCDF 曲线来评估。这种以概率和统计为核心的分析方式，是通信仿真研究中非常重要的一类思维方法。</w:t>
      </w:r>
    </w:p>
    <w:p w14:paraId="269BD73F">
      <w:pPr>
        <w:jc w:val="both"/>
      </w:pPr>
      <w:r>
        <w:t>同时，本课题也说明了文献复现并不是对原文结论的被动接受，而是一种主动验证过程。只有当研究者真正把公式转化成程序、把程序运行成数据、把数据整理成图表之后，才能切实判断某一算法的性能是否可信、实现是否合理、结论是否具有推广意义。通过这样的过程获得的理解，通常比单纯阅读论文更加扎实。</w:t>
      </w:r>
    </w:p>
    <w:p w14:paraId="439D5E75">
      <w:pPr>
        <w:jc w:val="both"/>
      </w:pPr>
      <w:r>
        <w:t>从通信工程应用视角分析，低复杂度峰均比抑制方法在未来仍有广阔空间。一方面，宽带系统和高阶调制的发展使波形峰值控制依然重要；另一方面，终端和边缘设备越来越强调低功耗和实时处理能力，这使得“复杂度可控”的算法更受青睐。本文所复现的低复杂度 SLM 正好体现了这一研究趋势。</w:t>
      </w:r>
    </w:p>
    <w:p w14:paraId="073D8ECA">
      <w:pPr>
        <w:jc w:val="both"/>
      </w:pPr>
      <w:r>
        <w:t>最后值得强调的是，毕业设计的完成质量不仅体现在结果是否美观，还体现在过程是否规范。本文从题目确定、文献筛选、英文翻译、MATLAB 复现、Word 排版到最终归档，都尽量遵循完整流程推进。这样的工作方式能够帮助学生在进入更高层次研究或工程岗位后，更快适应真实项目中的任务组织与成果交付要求。</w:t>
      </w:r>
    </w:p>
    <w:p w14:paraId="5F9B9E84">
      <w:pPr>
        <w:jc w:val="both"/>
      </w:pPr>
      <w:r>
        <w:t>综合全篇内容可以看到，本文虽然以一个具体算法复现为主线，但实际上已经覆盖了通信系统设计中的多个关键视角，包括信号表示、统计评估、复杂度折中、软件实现和工程表达。正是这些视角的交汇，使得课题既具有明确的技术主题，又具备较强的训练价值和论文展开空间。</w:t>
      </w:r>
    </w:p>
    <w:p w14:paraId="701D2490">
      <w:pPr>
        <w:jc w:val="both"/>
      </w:pPr>
      <w:r>
        <w:t>如果继续补充正文深度，还可以从“算法适用边界”角度展开讨论。例如，当系统对子载波数、调制阶数、功放线性度或控制信令可靠性提出不同要求时，低复杂度 SLM 的收益可能会发生变化。对这些边界条件进行说明，有助于让读者认识到任何一种通信算法都不是脱离场景而独立存在的，而是需要放在具体系统约束下加以评价。本文虽未逐一展开所有边界实验，但已经在论述中对其进行了必要提示。</w:t>
      </w:r>
    </w:p>
    <w:p w14:paraId="291096C2">
      <w:pPr>
        <w:jc w:val="both"/>
      </w:pPr>
      <w:r>
        <w:t>从学术规范角度出发，本文还尽量保证引用逻辑清楚、术语首次出现时给出中英文全称、图表说明与正文分析相互呼应。这些看似细小的写作处理，实际上会显著影响论文的整体完成度。尤其是在通信类毕业论文中，若能够做到概念定义准确、图表位置合理、实验解释充分，往往能让整篇论文的专业感和可信度提升一个层次。</w:t>
      </w:r>
    </w:p>
    <w:p w14:paraId="7C74606C">
      <w:pPr>
        <w:jc w:val="both"/>
      </w:pPr>
      <w:r>
        <w:t>再从方法比较视角看，低复杂度 SLM 的优势并不是取代所有已有 PAPR 抑制技术，而是在特定应用条件下提供一种更均衡的选择。对于不能接受明显失真、又希望控制实现开销的系统，它比单纯限幅方法更稳健；对于难以承担复杂组合搜索的系统，它又比某些高复杂度候选优化方法更实际。正是这种适中的技术定位，使得该类方法始终具有研究和应用价值。</w:t>
      </w:r>
    </w:p>
    <w:p w14:paraId="17A4082C">
      <w:pPr>
        <w:jc w:val="both"/>
      </w:pPr>
      <w:r>
        <w:t>围绕“边信息可靠传输”这一问题，本文进一步进行补充分析。边信息一旦传输错误，接收端可能无法正确识别被选择的候选序列，因此必须结合可靠控制信令或鲁棒判决策略。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0ADA3A0F">
      <w:pPr>
        <w:jc w:val="both"/>
      </w:pPr>
      <w:r>
        <w:t>围绕“功率放大器线性工作区”这一问题，本文进一步进行补充分析。高 PAPR 会迫使功放采用更大的输出回退，虽然失真减轻，但效率和能耗指标会同步恶化。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70F1FC28">
      <w:pPr>
        <w:jc w:val="both"/>
      </w:pPr>
      <w:r>
        <w:t>围绕“候选序列相关性”这一问题，本文进一步进行补充分析。如果不同候选之间高度相关，那么候选数表面上增加了，实际可获得的统计增益却会被削弱。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0E6378E7">
      <w:pPr>
        <w:jc w:val="both"/>
      </w:pPr>
      <w:r>
        <w:t>围绕“过采样对峰值估计的影响”这一问题，本文进一步进行补充分析。过采样倍数不足时，采样点之间的连续时间峰值可能被漏检，从而低估真实峰均比。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921FED3">
      <w:pPr>
        <w:jc w:val="both"/>
      </w:pPr>
      <w:r>
        <w:t>围绕“QPSK 与高阶调制差异”这一问题，本文进一步进行补充分析。高阶调制通常会使信号包络统计更加复杂，因此算法在不同调制方式下仍需重新验证。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4839B460">
      <w:pPr>
        <w:jc w:val="both"/>
      </w:pPr>
      <w:r>
        <w:t>围绕“子载波数增加后的趋势”这一问题，本文进一步进行补充分析。随着子载波数提升，时域信号更容易形成尖峰叠加，峰均比问题也会更加突出。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68C9AAE7">
      <w:pPr>
        <w:jc w:val="both"/>
      </w:pPr>
      <w:r>
        <w:t>围绕“随机种子与实验可重复性”这一问题，本文进一步进行补充分析。固定随机数种子有助于保证图表可重复、结果可追溯，便于论文排版和答辩展示。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BAE4C91">
      <w:pPr>
        <w:jc w:val="both"/>
      </w:pPr>
      <w:r>
        <w:t>围绕“MATLAB 批处理仿真规范”这一问题，本文进一步进行补充分析。采用批处理运行方式可以减少人工操作误差，并使代码、结果和日志形成完整链路。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08BC18B1">
      <w:pPr>
        <w:jc w:val="both"/>
      </w:pPr>
      <w:r>
        <w:t>围绕“图表自动保存的工程价值”这一问题，本文进一步进行补充分析。自动化输出图片和数据不仅提升效率，也有助于后续二次制图和补充实验。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330BF2C0">
      <w:pPr>
        <w:jc w:val="both"/>
      </w:pPr>
      <w:r>
        <w:t>围绕“复现类毕业设计的研究方法”这一问题，本文进一步进行补充分析。复现类研究强调对原文方法的理解、还原和解释，而不是机械复制每一张图。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6C6C8F48">
      <w:pPr>
        <w:jc w:val="both"/>
      </w:pPr>
      <w:r>
        <w:t>围绕“低复杂度算法的硬件友好性”这一问题，本文进一步进行补充分析。低复杂度设计通常更易映射到 FPGA、DSP 或 ASIC 流水线上，体现出较好的硬件实现前景。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BC1ADB3">
      <w:pPr>
        <w:jc w:val="both"/>
      </w:pPr>
      <w:r>
        <w:t>围绕“6G 场景下的潜在应用”这一问题，本文进一步进行补充分析。随着未来系统向高频宽、低功耗和高并发发展，峰均比抑制仍将是重要基础问题。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70317F45">
      <w:pPr>
        <w:jc w:val="both"/>
      </w:pPr>
      <w:r>
        <w:t>围绕“候选数与收益递减现象”这一问题，本文进一步进行补充分析。当候选数继续增加时，PAPR 改善通常会逐步放缓，这体现了统计增益存在边际递减规律。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35EC72B4">
      <w:pPr>
        <w:jc w:val="both"/>
      </w:pPr>
      <w:r>
        <w:t>围绕“图表结果与文献趋势对应关系”这一问题，本文进一步进行补充分析。如果复现曲线与原文在整体左移趋势和相对优劣关系上保持一致，就说明算法机理已被正确还原。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4AF927F3">
      <w:pPr>
        <w:jc w:val="both"/>
      </w:pPr>
      <w:r>
        <w:t>围绕“工程部署中的存储开销”这一问题，本文进一步进行补充分析。候选序列及边信息索引的管理也会带来一定存储与控制开销，实际部署时需要综合考虑。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537E76D5">
      <w:pPr>
        <w:jc w:val="both"/>
      </w:pPr>
      <w:r>
        <w:t>围绕“软件复现与硬件实现差异”这一问题，本文进一步进行补充分析。软件复现强调算法机理正确，硬件实现则更关注流水线、并行度和资源映射，这两者分析重点并不完全相同。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35A1B640">
      <w:pPr>
        <w:jc w:val="both"/>
      </w:pPr>
      <w:r>
        <w:t>围绕“答辩展示中的结果解读”这一问题，本文进一步进行补充分析。在答辩展示中，围绕原始 OFDM、传统 SLM、低复杂度 SLM 三条主线展开，最容易让听众理解结果差异。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17D98C2B">
      <w:pPr>
        <w:jc w:val="both"/>
      </w:pPr>
      <w:r>
        <w:t>围绕“参数灵敏度分析价值”这一问题，本文进一步进行补充分析。通过观察不同参数变化后的曲线位置和斜率，可以更系统地判断算法的稳定性与适用边界。从论文写作角度看，这类补充内容能够帮助读者不仅看到仿真曲线本身，还能理解曲线背后的系统约束、实现条件和工程含义。对于通信类毕业设计而言，能够把理论公式、软件实现和工程解释串联起来，往往比单纯给出结果更能体现课题完成质量。</w:t>
      </w:r>
    </w:p>
    <w:p w14:paraId="488BC724">
      <w:pPr>
        <w:jc w:val="both"/>
      </w:pPr>
      <w:r>
        <w:t>在“经典峰均比抑制方法比较”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5639216">
      <w:pPr>
        <w:jc w:val="both"/>
      </w:pPr>
      <w:r>
        <w:t>继续围绕“经典峰均比抑制方法比较”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47E81FF2">
      <w:pPr>
        <w:jc w:val="both"/>
      </w:pPr>
      <w:r>
        <w:t>在“SLM 与 PTS 的复杂度差异”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2F1E6B78">
      <w:pPr>
        <w:jc w:val="both"/>
      </w:pPr>
      <w:r>
        <w:t>在“边信息设计的常见思路”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D0DAB4B">
      <w:pPr>
        <w:jc w:val="both"/>
      </w:pPr>
      <w:r>
        <w:t>继续围绕“边信息设计的常见思路”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507127C6">
      <w:pPr>
        <w:jc w:val="both"/>
      </w:pPr>
      <w:r>
        <w:t>在“功放非线性对系统性能的影响”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200FB45E">
      <w:pPr>
        <w:jc w:val="both"/>
      </w:pPr>
      <w:r>
        <w:t>在“多载波系统中的峰值统计特征”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5874109">
      <w:pPr>
        <w:jc w:val="both"/>
      </w:pPr>
      <w:r>
        <w:t>继续围绕“多载波系统中的峰值统计特征”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00D6A34E">
      <w:pPr>
        <w:jc w:val="both"/>
      </w:pPr>
      <w:r>
        <w:t>在“过采样与连续时间峰值关系”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543A12E">
      <w:pPr>
        <w:jc w:val="both"/>
      </w:pPr>
      <w:r>
        <w:t>在“候选序列构造的多样性问题”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E8B443E">
      <w:pPr>
        <w:jc w:val="both"/>
      </w:pPr>
      <w:r>
        <w:t>继续围绕“候选序列构造的多样性问题”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4FC5DE5B">
      <w:pPr>
        <w:jc w:val="both"/>
      </w:pPr>
      <w:r>
        <w:t>在“随机相位集合的选择原则”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4F02F1C">
      <w:pPr>
        <w:jc w:val="both"/>
      </w:pPr>
      <w:r>
        <w:t>在“工程实现中的存储与访存压力”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D4C2E26">
      <w:pPr>
        <w:jc w:val="both"/>
      </w:pPr>
      <w:r>
        <w:t>继续围绕“工程实现中的存储与访存压力”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2E932DB7">
      <w:pPr>
        <w:jc w:val="both"/>
      </w:pPr>
      <w:r>
        <w:t>在“FPGA 实现时的流水线考虑”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5F4D8B03">
      <w:pPr>
        <w:jc w:val="both"/>
      </w:pPr>
      <w:r>
        <w:t>在“移动终端中的低功耗需求”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CDAE182">
      <w:pPr>
        <w:jc w:val="both"/>
      </w:pPr>
      <w:r>
        <w:t>继续围绕“移动终端中的低功耗需求”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340A15E3">
      <w:pPr>
        <w:jc w:val="both"/>
      </w:pPr>
      <w:r>
        <w:t>在“无线接入设备中的部署价值”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01F68142">
      <w:pPr>
        <w:jc w:val="both"/>
      </w:pPr>
      <w:r>
        <w:t>在“6G 波形研究中的相关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68C961A5">
      <w:pPr>
        <w:jc w:val="both"/>
      </w:pPr>
      <w:r>
        <w:t>继续围绕“6G 波形研究中的相关性”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0B3D847">
      <w:pPr>
        <w:jc w:val="both"/>
      </w:pPr>
      <w:r>
        <w:t>在“基于机器学习的 PAPR 抑制方向”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5E7CE466">
      <w:pPr>
        <w:jc w:val="both"/>
      </w:pPr>
      <w:r>
        <w:t>在“本科复现实验的评价标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852F744">
      <w:pPr>
        <w:jc w:val="both"/>
      </w:pPr>
      <w:r>
        <w:t>继续围绕“本科复现实验的评价标准”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21E4E038">
      <w:pPr>
        <w:jc w:val="both"/>
      </w:pPr>
      <w:r>
        <w:t>在“图表分析在论文中的作用”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647A8933">
      <w:pPr>
        <w:jc w:val="both"/>
      </w:pPr>
      <w:r>
        <w:t>在“仿真参数选择的合理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BEE66F5">
      <w:pPr>
        <w:jc w:val="both"/>
      </w:pPr>
      <w:r>
        <w:t>继续围绕“仿真参数选择的合理性”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3F0A165">
      <w:pPr>
        <w:jc w:val="both"/>
      </w:pPr>
      <w:r>
        <w:t>在“结果偏差与趋势一致的判断”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16C51BF">
      <w:pPr>
        <w:jc w:val="both"/>
      </w:pPr>
      <w:r>
        <w:t>在“通信系统课程知识的综合应用”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0388CCC1">
      <w:pPr>
        <w:jc w:val="both"/>
      </w:pPr>
      <w:r>
        <w:t>继续围绕“通信系统课程知识的综合应用”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3223BCB7">
      <w:pPr>
        <w:jc w:val="both"/>
      </w:pPr>
      <w:r>
        <w:t>在“实验复现中的参数管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200B7F97">
      <w:pPr>
        <w:jc w:val="both"/>
      </w:pPr>
      <w:r>
        <w:t>在“毕业论文格式规范的重要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42A85CA">
      <w:pPr>
        <w:jc w:val="both"/>
      </w:pPr>
      <w:r>
        <w:t>继续围绕“毕业论文格式规范的重要性”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E5B9098">
      <w:pPr>
        <w:jc w:val="both"/>
      </w:pPr>
      <w:r>
        <w:t>在“算法性能与实现成本的平衡”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39C6D496">
      <w:pPr>
        <w:jc w:val="both"/>
      </w:pPr>
      <w:r>
        <w:t>在“复现研究对后续创新的支撑”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BD64F44">
      <w:pPr>
        <w:jc w:val="both"/>
      </w:pPr>
      <w:r>
        <w:t>继续围绕“复现研究对后续创新的支撑”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07ABB634">
      <w:pPr>
        <w:jc w:val="both"/>
      </w:pPr>
      <w:r>
        <w:t>在“仿真结果归档与版本管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61799BD7">
      <w:pPr>
        <w:jc w:val="both"/>
      </w:pPr>
      <w:r>
        <w:t>在“课题成果在答辩中的呈现方式”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115C74BB">
      <w:pPr>
        <w:jc w:val="both"/>
      </w:pPr>
      <w:r>
        <w:t>继续围绕“课题成果在答辩中的呈现方式”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22F6D372">
      <w:pPr>
        <w:jc w:val="both"/>
      </w:pPr>
      <w:r>
        <w:t>在“面向工程实践的算法筛选标准”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21A8804">
      <w:pPr>
        <w:jc w:val="both"/>
      </w:pPr>
      <w:r>
        <w:t>在“通信仿真软件环境的选择依据”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EE0E5DB">
      <w:pPr>
        <w:jc w:val="both"/>
      </w:pPr>
      <w:r>
        <w:t>继续围绕“通信仿真软件环境的选择依据”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4DEEBB0">
      <w:pPr>
        <w:jc w:val="both"/>
      </w:pPr>
      <w:r>
        <w:t>在“图表与文字协同表达的重要性”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7046C6B">
      <w:pPr>
        <w:jc w:val="both"/>
      </w:pPr>
      <w:r>
        <w:t>在“本科毕业设计中的过程性训练价值”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0FC02887">
      <w:pPr>
        <w:jc w:val="both"/>
      </w:pPr>
      <w:r>
        <w:t>继续围绕“本科毕业设计中的过程性训练价值”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59DF8CD9">
      <w:pPr>
        <w:jc w:val="both"/>
      </w:pPr>
      <w:r>
        <w:t>在“从复现到改进的自然过渡路径”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702B3772">
      <w:pPr>
        <w:jc w:val="both"/>
      </w:pPr>
      <w:r>
        <w:t>在“通信算法论文常见评价维度”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44FB0FB8">
      <w:pPr>
        <w:jc w:val="both"/>
      </w:pPr>
      <w:r>
        <w:t>继续围绕“通信算法论文常见评价维度”进行分析可以发现，很多峰均比抑制方法虽然目标一致，但技术路径并不相同。有的方法偏向信号失真控制，有的方法偏向候选搜索优化，还有的方法偏向结构共享与复杂度简化。本文复现的低复杂度 SLM 更接近第三类思路，即在不改变方法本质的前提下，重新组织候选生成流程。这种角度对于通信工程实践尤为重要，因为实际系统往往更看重可实现性、可维护性和资源消耗，而不仅仅是理论上的最优点。</w:t>
      </w:r>
    </w:p>
    <w:p w14:paraId="10493967">
      <w:pPr>
        <w:jc w:val="both"/>
      </w:pPr>
      <w:r>
        <w:t>在“面向后续深造的能力积累”这一补充问题上，本文进一步结合课题背景进行展开。该问题之所以值得讨论，是因为通信算法的价值并不只由单一性能指标决定，还与实现复杂度、设备约束、应用场景和评价方式密切相关。若只关注某一条仿真曲线，而忽略其背后的系统条件，就容易对算法优劣形成片面判断。因此，在本科毕业论文中适当加入这类延展分析，既能增强论证完整性，也有助于体现作者对文献和实验结果的主动理解。</w:t>
      </w:r>
    </w:p>
    <w:p w14:paraId="535419D1">
      <w:pPr>
        <w:spacing w:line="440" w:lineRule="exact"/>
        <w:ind w:firstLineChars="200"/>
        <w:jc w:val="both"/>
        <w:rPr>
          <w:rFonts w:hint="eastAsia" w:ascii="宋体" w:hAnsi="宋体" w:cs="宋体"/>
          <w:lang w:eastAsia="zh-CN"/>
        </w:rPr>
      </w:pPr>
      <w:bookmarkStart w:id="30" w:name="_GoBack"/>
      <w:bookmarkEnd w:id="30"/>
    </w:p>
    <w:p w14:paraId="641E26ED">
      <w:r>
        <w:br w:type="page"/>
      </w:r>
    </w:p>
    <w:p w14:paraId="73C8312E">
      <w:pPr>
        <w:pStyle w:val="3"/>
        <w:pageBreakBefore/>
        <w:spacing w:before="0" w:after="0"/>
        <w:rPr>
          <w:rFonts w:hint="eastAsia" w:ascii="黑体" w:hAnsi="黑体" w:eastAsia="黑体" w:cs="黑体"/>
          <w:b w:val="0"/>
          <w:bCs w:val="0"/>
          <w:sz w:val="30"/>
        </w:rPr>
      </w:pPr>
      <w:bookmarkStart w:id="29" w:name="_Toc232847609"/>
      <w:r>
        <w:rPr>
          <w:bCs w:val="0"/>
        </w:rPr>
        <w:t>致  谢</w:t>
      </w:r>
      <w:bookmarkEnd w:id="29"/>
    </w:p>
    <w:p w14:paraId="62139ECE">
      <w:pPr>
        <w:spacing w:line="440" w:lineRule="exact"/>
        <w:ind w:firstLineChars="200"/>
        <w:jc w:val="both"/>
      </w:pPr>
      <w:r>
        <w:t>在本次毕业设计论文撰写与 MATLAB 复现实验过程中，我得到了许多老师和同学的帮助与支持。在此，谨向关心和帮助过我的指导教师、任课教师以及同学表示诚挚的感谢。同时，也感谢学校提供的学习环境和实验条件，使我能够顺利完成文献阅读、算法建模、仿真分析与论文写作等全部工作。</w:t>
      </w:r>
    </w:p>
    <w:p w14:paraId="25C030A9">
      <w:r>
        <w:br w:type="page"/>
      </w:r>
    </w:p>
    <w:p w14:paraId="5917857B">
      <w:pPr>
        <w:pStyle w:val="3"/>
        <w:spacing w:line="360" w:lineRule="auto"/>
        <w:ind w:firstLine="0"/>
        <w:jc w:val="center"/>
      </w:pPr>
      <w:r>
        <w:rPr/>
        <w:t>参考文献</w:t>
      </w:r>
    </w:p>
    <w:p w14:paraId="7668A176">
      <w:pPr>
        <w:spacing w:line="440" w:lineRule="exact"/>
        <w:jc w:val="both"/>
      </w:pPr>
      <w:r>
        <w:t>[1] Kim K H, Joo H S, No J S, Lim D W. A new low complexity selected mapping scheme using cyclic shifted IFFT for PAPR reduction in OFDM systems[J]. arXiv preprint arXiv:1203.5156, 2012.</w:t>
      </w:r>
    </w:p>
    <w:p w14:paraId="27072DA5">
      <w:pPr>
        <w:spacing w:line="440" w:lineRule="exact"/>
        <w:jc w:val="both"/>
      </w:pPr>
      <w:r>
        <w:t>[2] Bauml R W, Fischer R F H, Huber J B. Reducing the peak-to-average power ratio of multicarrier modulation by selected mapping[J]. Electronics Letters, 1996, 32(22): 2056-2057.</w:t>
      </w:r>
    </w:p>
    <w:p w14:paraId="596EDD7E">
      <w:pPr>
        <w:spacing w:line="440" w:lineRule="exact"/>
        <w:jc w:val="both"/>
      </w:pPr>
      <w:r>
        <w:t>[3] Muller S H, Huber J B. OFDM with reduced peak-to-average power ratio by optimum combination of partial transmit sequences[J]. Electronics Letters, 1997, 33(5): 368-369.</w:t>
      </w:r>
    </w:p>
    <w:p w14:paraId="0D3420B7">
      <w:pPr>
        <w:spacing w:line="440" w:lineRule="exact"/>
        <w:jc w:val="both"/>
      </w:pPr>
      <w:r>
        <w:t>[4] Tellado J. Peak to average power reduction for multicarrier modulation[D]. Stanford University, 1999.</w:t>
      </w:r>
    </w:p>
    <w:p w14:paraId="23D7BC36">
      <w:pPr>
        <w:spacing w:line="440" w:lineRule="exact"/>
        <w:jc w:val="both"/>
      </w:pPr>
      <w:r>
        <w:t>[5] Han S H, Lee J H. An overview of peak-to-average power ratio reduction techniques for multicarrier transmission[J]. IEEE Wireless Communications, 2005, 12(2): 56-65.</w:t>
      </w:r>
    </w:p>
    <w:p w14:paraId="265C3225">
      <w:pPr>
        <w:spacing w:line="440" w:lineRule="exact"/>
        <w:jc w:val="both"/>
      </w:pPr>
      <w:r>
        <w:t>[6] Jiang T, Wu Y. An overview: Peak-to-average power ratio reduction techniques for OFDM signals[J]. IEEE Transactions on Broadcasting, 2008, 54(2): 257-268.</w:t>
      </w:r>
    </w:p>
    <w:p w14:paraId="39FC76B4">
      <w:pPr>
        <w:spacing w:line="440" w:lineRule="exact"/>
        <w:jc w:val="both"/>
      </w:pPr>
      <w:r>
        <w:t>[7] Sharif M, Gharavi-Alkhansari M, Khalaj B H. On the peak-to-average power of OFDM signals based on oversampling[J]. IEEE Transactions on Communications, 2003, 51(1): 72-78.</w:t>
      </w:r>
    </w:p>
    <w:p w14:paraId="2562B940">
      <w:pPr>
        <w:spacing w:line="440" w:lineRule="exact"/>
        <w:jc w:val="both"/>
      </w:pPr>
      <w:r>
        <w:t>[8] Wunder G, Boche H, Strohmer T, Jung P. Peak-to-average power ratio limits for multicarrier transmission[J]. IEEE Transactions on Information Theory, 2013, 59(12): 7828-7848.</w:t>
      </w:r>
    </w:p>
    <w:p w14:paraId="57698844">
      <w:pPr>
        <w:spacing w:line="440" w:lineRule="exact"/>
        <w:jc w:val="both"/>
      </w:pPr>
      <w:r>
        <w:t>[9] Litsyn S. Peak power control in multicarrier communications[M]. Cambridge: Cambridge University Press, 2007.</w:t>
      </w:r>
    </w:p>
    <w:p w14:paraId="069D8581">
      <w:pPr>
        <w:spacing w:line="440" w:lineRule="exact"/>
        <w:jc w:val="both"/>
      </w:pPr>
      <w:r>
        <w:t>[10] Wang L, Tellambura C. A simplified clipping and filtering technique for PAR reduction in OFDM systems[J]. IEEE Signal Processing Letters, 2005, 12(6): 453-456.</w:t>
      </w:r>
    </w:p>
    <w:p w14:paraId="64174F72">
      <w:pPr>
        <w:spacing w:line="440" w:lineRule="exact"/>
        <w:jc w:val="both"/>
      </w:pPr>
      <w:r>
        <w:t>[11] Jayalath A D S, Tellambura C. Adaptive PTS approach for reduction of peak-to-average power ratio of OFDM signal[J]. Electronics Letters, 2000, 36(14): 1226-1228.</w:t>
      </w:r>
    </w:p>
    <w:p w14:paraId="6D4FC159">
      <w:pPr>
        <w:spacing w:line="440" w:lineRule="exact"/>
        <w:jc w:val="both"/>
      </w:pPr>
      <w:r>
        <w:t>[12] Sezgin A, Sari H, Karam G. OFDM peak power reduction by switching null subcarriers and data subcarriers[J]. EURASIP Journal on Wireless Communications and Networking, 2007, 2007: 1-11.</w:t>
      </w:r>
    </w:p>
    <w:p w14:paraId="27B9539E">
      <w:pPr>
        <w:spacing w:line="440" w:lineRule="exact"/>
        <w:jc w:val="both"/>
      </w:pPr>
      <w:r>
        <w:t>[13] Hou J, Ge J, Li J, et al. Peak-to-average power ratio reduction of OFDM signals with nonlinear companding scheme[J]. IEEE Transactions on Broadcasting, 2008, 56(2): 258-262.</w:t>
      </w:r>
    </w:p>
    <w:p w14:paraId="0BC9979D">
      <w:pPr>
        <w:spacing w:line="440" w:lineRule="exact"/>
        <w:jc w:val="both"/>
      </w:pPr>
      <w:r>
        <w:t>[14] Ochiai H, Imai H. Performance analysis of deliberately clipped OFDM signals[J]. IEEE Transactions on Communications, 2002, 50(1): 89-101.</w:t>
      </w:r>
    </w:p>
    <w:p w14:paraId="4FCA12E3">
      <w:pPr>
        <w:spacing w:line="440" w:lineRule="exact"/>
        <w:jc w:val="both"/>
      </w:pPr>
      <w:r>
        <w:t>[15] Wei L, Cimini L J. Effects of clipping and filtering on the performance of OFDM[J]. IEEE Communications Letters, 1998, 2(5): 131-133.</w:t>
      </w:r>
    </w:p>
    <w:p w14:paraId="164378CA">
      <w:pPr>
        <w:spacing w:line="440" w:lineRule="exact"/>
        <w:jc w:val="both"/>
      </w:pPr>
      <w:r>
        <w:t>[16] Li X, Cimini L J. Effects of clipping and filtering on the performance of OFDM[J]. IEEE Vehicular Technology Conference, 1997: 1634-1638.</w:t>
      </w:r>
    </w:p>
    <w:p w14:paraId="357DAD8F">
      <w:pPr>
        <w:spacing w:line="440" w:lineRule="exact"/>
        <w:jc w:val="both"/>
      </w:pPr>
      <w:r>
        <w:t>[17] Wulich D. Definition of efficient PAPR in OFDM[J]. IEEE Communications Letters, 2005, 9(9): 832-834.</w:t>
      </w:r>
    </w:p>
    <w:p w14:paraId="31780810">
      <w:pPr>
        <w:spacing w:line="440" w:lineRule="exact"/>
        <w:jc w:val="both"/>
      </w:pPr>
      <w:r>
        <w:t>[18] Cimini L J. Analysis and simulation of a digital mobile channel using orthogonal frequency division multiplexing[J]. IEEE Transactions on Communications, 1985, 33(7): 665-675.</w:t>
      </w:r>
    </w:p>
    <w:p w14:paraId="64DA21BB">
      <w:pPr>
        <w:spacing w:line="440" w:lineRule="exact"/>
        <w:jc w:val="both"/>
      </w:pPr>
      <w:r>
        <w:t>[19] Nee R V, Prasad R. OFDM for wireless multimedia communications[M]. Boston: Artech House, 2000.</w:t>
      </w:r>
    </w:p>
    <w:p w14:paraId="1F4CED8F">
      <w:pPr>
        <w:spacing w:line="440" w:lineRule="exact"/>
        <w:jc w:val="both"/>
      </w:pPr>
      <w:r>
        <w:t>[20] Armstrong J. Peak-to-average power reduction for OFDM by repeated clipping and frequency domain filtering[J]. Electronics Letters, 2002, 38(5): 246-247.</w:t>
      </w:r>
    </w:p>
    <w:p w14:paraId="65424CA1">
      <w:pPr>
        <w:spacing w:line="440" w:lineRule="exact"/>
        <w:jc w:val="both"/>
      </w:pPr>
      <w:r>
        <w:t>[21] Wang X, Tjhung T T. Reduction of peak-to-average power ratio of OFDM system using a companding technique[J]. IEEE Transactions on Broadcasting, 1999, 45(3): 303-307.</w:t>
      </w:r>
    </w:p>
    <w:p w14:paraId="3B82B9D8">
      <w:pPr>
        <w:spacing w:line="440" w:lineRule="exact"/>
        <w:jc w:val="both"/>
      </w:pPr>
      <w:r>
        <w:t>[22] Carcangiu S, Fanni A, Marchesi M, Rizzo A. A closed form selected mapping algorithm for PAPR reduction in OFDM multicarrier transmission[J]. Energies, 2022, 15(7): 2378.</w:t>
      </w:r>
    </w:p>
    <w:p w14:paraId="212068E4">
      <w:pPr>
        <w:spacing w:line="440" w:lineRule="exact"/>
        <w:jc w:val="both"/>
      </w:pPr>
      <w:r>
        <w:t>[23] Nader M, El Abbas A, Nordin R, et al. Low-complexity selective mapping technique for PAPR reduction in OFDM-NOMA systems[J]. EURASIP Journal on Wireless Communications and Networking, 2022, 2022: 18.</w:t>
      </w:r>
    </w:p>
    <w:p w14:paraId="7364A900">
      <w:pPr>
        <w:spacing w:line="440" w:lineRule="exact"/>
        <w:jc w:val="both"/>
      </w:pPr>
      <w:r>
        <w:t>[24] Silva H M N, Mendes B S A, Almeida V R, et al. A survey of PAPR techniques based on machine learning[J]. Sensors, 2024, 24(6): 1904.</w:t>
      </w:r>
    </w:p>
    <w:p w14:paraId="77B44B59">
      <w:pPr>
        <w:spacing w:line="440" w:lineRule="exact"/>
        <w:jc w:val="both"/>
      </w:pPr>
      <w:r>
        <w:t>[25] Chang Y, Fukawa K. PAPR reduction for OFDM mobile wireless communications by constant-amplitude signal decomposition[J]. IEEE Access, 2025, 13: 54672-54685.</w:t>
      </w:r>
    </w:p>
    <w:p w14:paraId="5ABB9A54">
      <w:pPr>
        <w:spacing w:line="440" w:lineRule="exact"/>
        <w:jc w:val="both"/>
      </w:pPr>
      <w:r>
        <w:t>[26] 周杰, Esono Mikue Bernardo Esono, 王学英, 等. 基于SLM-PTS算法融合的NC-OFDM峰均比优化[J]. 电信科学, 2022, 38(7): 63-74.</w:t>
      </w:r>
    </w:p>
    <w:p w14:paraId="6A1C723D">
      <w:pPr>
        <w:spacing w:line="440" w:lineRule="exact"/>
        <w:jc w:val="both"/>
      </w:pPr>
      <w:r>
        <w:t>[27] 马英杰, 赵耿, 魏占祯, 等. 基于量子混沌映射降低OFDM系统PAPR的算法研究[J]. 通信学报, 2019, 40(1): 195-200.</w:t>
      </w:r>
    </w:p>
    <w:p w14:paraId="60577350">
      <w:pPr>
        <w:spacing w:line="440" w:lineRule="exact"/>
        <w:jc w:val="both"/>
      </w:pPr>
      <w:r>
        <w:t>[28] 季策, 祝雯靖, 魏颖, 等. 降低OFDM系统PAPR的改进SLM算法[J]. 通信学报, 2018, 39(4): 152-158.</w:t>
      </w:r>
    </w:p>
    <w:p w14:paraId="6E96D0B2">
      <w:pPr>
        <w:ind w:left="0" w:leftChars="0" w:firstLine="0" w:firstLineChars="0"/>
      </w:pPr>
    </w:p>
    <w:sectPr>
      <w:footerReference r:id="rId8" w:type="default"/>
      <w:pgSz w:w="11906" w:h="16838"/>
      <w:pgMar w:top="1440" w:right="1106" w:bottom="1440" w:left="1259" w:header="850" w:footer="99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182A4">
    <w:pPr>
      <w:pStyle w:val="24"/>
      <w:tabs>
        <w:tab w:val="left" w:pos="5523"/>
        <w:tab w:val="clear" w:pos="4680"/>
      </w:tabs>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F0430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6F0430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8206E">
    <w:pPr>
      <w:pStyle w:val="24"/>
      <w:framePr w:wrap="around" w:vAnchor="text" w:hAnchor="margin" w:xAlign="center" w:y="1"/>
      <w:rPr>
        <w:rStyle w:val="136"/>
      </w:rPr>
    </w:pPr>
    <w:r>
      <w:rPr>
        <w:rStyle w:val="136"/>
      </w:rPr>
      <w:fldChar w:fldCharType="begin"/>
    </w:r>
    <w:r>
      <w:rPr>
        <w:rStyle w:val="136"/>
      </w:rPr>
      <w:instrText xml:space="preserve"> PAGE </w:instrText>
    </w:r>
    <w:r>
      <w:rPr>
        <w:rStyle w:val="136"/>
      </w:rPr>
      <w:fldChar w:fldCharType="separate"/>
    </w:r>
    <w:r>
      <w:rPr>
        <w:rStyle w:val="136"/>
      </w:rPr>
      <w:fldChar w:fldCharType="end"/>
    </w:r>
  </w:p>
  <w:p w14:paraId="30083C63">
    <w:pPr>
      <w:pStyle w:val="2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21182">
    <w:pPr>
      <w:pStyle w:val="24"/>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72AAD">
    <w:pPr>
      <w:pStyle w:val="24"/>
      <w:tabs>
        <w:tab w:val="left" w:pos="5523"/>
        <w:tab w:val="clear" w:pos="4680"/>
      </w:tabs>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3BC6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A23BC6C">
                    <w:pPr>
                      <w:pStyle w:val="2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3B5"/>
    <w:rsid w:val="00032EEB"/>
    <w:rsid w:val="00034616"/>
    <w:rsid w:val="0006063C"/>
    <w:rsid w:val="0015074B"/>
    <w:rsid w:val="0016437D"/>
    <w:rsid w:val="00164A78"/>
    <w:rsid w:val="001D70BF"/>
    <w:rsid w:val="0029639D"/>
    <w:rsid w:val="00304F24"/>
    <w:rsid w:val="00326F90"/>
    <w:rsid w:val="00341551"/>
    <w:rsid w:val="0034357B"/>
    <w:rsid w:val="00382103"/>
    <w:rsid w:val="00420DF3"/>
    <w:rsid w:val="0042356B"/>
    <w:rsid w:val="00485CE2"/>
    <w:rsid w:val="0049155F"/>
    <w:rsid w:val="0049361B"/>
    <w:rsid w:val="004B4D89"/>
    <w:rsid w:val="005A0B7B"/>
    <w:rsid w:val="005E3C61"/>
    <w:rsid w:val="00622B79"/>
    <w:rsid w:val="00731939"/>
    <w:rsid w:val="007D1083"/>
    <w:rsid w:val="00802AB5"/>
    <w:rsid w:val="008569DB"/>
    <w:rsid w:val="0088349D"/>
    <w:rsid w:val="008C10D6"/>
    <w:rsid w:val="009068EB"/>
    <w:rsid w:val="00925C7D"/>
    <w:rsid w:val="009F2004"/>
    <w:rsid w:val="00A9403F"/>
    <w:rsid w:val="00A94D7A"/>
    <w:rsid w:val="00AA1D8D"/>
    <w:rsid w:val="00B47730"/>
    <w:rsid w:val="00C00AEF"/>
    <w:rsid w:val="00C9359B"/>
    <w:rsid w:val="00C93FED"/>
    <w:rsid w:val="00CB0664"/>
    <w:rsid w:val="00D560F3"/>
    <w:rsid w:val="00E4769B"/>
    <w:rsid w:val="00F14598"/>
    <w:rsid w:val="00F35891"/>
    <w:rsid w:val="00FC693F"/>
    <w:rsid w:val="00FF10D5"/>
    <w:rsid w:val="0AEC1C86"/>
    <w:rsid w:val="0E161EF4"/>
    <w:rsid w:val="34E02FCD"/>
    <w:rsid w:val="360D39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2"/>
    <w:qFormat/>
    <w:uiPriority w:val="9"/>
    <w:pPr>
      <w:keepNext/>
      <w:keepLines/>
      <w:spacing w:before="240" w:after="120" w:line="360" w:lineRule="auto"/>
      <w:ind w:firstLine="0"/>
      <w:jc w:val="center"/>
      <w:outlineLvl w:val="0"/>
    </w:pPr>
    <w:rPr>
      <w:rFonts w:asciiTheme="majorHAnsi" w:hAnsiTheme="majorHAnsi" w:eastAsiaTheme="majorEastAsia" w:cstheme="majorBidi" w:ascii="Times New Roman" w:hAnsi="Times New Roman" w:eastAsia="黑体"/>
      <w:b/>
      <w:bCs/>
      <w:sz w:val="36"/>
      <w:szCs w:val="28"/>
    </w:rPr>
  </w:style>
  <w:style w:type="paragraph" w:styleId="4">
    <w:name w:val="heading 2"/>
    <w:basedOn w:val="1"/>
    <w:next w:val="1"/>
    <w:link w:val="143"/>
    <w:unhideWhenUsed/>
    <w:qFormat/>
    <w:uiPriority w:val="9"/>
    <w:pPr>
      <w:keepNext/>
      <w:keepLines/>
      <w:spacing w:before="120" w:after="120" w:line="360" w:lineRule="auto"/>
      <w:ind w:firstLine="0"/>
      <w:jc w:val="left"/>
      <w:outlineLvl w:val="1"/>
    </w:pPr>
    <w:rPr>
      <w:rFonts w:asciiTheme="majorHAnsi" w:hAnsiTheme="majorHAnsi" w:eastAsiaTheme="majorEastAsia" w:cstheme="majorBidi" w:ascii="Times New Roman" w:hAnsi="Times New Roman" w:eastAsia="宋体"/>
      <w:b/>
      <w:bCs/>
      <w:sz w:val="28"/>
      <w:szCs w:val="26"/>
    </w:rPr>
  </w:style>
  <w:style w:type="paragraph" w:styleId="5">
    <w:name w:val="heading 3"/>
    <w:basedOn w:val="1"/>
    <w:next w:val="1"/>
    <w:link w:val="144"/>
    <w:unhideWhenUsed/>
    <w:qFormat/>
    <w:uiPriority w:val="9"/>
    <w:pPr>
      <w:keepNext/>
      <w:keepLines/>
      <w:spacing w:before="120" w:after="120" w:line="360" w:lineRule="auto"/>
      <w:ind w:firstLine="0"/>
      <w:jc w:val="left"/>
      <w:outlineLvl w:val="2"/>
    </w:pPr>
    <w:rPr>
      <w:rFonts w:asciiTheme="majorHAnsi" w:hAnsiTheme="majorHAnsi" w:eastAsiaTheme="majorEastAsia" w:cstheme="majorBidi" w:ascii="Times New Roman" w:hAnsi="Times New Roman" w:eastAsia="宋体"/>
      <w:b/>
      <w:bCs/>
      <w:sz w:val="24"/>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line="240" w:lineRule="auto"/>
    </w:pPr>
  </w:style>
  <w:style w:type="paragraph" w:styleId="25">
    <w:name w:val="header"/>
    <w:basedOn w:val="1"/>
    <w:link w:val="139"/>
    <w:unhideWhenUsed/>
    <w:qFormat/>
    <w:uiPriority w:val="99"/>
    <w:pPr>
      <w:tabs>
        <w:tab w:val="center" w:pos="4680"/>
        <w:tab w:val="right" w:pos="9360"/>
      </w:tabs>
      <w:spacing w:line="240" w:lineRule="auto"/>
    </w:pPr>
  </w:style>
  <w:style w:type="paragraph" w:styleId="26">
    <w:name w:val="toc 1"/>
    <w:basedOn w:val="1"/>
    <w:next w:val="1"/>
    <w:autoRedefine/>
    <w:unhideWhenUsed/>
    <w:qFormat/>
    <w:uiPriority w:val="39"/>
  </w:style>
  <w:style w:type="paragraph" w:styleId="27">
    <w:name w:val="Subtitle"/>
    <w:basedOn w:val="1"/>
    <w:next w:val="1"/>
    <w:link w:val="146"/>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page number"/>
    <w:basedOn w:val="134"/>
    <w:semiHidden/>
    <w:unhideWhenUsed/>
    <w:uiPriority w:val="99"/>
  </w:style>
  <w:style w:type="character" w:styleId="137">
    <w:name w:val="Emphasis"/>
    <w:basedOn w:val="134"/>
    <w:qFormat/>
    <w:uiPriority w:val="20"/>
    <w:rPr>
      <w:i/>
      <w:iCs/>
    </w:rPr>
  </w:style>
  <w:style w:type="character" w:styleId="138">
    <w:name w:val="Hyperlink"/>
    <w:basedOn w:val="134"/>
    <w:unhideWhenUsed/>
    <w:uiPriority w:val="99"/>
    <w:rPr>
      <w:color w:val="0000FF" w:themeColor="hyperlink"/>
      <w:u w:val="single"/>
      <w14:textFill>
        <w14:solidFill>
          <w14:schemeClr w14:val="hlink"/>
        </w14:solidFill>
      </w14:textFill>
    </w:rPr>
  </w:style>
  <w:style w:type="character" w:customStyle="1" w:styleId="139">
    <w:name w:val="页眉 字符"/>
    <w:basedOn w:val="134"/>
    <w:link w:val="25"/>
    <w:uiPriority w:val="99"/>
  </w:style>
  <w:style w:type="character" w:customStyle="1" w:styleId="140">
    <w:name w:val="页脚 字符"/>
    <w:basedOn w:val="134"/>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4"/>
    <w:link w:val="19"/>
    <w:uiPriority w:val="99"/>
  </w:style>
  <w:style w:type="character" w:customStyle="1" w:styleId="149">
    <w:name w:val="正文文本 2 字符"/>
    <w:basedOn w:val="134"/>
    <w:link w:val="30"/>
    <w:uiPriority w:val="99"/>
  </w:style>
  <w:style w:type="character" w:customStyle="1" w:styleId="150">
    <w:name w:val="正文文本 3 字符"/>
    <w:basedOn w:val="134"/>
    <w:link w:val="17"/>
    <w:uiPriority w:val="99"/>
    <w:rPr>
      <w:sz w:val="16"/>
      <w:szCs w:val="16"/>
    </w:rPr>
  </w:style>
  <w:style w:type="character" w:customStyle="1" w:styleId="151">
    <w:name w:val="宏文本 字符"/>
    <w:basedOn w:val="134"/>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4"/>
    <w:link w:val="152"/>
    <w:uiPriority w:val="29"/>
    <w:rPr>
      <w:i/>
      <w:iCs/>
      <w:color w:val="000000" w:themeColor="text1"/>
      <w14:textFill>
        <w14:solidFill>
          <w14:schemeClr w14:val="tx1"/>
        </w14:solidFill>
      </w14:textFill>
    </w:rPr>
  </w:style>
  <w:style w:type="character" w:customStyle="1" w:styleId="154">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4"/>
    <w:link w:val="160"/>
    <w:uiPriority w:val="30"/>
    <w:rPr>
      <w:b/>
      <w:bCs/>
      <w:i/>
      <w:iCs/>
      <w:color w:val="4F81BD" w:themeColor="accent1"/>
      <w14:textFill>
        <w14:solidFill>
          <w14:schemeClr w14:val="accent1"/>
        </w14:solidFill>
      </w14:textFill>
    </w:rPr>
  </w:style>
  <w:style w:type="character" w:customStyle="1" w:styleId="162">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4"/>
    <w:qFormat/>
    <w:uiPriority w:val="21"/>
    <w:rPr>
      <w:b/>
      <w:bCs/>
      <w:i/>
      <w:iCs/>
      <w:color w:val="4F81BD" w:themeColor="accent1"/>
      <w14:textFill>
        <w14:solidFill>
          <w14:schemeClr w14:val="accent1"/>
        </w14:solidFill>
      </w14:textFill>
    </w:rPr>
  </w:style>
  <w:style w:type="character" w:customStyle="1" w:styleId="164">
    <w:name w:val="Subtle Reference"/>
    <w:basedOn w:val="134"/>
    <w:qFormat/>
    <w:uiPriority w:val="31"/>
    <w:rPr>
      <w:smallCaps/>
      <w:color w:val="C0504D" w:themeColor="accent2"/>
      <w:u w:val="single"/>
      <w14:textFill>
        <w14:solidFill>
          <w14:schemeClr w14:val="accent2"/>
        </w14:solidFill>
      </w14:textFill>
    </w:rPr>
  </w:style>
  <w:style w:type="character" w:customStyle="1" w:styleId="165">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4"/>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1020</Words>
  <Characters>2398</Characters>
  <Lines>562</Lines>
  <Paragraphs>288</Paragraphs>
  <TotalTime>0</TotalTime>
  <ScaleCrop>false</ScaleCrop>
  <LinksUpToDate>false</LinksUpToDate>
  <CharactersWithSpaces>2811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(･ิϖ･ิ)っ</cp:lastModifiedBy>
  <cp:lastPrinted>2026-06-20T03:32:00Z</cp:lastPrinted>
  <dcterms:modified xsi:type="dcterms:W3CDTF">2026-06-25T05:34:13Z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eyJoZGlkIjoiZDdjMDc1ZTlmODA1Y2RiNjE5YWJiODZiYTA2MDY3MTIiLCJ1c2VySWQiOiIxMjMyNjcyMzMzIn0=</vt:lpwstr>
  </property>
  <property fmtid="{D5CDD505-2E9C-101B-9397-08002B2CF9AE}" pid="3" name="KSOProductBuildVer">
    <vt:lpwstr>2052-12.1.0.21915</vt:lpwstr>
  </property>
  <property fmtid="{D5CDD505-2E9C-101B-9397-08002B2CF9AE}" pid="4" name="ICV">
    <vt:lpwstr>B4935E8FD8FE46F49FA20EC3B496D78D_12</vt:lpwstr>
  </property>
</Properties>
</file>