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r w:rsidR="00894DF2">
        <w:fldChar w:fldCharType="begin"/>
      </w:r>
      <w:r w:rsidR="00DF7283">
        <w:instrText xml:space="preserve"> DOCPROPERTY "Document Title"  \* MERGEFORMAT </w:instrText>
      </w:r>
      <w:r w:rsidR="00894DF2">
        <w:fldChar w:fldCharType="separate"/>
      </w:r>
      <w:proofErr w:type="spellStart"/>
      <w:r w:rsidR="00C74ECD">
        <w:t>HighFreqAssist</w:t>
      </w:r>
      <w:proofErr w:type="spellEnd"/>
      <w:r w:rsidR="00894DF2">
        <w:fldChar w:fldCharType="end"/>
      </w:r>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Content>
        <w:p w:rsidR="00D9560D" w:rsidRDefault="00D9560D">
          <w:pPr>
            <w:pStyle w:val="TOCHeading"/>
          </w:pPr>
          <w:r>
            <w:t>Contents</w:t>
          </w:r>
        </w:p>
        <w:p w:rsidR="0095565B" w:rsidRDefault="00894DF2">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35636555" w:history="1">
            <w:r w:rsidR="0095565B" w:rsidRPr="009B5AA4">
              <w:rPr>
                <w:rStyle w:val="Hyperlink"/>
                <w:noProof/>
              </w:rPr>
              <w:t>1</w:t>
            </w:r>
            <w:r w:rsidR="0095565B">
              <w:rPr>
                <w:rFonts w:asciiTheme="minorHAnsi" w:eastAsiaTheme="minorEastAsia" w:hAnsiTheme="minorHAnsi" w:cstheme="minorBidi"/>
                <w:noProof/>
                <w:sz w:val="22"/>
                <w:szCs w:val="22"/>
              </w:rPr>
              <w:tab/>
            </w:r>
            <w:r w:rsidR="0095565B" w:rsidRPr="009B5AA4">
              <w:rPr>
                <w:rStyle w:val="Hyperlink"/>
                <w:noProof/>
              </w:rPr>
              <w:t>Dependencies</w:t>
            </w:r>
            <w:r w:rsidR="0095565B">
              <w:rPr>
                <w:noProof/>
                <w:webHidden/>
              </w:rPr>
              <w:tab/>
            </w:r>
            <w:r>
              <w:rPr>
                <w:noProof/>
                <w:webHidden/>
              </w:rPr>
              <w:fldChar w:fldCharType="begin"/>
            </w:r>
            <w:r w:rsidR="0095565B">
              <w:rPr>
                <w:noProof/>
                <w:webHidden/>
              </w:rPr>
              <w:instrText xml:space="preserve"> PAGEREF _Toc335636555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894DF2">
          <w:pPr>
            <w:pStyle w:val="TOC1"/>
            <w:tabs>
              <w:tab w:val="left" w:pos="400"/>
              <w:tab w:val="right" w:leader="dot" w:pos="8630"/>
            </w:tabs>
            <w:rPr>
              <w:rFonts w:asciiTheme="minorHAnsi" w:eastAsiaTheme="minorEastAsia" w:hAnsiTheme="minorHAnsi" w:cstheme="minorBidi"/>
              <w:noProof/>
              <w:sz w:val="22"/>
              <w:szCs w:val="22"/>
            </w:rPr>
          </w:pPr>
          <w:hyperlink w:anchor="_Toc335636556" w:history="1">
            <w:r w:rsidR="0095565B" w:rsidRPr="009B5AA4">
              <w:rPr>
                <w:rStyle w:val="Hyperlink"/>
                <w:noProof/>
              </w:rPr>
              <w:t>2</w:t>
            </w:r>
            <w:r w:rsidR="0095565B">
              <w:rPr>
                <w:rFonts w:asciiTheme="minorHAnsi" w:eastAsiaTheme="minorEastAsia" w:hAnsiTheme="minorHAnsi" w:cstheme="minorBidi"/>
                <w:noProof/>
                <w:sz w:val="22"/>
                <w:szCs w:val="22"/>
              </w:rPr>
              <w:tab/>
            </w:r>
            <w:r w:rsidR="0095565B" w:rsidRPr="009B5AA4">
              <w:rPr>
                <w:rStyle w:val="Hyperlink"/>
                <w:noProof/>
              </w:rPr>
              <w:t>Configuration</w:t>
            </w:r>
            <w:r w:rsidR="0095565B">
              <w:rPr>
                <w:noProof/>
                <w:webHidden/>
              </w:rPr>
              <w:tab/>
            </w:r>
            <w:r>
              <w:rPr>
                <w:noProof/>
                <w:webHidden/>
              </w:rPr>
              <w:fldChar w:fldCharType="begin"/>
            </w:r>
            <w:r w:rsidR="0095565B">
              <w:rPr>
                <w:noProof/>
                <w:webHidden/>
              </w:rPr>
              <w:instrText xml:space="preserve"> PAGEREF _Toc335636556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894DF2">
          <w:pPr>
            <w:pStyle w:val="TOC2"/>
            <w:tabs>
              <w:tab w:val="left" w:pos="880"/>
            </w:tabs>
            <w:rPr>
              <w:rFonts w:asciiTheme="minorHAnsi" w:eastAsiaTheme="minorEastAsia" w:hAnsiTheme="minorHAnsi" w:cstheme="minorBidi"/>
              <w:noProof/>
              <w:sz w:val="22"/>
              <w:szCs w:val="22"/>
            </w:rPr>
          </w:pPr>
          <w:hyperlink w:anchor="_Toc335636557" w:history="1">
            <w:r w:rsidR="0095565B" w:rsidRPr="009B5AA4">
              <w:rPr>
                <w:rStyle w:val="Hyperlink"/>
                <w:noProof/>
              </w:rPr>
              <w:t>2.1</w:t>
            </w:r>
            <w:r w:rsidR="0095565B">
              <w:rPr>
                <w:rFonts w:asciiTheme="minorHAnsi" w:eastAsiaTheme="minorEastAsia" w:hAnsiTheme="minorHAnsi" w:cstheme="minorBidi"/>
                <w:noProof/>
                <w:sz w:val="22"/>
                <w:szCs w:val="22"/>
              </w:rPr>
              <w:tab/>
            </w:r>
            <w:r w:rsidR="0095565B" w:rsidRPr="009B5AA4">
              <w:rPr>
                <w:rStyle w:val="Hyperlink"/>
                <w:noProof/>
              </w:rPr>
              <w:t>Build Time Config</w:t>
            </w:r>
            <w:r w:rsidR="0095565B">
              <w:rPr>
                <w:noProof/>
                <w:webHidden/>
              </w:rPr>
              <w:tab/>
            </w:r>
            <w:r>
              <w:rPr>
                <w:noProof/>
                <w:webHidden/>
              </w:rPr>
              <w:fldChar w:fldCharType="begin"/>
            </w:r>
            <w:r w:rsidR="0095565B">
              <w:rPr>
                <w:noProof/>
                <w:webHidden/>
              </w:rPr>
              <w:instrText xml:space="preserve"> PAGEREF _Toc335636557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894DF2">
          <w:pPr>
            <w:pStyle w:val="TOC2"/>
            <w:tabs>
              <w:tab w:val="left" w:pos="880"/>
            </w:tabs>
            <w:rPr>
              <w:rFonts w:asciiTheme="minorHAnsi" w:eastAsiaTheme="minorEastAsia" w:hAnsiTheme="minorHAnsi" w:cstheme="minorBidi"/>
              <w:noProof/>
              <w:sz w:val="22"/>
              <w:szCs w:val="22"/>
            </w:rPr>
          </w:pPr>
          <w:hyperlink w:anchor="_Toc335636558" w:history="1">
            <w:r w:rsidR="0095565B" w:rsidRPr="009B5AA4">
              <w:rPr>
                <w:rStyle w:val="Hyperlink"/>
                <w:noProof/>
              </w:rPr>
              <w:t>2.2</w:t>
            </w:r>
            <w:r w:rsidR="0095565B">
              <w:rPr>
                <w:rFonts w:asciiTheme="minorHAnsi" w:eastAsiaTheme="minorEastAsia" w:hAnsiTheme="minorHAnsi" w:cstheme="minorBidi"/>
                <w:noProof/>
                <w:sz w:val="22"/>
                <w:szCs w:val="22"/>
              </w:rPr>
              <w:tab/>
            </w:r>
            <w:r w:rsidR="0095565B" w:rsidRPr="009B5AA4">
              <w:rPr>
                <w:rStyle w:val="Hyperlink"/>
                <w:noProof/>
              </w:rPr>
              <w:t>Generator Config</w:t>
            </w:r>
            <w:r w:rsidR="0095565B">
              <w:rPr>
                <w:noProof/>
                <w:webHidden/>
              </w:rPr>
              <w:tab/>
            </w:r>
            <w:r>
              <w:rPr>
                <w:noProof/>
                <w:webHidden/>
              </w:rPr>
              <w:fldChar w:fldCharType="begin"/>
            </w:r>
            <w:r w:rsidR="0095565B">
              <w:rPr>
                <w:noProof/>
                <w:webHidden/>
              </w:rPr>
              <w:instrText xml:space="preserve"> PAGEREF _Toc335636558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894DF2">
          <w:pPr>
            <w:pStyle w:val="TOC1"/>
            <w:tabs>
              <w:tab w:val="left" w:pos="400"/>
              <w:tab w:val="right" w:leader="dot" w:pos="8630"/>
            </w:tabs>
            <w:rPr>
              <w:rFonts w:asciiTheme="minorHAnsi" w:eastAsiaTheme="minorEastAsia" w:hAnsiTheme="minorHAnsi" w:cstheme="minorBidi"/>
              <w:noProof/>
              <w:sz w:val="22"/>
              <w:szCs w:val="22"/>
            </w:rPr>
          </w:pPr>
          <w:hyperlink w:anchor="_Toc335636559" w:history="1">
            <w:r w:rsidR="0095565B" w:rsidRPr="009B5AA4">
              <w:rPr>
                <w:rStyle w:val="Hyperlink"/>
                <w:noProof/>
              </w:rPr>
              <w:t>3</w:t>
            </w:r>
            <w:r w:rsidR="0095565B">
              <w:rPr>
                <w:rFonts w:asciiTheme="minorHAnsi" w:eastAsiaTheme="minorEastAsia" w:hAnsiTheme="minorHAnsi" w:cstheme="minorBidi"/>
                <w:noProof/>
                <w:sz w:val="22"/>
                <w:szCs w:val="22"/>
              </w:rPr>
              <w:tab/>
            </w:r>
            <w:r w:rsidR="0095565B" w:rsidRPr="009B5AA4">
              <w:rPr>
                <w:rStyle w:val="Hyperlink"/>
                <w:noProof/>
              </w:rPr>
              <w:t>Runnable Scheduling</w:t>
            </w:r>
            <w:r w:rsidR="0095565B">
              <w:rPr>
                <w:noProof/>
                <w:webHidden/>
              </w:rPr>
              <w:tab/>
            </w:r>
            <w:r>
              <w:rPr>
                <w:noProof/>
                <w:webHidden/>
              </w:rPr>
              <w:fldChar w:fldCharType="begin"/>
            </w:r>
            <w:r w:rsidR="0095565B">
              <w:rPr>
                <w:noProof/>
                <w:webHidden/>
              </w:rPr>
              <w:instrText xml:space="preserve"> PAGEREF _Toc335636559 \h </w:instrText>
            </w:r>
            <w:r>
              <w:rPr>
                <w:noProof/>
                <w:webHidden/>
              </w:rPr>
            </w:r>
            <w:r>
              <w:rPr>
                <w:noProof/>
                <w:webHidden/>
              </w:rPr>
              <w:fldChar w:fldCharType="separate"/>
            </w:r>
            <w:r w:rsidR="0095565B">
              <w:rPr>
                <w:noProof/>
                <w:webHidden/>
              </w:rPr>
              <w:t>5</w:t>
            </w:r>
            <w:r>
              <w:rPr>
                <w:noProof/>
                <w:webHidden/>
              </w:rPr>
              <w:fldChar w:fldCharType="end"/>
            </w:r>
          </w:hyperlink>
        </w:p>
        <w:p w:rsidR="0095565B" w:rsidRDefault="00894DF2">
          <w:pPr>
            <w:pStyle w:val="TOC1"/>
            <w:tabs>
              <w:tab w:val="left" w:pos="400"/>
              <w:tab w:val="right" w:leader="dot" w:pos="8630"/>
            </w:tabs>
            <w:rPr>
              <w:rFonts w:asciiTheme="minorHAnsi" w:eastAsiaTheme="minorEastAsia" w:hAnsiTheme="minorHAnsi" w:cstheme="minorBidi"/>
              <w:noProof/>
              <w:sz w:val="22"/>
              <w:szCs w:val="22"/>
            </w:rPr>
          </w:pPr>
          <w:hyperlink w:anchor="_Toc335636560" w:history="1">
            <w:r w:rsidR="0095565B" w:rsidRPr="009B5AA4">
              <w:rPr>
                <w:rStyle w:val="Hyperlink"/>
                <w:noProof/>
              </w:rPr>
              <w:t>4</w:t>
            </w:r>
            <w:r w:rsidR="0095565B">
              <w:rPr>
                <w:rFonts w:asciiTheme="minorHAnsi" w:eastAsiaTheme="minorEastAsia" w:hAnsiTheme="minorHAnsi" w:cstheme="minorBidi"/>
                <w:noProof/>
                <w:sz w:val="22"/>
                <w:szCs w:val="22"/>
              </w:rPr>
              <w:tab/>
            </w:r>
            <w:r w:rsidR="0095565B" w:rsidRPr="009B5AA4">
              <w:rPr>
                <w:rStyle w:val="Hyperlink"/>
                <w:noProof/>
              </w:rPr>
              <w:t>Memory Mapping</w:t>
            </w:r>
            <w:r w:rsidR="0095565B">
              <w:rPr>
                <w:noProof/>
                <w:webHidden/>
              </w:rPr>
              <w:tab/>
            </w:r>
            <w:r>
              <w:rPr>
                <w:noProof/>
                <w:webHidden/>
              </w:rPr>
              <w:fldChar w:fldCharType="begin"/>
            </w:r>
            <w:r w:rsidR="0095565B">
              <w:rPr>
                <w:noProof/>
                <w:webHidden/>
              </w:rPr>
              <w:instrText xml:space="preserve"> PAGEREF _Toc335636560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894DF2">
          <w:pPr>
            <w:pStyle w:val="TOC2"/>
            <w:tabs>
              <w:tab w:val="left" w:pos="880"/>
            </w:tabs>
            <w:rPr>
              <w:rFonts w:asciiTheme="minorHAnsi" w:eastAsiaTheme="minorEastAsia" w:hAnsiTheme="minorHAnsi" w:cstheme="minorBidi"/>
              <w:noProof/>
              <w:sz w:val="22"/>
              <w:szCs w:val="22"/>
            </w:rPr>
          </w:pPr>
          <w:hyperlink w:anchor="_Toc335636561" w:history="1">
            <w:r w:rsidR="0095565B" w:rsidRPr="009B5AA4">
              <w:rPr>
                <w:rStyle w:val="Hyperlink"/>
                <w:noProof/>
              </w:rPr>
              <w:t>4.1</w:t>
            </w:r>
            <w:r w:rsidR="0095565B">
              <w:rPr>
                <w:rFonts w:asciiTheme="minorHAnsi" w:eastAsiaTheme="minorEastAsia" w:hAnsiTheme="minorHAnsi" w:cstheme="minorBidi"/>
                <w:noProof/>
                <w:sz w:val="22"/>
                <w:szCs w:val="22"/>
              </w:rPr>
              <w:tab/>
            </w:r>
            <w:r w:rsidR="0095565B" w:rsidRPr="009B5AA4">
              <w:rPr>
                <w:rStyle w:val="Hyperlink"/>
                <w:noProof/>
              </w:rPr>
              <w:t>Mapping</w:t>
            </w:r>
            <w:r w:rsidR="0095565B">
              <w:rPr>
                <w:noProof/>
                <w:webHidden/>
              </w:rPr>
              <w:tab/>
            </w:r>
            <w:r>
              <w:rPr>
                <w:noProof/>
                <w:webHidden/>
              </w:rPr>
              <w:fldChar w:fldCharType="begin"/>
            </w:r>
            <w:r w:rsidR="0095565B">
              <w:rPr>
                <w:noProof/>
                <w:webHidden/>
              </w:rPr>
              <w:instrText xml:space="preserve"> PAGEREF _Toc335636561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894DF2">
          <w:pPr>
            <w:pStyle w:val="TOC2"/>
            <w:tabs>
              <w:tab w:val="left" w:pos="880"/>
            </w:tabs>
            <w:rPr>
              <w:rFonts w:asciiTheme="minorHAnsi" w:eastAsiaTheme="minorEastAsia" w:hAnsiTheme="minorHAnsi" w:cstheme="minorBidi"/>
              <w:noProof/>
              <w:sz w:val="22"/>
              <w:szCs w:val="22"/>
            </w:rPr>
          </w:pPr>
          <w:hyperlink w:anchor="_Toc335636562" w:history="1">
            <w:r w:rsidR="0095565B" w:rsidRPr="009B5AA4">
              <w:rPr>
                <w:rStyle w:val="Hyperlink"/>
                <w:noProof/>
              </w:rPr>
              <w:t>4.2</w:t>
            </w:r>
            <w:r w:rsidR="0095565B">
              <w:rPr>
                <w:rFonts w:asciiTheme="minorHAnsi" w:eastAsiaTheme="minorEastAsia" w:hAnsiTheme="minorHAnsi" w:cstheme="minorBidi"/>
                <w:noProof/>
                <w:sz w:val="22"/>
                <w:szCs w:val="22"/>
              </w:rPr>
              <w:tab/>
            </w:r>
            <w:r w:rsidR="0095565B" w:rsidRPr="009B5AA4">
              <w:rPr>
                <w:rStyle w:val="Hyperlink"/>
                <w:noProof/>
              </w:rPr>
              <w:t>Usage</w:t>
            </w:r>
            <w:r w:rsidR="0095565B">
              <w:rPr>
                <w:noProof/>
                <w:webHidden/>
              </w:rPr>
              <w:tab/>
            </w:r>
            <w:r>
              <w:rPr>
                <w:noProof/>
                <w:webHidden/>
              </w:rPr>
              <w:fldChar w:fldCharType="begin"/>
            </w:r>
            <w:r w:rsidR="0095565B">
              <w:rPr>
                <w:noProof/>
                <w:webHidden/>
              </w:rPr>
              <w:instrText xml:space="preserve"> PAGEREF _Toc335636562 \h </w:instrText>
            </w:r>
            <w:r>
              <w:rPr>
                <w:noProof/>
                <w:webHidden/>
              </w:rPr>
            </w:r>
            <w:r>
              <w:rPr>
                <w:noProof/>
                <w:webHidden/>
              </w:rPr>
              <w:fldChar w:fldCharType="separate"/>
            </w:r>
            <w:r w:rsidR="0095565B">
              <w:rPr>
                <w:noProof/>
                <w:webHidden/>
              </w:rPr>
              <w:t>6</w:t>
            </w:r>
            <w:r>
              <w:rPr>
                <w:noProof/>
                <w:webHidden/>
              </w:rPr>
              <w:fldChar w:fldCharType="end"/>
            </w:r>
          </w:hyperlink>
        </w:p>
        <w:p w:rsidR="00D9560D" w:rsidRDefault="00894DF2">
          <w:r>
            <w:fldChar w:fldCharType="end"/>
          </w:r>
        </w:p>
      </w:sdtContent>
    </w:sdt>
    <w:p w:rsidR="004A781C" w:rsidRDefault="00894DF2">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916B39" w:rsidRDefault="00916B39">
      <w:pPr>
        <w:pStyle w:val="Heading1"/>
      </w:pPr>
      <w:bookmarkStart w:id="0" w:name="_Toc335636555"/>
      <w:r>
        <w:t>Dependencies</w:t>
      </w:r>
      <w:bookmarkEnd w:id="0"/>
    </w:p>
    <w:tbl>
      <w:tblPr>
        <w:tblStyle w:val="LightList-Accent1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E34D91">
            <w:r>
              <w:t>Module</w:t>
            </w:r>
          </w:p>
        </w:tc>
        <w:tc>
          <w:tcPr>
            <w:tcW w:w="5598" w:type="dxa"/>
          </w:tcPr>
          <w:p w:rsidR="00916B39" w:rsidRDefault="000B7B76" w:rsidP="00E34D91">
            <w:pPr>
              <w:cnfStyle w:val="100000000000"/>
            </w:pPr>
            <w:r>
              <w:t xml:space="preserve">Required </w:t>
            </w:r>
            <w:r w:rsidR="002651B5">
              <w:t>Feature</w:t>
            </w:r>
          </w:p>
        </w:tc>
      </w:tr>
      <w:tr w:rsidR="00DA0880" w:rsidTr="0037668F">
        <w:trPr>
          <w:cnfStyle w:val="000000100000"/>
        </w:trPr>
        <w:tc>
          <w:tcPr>
            <w:cnfStyle w:val="001000000000"/>
            <w:tcW w:w="3258" w:type="dxa"/>
          </w:tcPr>
          <w:p w:rsidR="00DA0880" w:rsidRDefault="00DA0880" w:rsidP="00E34D91">
            <w:r>
              <w:t>Rte</w:t>
            </w:r>
          </w:p>
        </w:tc>
        <w:tc>
          <w:tcPr>
            <w:tcW w:w="5598" w:type="dxa"/>
          </w:tcPr>
          <w:p w:rsidR="00DA0880" w:rsidRDefault="00DA0880" w:rsidP="00D86C2B">
            <w:pPr>
              <w:cnfStyle w:val="000000100000"/>
            </w:pPr>
            <w:r>
              <w:t xml:space="preserve">Port and </w:t>
            </w:r>
            <w:proofErr w:type="spellStart"/>
            <w:r>
              <w:t>runnable</w:t>
            </w:r>
            <w:proofErr w:type="spellEnd"/>
            <w:r>
              <w:t xml:space="preserve"> mapping.</w:t>
            </w:r>
          </w:p>
        </w:tc>
      </w:tr>
      <w:tr w:rsidR="00D86C2B" w:rsidTr="0037668F">
        <w:tc>
          <w:tcPr>
            <w:cnfStyle w:val="001000000000"/>
            <w:tcW w:w="3258" w:type="dxa"/>
          </w:tcPr>
          <w:p w:rsidR="00D86C2B" w:rsidRDefault="00DA0880" w:rsidP="00E34D91">
            <w:proofErr w:type="spellStart"/>
            <w:r>
              <w:t>WdgM</w:t>
            </w:r>
            <w:proofErr w:type="spellEnd"/>
          </w:p>
        </w:tc>
        <w:tc>
          <w:tcPr>
            <w:tcW w:w="5598" w:type="dxa"/>
          </w:tcPr>
          <w:p w:rsidR="00D86C2B" w:rsidRPr="0023548C" w:rsidRDefault="00DA0880" w:rsidP="00D86C2B">
            <w:pPr>
              <w:cnfStyle w:val="000000000000"/>
            </w:pPr>
            <w:proofErr w:type="spellStart"/>
            <w:r>
              <w:t>CheckpointReached</w:t>
            </w:r>
            <w:proofErr w:type="spellEnd"/>
            <w:r>
              <w:t>() API</w:t>
            </w:r>
          </w:p>
        </w:tc>
      </w:tr>
    </w:tbl>
    <w:p w:rsidR="006D151B" w:rsidRPr="006D151B" w:rsidRDefault="00A17EB8" w:rsidP="006D151B">
      <w:pPr>
        <w:pStyle w:val="Heading1"/>
      </w:pPr>
      <w:bookmarkStart w:id="1" w:name="_Toc335636556"/>
      <w:r>
        <w:t>Configuration</w:t>
      </w:r>
      <w:bookmarkEnd w:id="1"/>
    </w:p>
    <w:p w:rsidR="006768B8" w:rsidRDefault="006768B8" w:rsidP="006768B8">
      <w:pPr>
        <w:pStyle w:val="Heading2"/>
      </w:pPr>
      <w:bookmarkStart w:id="2" w:name="_Toc335636557"/>
      <w:r>
        <w:t xml:space="preserve">Build Time </w:t>
      </w:r>
      <w:proofErr w:type="spellStart"/>
      <w:r>
        <w:t>Config</w:t>
      </w:r>
      <w:bookmarkEnd w:id="2"/>
      <w:proofErr w:type="spellEnd"/>
    </w:p>
    <w:tbl>
      <w:tblPr>
        <w:tblStyle w:val="LightList-Accent1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6D151B" w:rsidP="00E34D91">
            <w:r>
              <w:t>Constant</w:t>
            </w:r>
          </w:p>
        </w:tc>
        <w:tc>
          <w:tcPr>
            <w:tcW w:w="4771" w:type="dxa"/>
          </w:tcPr>
          <w:p w:rsidR="006D151B" w:rsidRDefault="006D151B" w:rsidP="00E34D91">
            <w:pPr>
              <w:cnfStyle w:val="100000000000"/>
            </w:pPr>
            <w:r>
              <w:t>Notes</w:t>
            </w:r>
          </w:p>
        </w:tc>
        <w:tc>
          <w:tcPr>
            <w:tcW w:w="827" w:type="dxa"/>
          </w:tcPr>
          <w:p w:rsidR="006D151B" w:rsidRDefault="006D151B" w:rsidP="00E34D91">
            <w:pPr>
              <w:cnfStyle w:val="100000000000"/>
            </w:pPr>
            <w:r>
              <w:t>SWC</w:t>
            </w:r>
          </w:p>
        </w:tc>
      </w:tr>
      <w:tr w:rsidR="006D151B" w:rsidTr="0037668F">
        <w:trPr>
          <w:cnfStyle w:val="000000100000"/>
        </w:trPr>
        <w:tc>
          <w:tcPr>
            <w:cnfStyle w:val="001000000000"/>
            <w:tcW w:w="3258" w:type="dxa"/>
          </w:tcPr>
          <w:p w:rsidR="006D151B" w:rsidRDefault="009409B3" w:rsidP="00E34D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6D151B" w:rsidRDefault="006D151B" w:rsidP="006D151B">
      <w:pPr>
        <w:pStyle w:val="Heading2"/>
      </w:pPr>
      <w:bookmarkStart w:id="3" w:name="_Toc335636558"/>
      <w:r>
        <w:t xml:space="preserve">Generator </w:t>
      </w:r>
      <w:proofErr w:type="spellStart"/>
      <w:r>
        <w:t>Config</w:t>
      </w:r>
      <w:bookmarkEnd w:id="3"/>
      <w:proofErr w:type="spellEnd"/>
    </w:p>
    <w:p w:rsidR="00EB4B8F" w:rsidRDefault="00EB4B8F" w:rsidP="00EB4B8F">
      <w:r>
        <w:t xml:space="preserve">The </w:t>
      </w:r>
      <w:r w:rsidR="00894DF2">
        <w:fldChar w:fldCharType="begin"/>
      </w:r>
      <w:r w:rsidR="00DF7283">
        <w:instrText xml:space="preserve"> DOCPROPERTY "Document Title"  \* MERGEFORMAT </w:instrText>
      </w:r>
      <w:r w:rsidR="00894DF2">
        <w:fldChar w:fldCharType="separate"/>
      </w:r>
      <w:proofErr w:type="spellStart"/>
      <w:r w:rsidR="0048377D">
        <w:t>HighFreqAssist</w:t>
      </w:r>
      <w:proofErr w:type="spellEnd"/>
      <w:r w:rsidR="00894DF2">
        <w:fldChar w:fldCharType="end"/>
      </w:r>
      <w:r w:rsidR="009409B3">
        <w:t xml:space="preserve"> </w:t>
      </w:r>
      <w:r>
        <w:t xml:space="preserve">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w:t>
      </w:r>
      <w:proofErr w:type="spellStart"/>
      <w:r>
        <w:t>Davinci</w:t>
      </w:r>
      <w:proofErr w:type="spellEnd"/>
      <w:r>
        <w:t xml:space="preserve"> </w:t>
      </w:r>
      <w:proofErr w:type="spellStart"/>
      <w:r>
        <w:t>Configurator</w:t>
      </w:r>
      <w:proofErr w:type="spellEnd"/>
      <w:r>
        <w:t>:</w:t>
      </w:r>
    </w:p>
    <w:p w:rsidR="00EB4B8F" w:rsidRDefault="00EB4B8F" w:rsidP="00EB4B8F">
      <w:pPr>
        <w:pStyle w:val="ListParagraph"/>
        <w:numPr>
          <w:ilvl w:val="0"/>
          <w:numId w:val="12"/>
        </w:numPr>
      </w:pPr>
      <w:r>
        <w:t>Copy the “</w:t>
      </w:r>
      <w:proofErr w:type="spellStart"/>
      <w:r>
        <w:t>Artt</w:t>
      </w:r>
      <w:proofErr w:type="spellEnd"/>
      <w:r>
        <w:t>/</w:t>
      </w:r>
      <w:proofErr w:type="spellStart"/>
      <w:r>
        <w:t>artt</w:t>
      </w:r>
      <w:proofErr w:type="spellEnd"/>
      <w:r>
        <w:t>” framework folder into the “Generators” directory</w:t>
      </w:r>
      <w:r w:rsidR="009409B3">
        <w:t xml:space="preserve"> (</w:t>
      </w:r>
      <w:r w:rsidR="009409B3" w:rsidRPr="00703830">
        <w:t>if not already present</w:t>
      </w:r>
      <w:r w:rsidR="009409B3">
        <w:t>)</w:t>
      </w:r>
    </w:p>
    <w:p w:rsidR="009409B3" w:rsidRDefault="009409B3" w:rsidP="00EB4B8F">
      <w:pPr>
        <w:pStyle w:val="ListParagraph"/>
        <w:numPr>
          <w:ilvl w:val="0"/>
          <w:numId w:val="12"/>
        </w:numPr>
      </w:pPr>
      <w:r>
        <w:t>Execute the “Integrate.bat” script from the Tools directory of this component to perform the necessary integration steps:</w:t>
      </w:r>
    </w:p>
    <w:p w:rsidR="009409B3" w:rsidRDefault="00E76979" w:rsidP="009409B3">
      <w:pPr>
        <w:pStyle w:val="ListParagraph"/>
        <w:numPr>
          <w:ilvl w:val="1"/>
          <w:numId w:val="12"/>
        </w:numPr>
      </w:pPr>
      <w:r>
        <w:t>The script c</w:t>
      </w:r>
      <w:r w:rsidR="00EB4B8F">
        <w:t>reate</w:t>
      </w:r>
      <w:r w:rsidR="009409B3">
        <w:t>s</w:t>
      </w:r>
      <w:r w:rsidR="00EB4B8F">
        <w:t xml:space="preserve"> the</w:t>
      </w:r>
      <w:r w:rsidR="009409B3">
        <w:t xml:space="preserve"> required directories in the integration project, </w:t>
      </w:r>
      <w:r w:rsidR="00EB4B8F">
        <w:t>“</w:t>
      </w:r>
      <w:r w:rsidR="00D222AD">
        <w:t>Generators/</w:t>
      </w:r>
      <w:proofErr w:type="spellStart"/>
      <w:r w:rsidR="00EB4B8F">
        <w:t>Artt</w:t>
      </w:r>
      <w:proofErr w:type="spellEnd"/>
      <w:r w:rsidR="00EB4B8F">
        <w:t>/</w:t>
      </w:r>
      <w:proofErr w:type="spellStart"/>
      <w:r w:rsidR="00894DF2">
        <w:fldChar w:fldCharType="begin"/>
      </w:r>
      <w:r w:rsidR="00DF7283">
        <w:instrText xml:space="preserve"> DOCPROPERTY "Document Title"  \* MERGEFORMAT </w:instrText>
      </w:r>
      <w:r w:rsidR="00894DF2">
        <w:fldChar w:fldCharType="separate"/>
      </w:r>
      <w:r w:rsidR="0048377D">
        <w:t>HighFreqAssist</w:t>
      </w:r>
      <w:proofErr w:type="spellEnd"/>
      <w:r w:rsidR="00894DF2">
        <w:fldChar w:fldCharType="end"/>
      </w:r>
      <w:r w:rsidR="00EB4B8F">
        <w:t xml:space="preserve">” and </w:t>
      </w:r>
      <w:r w:rsidR="00D222AD">
        <w:t>“Generators/Components/_Schemes/</w:t>
      </w:r>
      <w:proofErr w:type="spellStart"/>
      <w:r w:rsidR="00894DF2">
        <w:fldChar w:fldCharType="begin"/>
      </w:r>
      <w:r w:rsidR="00DF7283">
        <w:instrText xml:space="preserve"> DOCPROPERTY "Document Title"  \* MERGEFORMAT </w:instrText>
      </w:r>
      <w:r w:rsidR="00894DF2">
        <w:fldChar w:fldCharType="separate"/>
      </w:r>
      <w:r w:rsidR="0048377D">
        <w:t>HighFreqAssist</w:t>
      </w:r>
      <w:proofErr w:type="spellEnd"/>
      <w:r w:rsidR="00894DF2">
        <w:fldChar w:fldCharType="end"/>
      </w:r>
      <w:r w:rsidR="00D222AD">
        <w:t>/</w:t>
      </w:r>
      <w:proofErr w:type="spellStart"/>
      <w:r w:rsidR="00D222AD">
        <w:t>bswmd</w:t>
      </w:r>
      <w:proofErr w:type="spellEnd"/>
      <w:r w:rsidR="00D222AD">
        <w:t>”</w:t>
      </w:r>
    </w:p>
    <w:p w:rsidR="00EB4B8F" w:rsidRDefault="00E76979" w:rsidP="009409B3">
      <w:pPr>
        <w:pStyle w:val="ListParagraph"/>
        <w:numPr>
          <w:ilvl w:val="1"/>
          <w:numId w:val="12"/>
        </w:numPr>
      </w:pPr>
      <w:r>
        <w:t>The script then c</w:t>
      </w:r>
      <w:r w:rsidR="009409B3">
        <w:t xml:space="preserve">opies </w:t>
      </w:r>
      <w:r w:rsidR="00D222AD">
        <w:t xml:space="preserve">the </w:t>
      </w:r>
      <w:r w:rsidR="009409B3">
        <w:t>required files f</w:t>
      </w:r>
      <w:r w:rsidR="00D222AD">
        <w:t xml:space="preserve">rom the CBD generate </w:t>
      </w:r>
      <w:r w:rsidR="009409B3">
        <w:t>directory into the new directories</w:t>
      </w:r>
      <w:r w:rsidR="00D222AD">
        <w:t>.</w:t>
      </w:r>
    </w:p>
    <w:p w:rsidR="00F560FE" w:rsidRDefault="009409B3" w:rsidP="009409B3">
      <w:pPr>
        <w:pStyle w:val="ListParagraph"/>
        <w:numPr>
          <w:ilvl w:val="0"/>
          <w:numId w:val="12"/>
        </w:numPr>
      </w:pPr>
      <w:r>
        <w:lastRenderedPageBreak/>
        <w:t>I</w:t>
      </w:r>
      <w:r w:rsidR="00E76979">
        <w:t>f this is the first ti</w:t>
      </w:r>
      <w:r>
        <w:t>m</w:t>
      </w:r>
      <w:r w:rsidR="00E76979">
        <w:t>e</w:t>
      </w:r>
      <w:r>
        <w:t xml:space="preserve"> integration, then perform the</w:t>
      </w:r>
      <w:r w:rsidR="00D222AD">
        <w:t xml:space="preserve"> </w:t>
      </w:r>
      <w:proofErr w:type="spellStart"/>
      <w:r w:rsidR="00D222AD">
        <w:t>Davinci</w:t>
      </w:r>
      <w:proofErr w:type="spellEnd"/>
      <w:r w:rsidR="00D222AD">
        <w:t xml:space="preserve"> </w:t>
      </w:r>
      <w:proofErr w:type="spellStart"/>
      <w:r w:rsidR="00D222AD">
        <w:t>Configurator</w:t>
      </w:r>
      <w:proofErr w:type="spellEnd"/>
      <w:r>
        <w:t xml:space="preserve"> 3</w:t>
      </w:r>
      <w:r w:rsidRPr="009409B3">
        <w:t>rd</w:t>
      </w:r>
      <w:r>
        <w:t xml:space="preserve"> party component integration procedure.</w:t>
      </w:r>
    </w:p>
    <w:p w:rsidR="009409B3" w:rsidRDefault="009409B3" w:rsidP="00F560FE"/>
    <w:tbl>
      <w:tblPr>
        <w:tblStyle w:val="LightList-Accent11"/>
        <w:tblW w:w="0" w:type="auto"/>
        <w:tblLook w:val="04A0"/>
      </w:tblPr>
      <w:tblGrid>
        <w:gridCol w:w="2264"/>
        <w:gridCol w:w="5120"/>
        <w:gridCol w:w="1472"/>
      </w:tblGrid>
      <w:tr w:rsidR="006D151B" w:rsidTr="00DA0880">
        <w:trPr>
          <w:cnfStyle w:val="100000000000"/>
        </w:trPr>
        <w:tc>
          <w:tcPr>
            <w:cnfStyle w:val="001000000000"/>
            <w:tcW w:w="2268" w:type="dxa"/>
          </w:tcPr>
          <w:p w:rsidR="006D151B" w:rsidRDefault="006D151B" w:rsidP="00B76799">
            <w:r>
              <w:t>Constant</w:t>
            </w:r>
          </w:p>
        </w:tc>
        <w:tc>
          <w:tcPr>
            <w:tcW w:w="5768" w:type="dxa"/>
          </w:tcPr>
          <w:p w:rsidR="006D151B" w:rsidRDefault="006D151B" w:rsidP="00B76799">
            <w:pPr>
              <w:cnfStyle w:val="100000000000"/>
            </w:pPr>
            <w:r>
              <w:t>Notes</w:t>
            </w:r>
          </w:p>
        </w:tc>
        <w:tc>
          <w:tcPr>
            <w:tcW w:w="820" w:type="dxa"/>
          </w:tcPr>
          <w:p w:rsidR="006D151B" w:rsidRDefault="006D151B" w:rsidP="00B76799">
            <w:pPr>
              <w:cnfStyle w:val="100000000000"/>
            </w:pPr>
            <w:r>
              <w:t>SWC</w:t>
            </w:r>
          </w:p>
        </w:tc>
      </w:tr>
      <w:tr w:rsidR="00081A7A" w:rsidTr="00DA0880">
        <w:trPr>
          <w:cnfStyle w:val="000000100000"/>
          <w:trHeight w:val="322"/>
        </w:trPr>
        <w:tc>
          <w:tcPr>
            <w:cnfStyle w:val="001000000000"/>
            <w:tcW w:w="2268" w:type="dxa"/>
          </w:tcPr>
          <w:p w:rsidR="00081A7A" w:rsidRPr="0023548C" w:rsidRDefault="0048377D" w:rsidP="003603A7">
            <w:proofErr w:type="spellStart"/>
            <w:r w:rsidRPr="0048377D">
              <w:t>HighFreqAssist</w:t>
            </w:r>
            <w:r w:rsidR="00081A7A" w:rsidRPr="00081A7A">
              <w:t>General</w:t>
            </w:r>
            <w:proofErr w:type="spellEnd"/>
          </w:p>
        </w:tc>
        <w:tc>
          <w:tcPr>
            <w:tcW w:w="5768" w:type="dxa"/>
          </w:tcPr>
          <w:p w:rsidR="00081A7A" w:rsidRPr="001C67A3" w:rsidRDefault="00081A7A" w:rsidP="00DA0880">
            <w:pPr>
              <w:cnfStyle w:val="000000100000"/>
            </w:pPr>
            <w:r>
              <w:t xml:space="preserve">General module configuration.  See </w:t>
            </w:r>
            <w:proofErr w:type="spellStart"/>
            <w:r w:rsidR="0048377D" w:rsidRPr="0048377D">
              <w:t>HighFreqAssist</w:t>
            </w:r>
            <w:proofErr w:type="spellEnd"/>
            <w:r w:rsidR="0048377D">
              <w:t xml:space="preserve"> </w:t>
            </w:r>
            <w:r>
              <w:t>technical reference for details.</w:t>
            </w:r>
          </w:p>
        </w:tc>
        <w:tc>
          <w:tcPr>
            <w:tcW w:w="820" w:type="dxa"/>
          </w:tcPr>
          <w:p w:rsidR="00081A7A" w:rsidRDefault="0048377D" w:rsidP="00F20A34">
            <w:pPr>
              <w:cnfStyle w:val="000000100000"/>
            </w:pPr>
            <w:proofErr w:type="spellStart"/>
            <w:r w:rsidRPr="0048377D">
              <w:t>HighFreqAssist</w:t>
            </w:r>
            <w:proofErr w:type="spellEnd"/>
          </w:p>
        </w:tc>
      </w:tr>
    </w:tbl>
    <w:p w:rsidR="00612F6C" w:rsidRDefault="00612F6C" w:rsidP="00612F6C">
      <w:pPr>
        <w:pStyle w:val="Heading2"/>
      </w:pPr>
      <w:bookmarkStart w:id="4" w:name="_Toc335636559"/>
      <w:r>
        <w:t xml:space="preserve">Rte </w:t>
      </w:r>
      <w:proofErr w:type="spellStart"/>
      <w:r>
        <w:t>Config</w:t>
      </w:r>
      <w:proofErr w:type="spellEnd"/>
    </w:p>
    <w:p w:rsidR="00612F6C" w:rsidRPr="00612F6C" w:rsidRDefault="00612F6C" w:rsidP="00612F6C">
      <w:r>
        <w:t>The SWC description included with this component in the “</w:t>
      </w:r>
      <w:proofErr w:type="spellStart"/>
      <w:r>
        <w:t>autosar</w:t>
      </w:r>
      <w:proofErr w:type="spellEnd"/>
      <w:r>
        <w:t xml:space="preserve">” folder describes only the static portion of the SWC.  A partial SWC description describing the configurable part of the component interface is generated into the </w:t>
      </w:r>
      <w:r w:rsidR="00894DF2">
        <w:fldChar w:fldCharType="begin"/>
      </w:r>
      <w:r w:rsidR="00DF7283">
        <w:instrText xml:space="preserve"> DOCPROPERTY "SWCTypePrefix"  \* MERGEFORMAT </w:instrText>
      </w:r>
      <w:r w:rsidR="00894DF2">
        <w:fldChar w:fldCharType="separate"/>
      </w:r>
      <w:proofErr w:type="spellStart"/>
      <w:proofErr w:type="gramStart"/>
      <w:r w:rsidR="00F10B86">
        <w:t>Ap</w:t>
      </w:r>
      <w:proofErr w:type="gramEnd"/>
      <w:r w:rsidR="00894DF2">
        <w:fldChar w:fldCharType="end"/>
      </w:r>
      <w:r w:rsidR="00A1631D">
        <w:t>_</w:t>
      </w:r>
      <w:r w:rsidR="0048377D" w:rsidRPr="0048377D">
        <w:t>HighFreqAssist</w:t>
      </w:r>
      <w:r w:rsidR="00A1631D">
        <w:t>_Cfg.arxml</w:t>
      </w:r>
      <w:proofErr w:type="spellEnd"/>
      <w:r w:rsidR="00A1631D">
        <w:t xml:space="preserve"> file.  This description must be imported into the Rte configuration tool (Developer) using the “Merge Object” option to merge the static SWC description with the generated partial SWC description file.</w:t>
      </w:r>
    </w:p>
    <w:p w:rsidR="005C2A99" w:rsidRDefault="005C2A99" w:rsidP="005C2A99">
      <w:pPr>
        <w:pStyle w:val="Heading1"/>
      </w:pPr>
      <w:proofErr w:type="spellStart"/>
      <w:r>
        <w:t>Runnable</w:t>
      </w:r>
      <w:proofErr w:type="spellEnd"/>
      <w:r>
        <w:t xml:space="preserve"> Scheduling</w:t>
      </w:r>
      <w:bookmarkEnd w:id="4"/>
    </w:p>
    <w:p w:rsidR="005C2A99" w:rsidRDefault="005C2A99" w:rsidP="005C2A99">
      <w:r>
        <w:t xml:space="preserve">This section specifies the required </w:t>
      </w:r>
      <w:proofErr w:type="spellStart"/>
      <w:r>
        <w:t>runnable</w:t>
      </w:r>
      <w:proofErr w:type="spellEnd"/>
      <w:r>
        <w:t xml:space="preserve"> scheduling.</w:t>
      </w:r>
    </w:p>
    <w:tbl>
      <w:tblPr>
        <w:tblStyle w:val="LightList-Accent11"/>
        <w:tblW w:w="0" w:type="auto"/>
        <w:tblLook w:val="04A0"/>
      </w:tblPr>
      <w:tblGrid>
        <w:gridCol w:w="2400"/>
        <w:gridCol w:w="4423"/>
        <w:gridCol w:w="1083"/>
        <w:gridCol w:w="950"/>
      </w:tblGrid>
      <w:tr w:rsidR="005639E7" w:rsidTr="00DA0880">
        <w:trPr>
          <w:cnfStyle w:val="100000000000"/>
        </w:trPr>
        <w:tc>
          <w:tcPr>
            <w:cnfStyle w:val="001000000000"/>
            <w:tcW w:w="2400" w:type="dxa"/>
          </w:tcPr>
          <w:p w:rsidR="005639E7" w:rsidRDefault="005639E7" w:rsidP="00811377">
            <w:proofErr w:type="spellStart"/>
            <w:r>
              <w:t>Runnable</w:t>
            </w:r>
            <w:proofErr w:type="spellEnd"/>
          </w:p>
        </w:tc>
        <w:tc>
          <w:tcPr>
            <w:tcW w:w="4423" w:type="dxa"/>
          </w:tcPr>
          <w:p w:rsidR="005639E7" w:rsidRDefault="005639E7" w:rsidP="00811377">
            <w:pPr>
              <w:cnfStyle w:val="100000000000"/>
            </w:pPr>
            <w:r>
              <w:t>Scheduling Requirements</w:t>
            </w:r>
          </w:p>
        </w:tc>
        <w:tc>
          <w:tcPr>
            <w:tcW w:w="1083" w:type="dxa"/>
          </w:tcPr>
          <w:p w:rsidR="005639E7" w:rsidRDefault="005639E7" w:rsidP="00811377">
            <w:pPr>
              <w:cnfStyle w:val="100000000000"/>
            </w:pPr>
            <w:r>
              <w:t>Privileged Mode</w:t>
            </w:r>
          </w:p>
        </w:tc>
        <w:tc>
          <w:tcPr>
            <w:tcW w:w="950" w:type="dxa"/>
          </w:tcPr>
          <w:p w:rsidR="005639E7" w:rsidRDefault="005639E7" w:rsidP="00811377">
            <w:pPr>
              <w:cnfStyle w:val="100000000000"/>
            </w:pPr>
            <w:r>
              <w:t>Trigger</w:t>
            </w:r>
          </w:p>
        </w:tc>
      </w:tr>
      <w:tr w:rsidR="005639E7" w:rsidTr="00DA0880">
        <w:trPr>
          <w:cnfStyle w:val="000000100000"/>
          <w:trHeight w:val="322"/>
        </w:trPr>
        <w:tc>
          <w:tcPr>
            <w:cnfStyle w:val="001000000000"/>
            <w:tcW w:w="2400" w:type="dxa"/>
          </w:tcPr>
          <w:p w:rsidR="005639E7" w:rsidRDefault="00894DF2" w:rsidP="00811377">
            <w:fldSimple w:instr=" DOCPROPERTY &quot;Document Title&quot;  \* MERGEFORMAT ">
              <w:r w:rsidR="0048377D">
                <w:t>HighFreqAssist</w:t>
              </w:r>
            </w:fldSimple>
            <w:r w:rsidR="00DA0880">
              <w:t>_Per1</w:t>
            </w:r>
            <w:r w:rsidR="005639E7">
              <w:t>()</w:t>
            </w:r>
          </w:p>
        </w:tc>
        <w:tc>
          <w:tcPr>
            <w:tcW w:w="4423" w:type="dxa"/>
          </w:tcPr>
          <w:p w:rsidR="005639E7" w:rsidRDefault="00DA0880" w:rsidP="00EF229D">
            <w:pPr>
              <w:cnfStyle w:val="000000100000"/>
            </w:pPr>
            <w:r>
              <w:t>Scheduled per integration project requirements</w:t>
            </w:r>
          </w:p>
        </w:tc>
        <w:tc>
          <w:tcPr>
            <w:tcW w:w="1083" w:type="dxa"/>
          </w:tcPr>
          <w:p w:rsidR="005639E7" w:rsidRDefault="00DA0880" w:rsidP="00811377">
            <w:pPr>
              <w:cnfStyle w:val="000000100000"/>
            </w:pPr>
            <w:r>
              <w:t xml:space="preserve">Not </w:t>
            </w:r>
            <w:r w:rsidR="005639E7">
              <w:t>Required</w:t>
            </w:r>
          </w:p>
        </w:tc>
        <w:tc>
          <w:tcPr>
            <w:tcW w:w="950" w:type="dxa"/>
          </w:tcPr>
          <w:p w:rsidR="005639E7" w:rsidRDefault="00DA0880" w:rsidP="00811377">
            <w:pPr>
              <w:cnfStyle w:val="000000100000"/>
            </w:pPr>
            <w:r>
              <w:t>2ms</w:t>
            </w:r>
          </w:p>
        </w:tc>
      </w:tr>
    </w:tbl>
    <w:p w:rsidR="005C2A99" w:rsidRDefault="005C2A99" w:rsidP="005C2A99">
      <w:pPr>
        <w:pStyle w:val="Heading1"/>
      </w:pPr>
      <w:bookmarkStart w:id="5" w:name="_Toc335636560"/>
      <w:r>
        <w:t>Memory Mapping</w:t>
      </w:r>
      <w:bookmarkEnd w:id="5"/>
    </w:p>
    <w:p w:rsidR="00F80F31" w:rsidRDefault="00F80F31" w:rsidP="00F80F31">
      <w:pPr>
        <w:pStyle w:val="Heading2"/>
      </w:pPr>
      <w:bookmarkStart w:id="6" w:name="_Toc335636561"/>
      <w:r>
        <w:t>Mapping</w:t>
      </w:r>
      <w:bookmarkEnd w:id="6"/>
    </w:p>
    <w:tbl>
      <w:tblPr>
        <w:tblStyle w:val="LightList-Accent11"/>
        <w:tblW w:w="0" w:type="auto"/>
        <w:tblLook w:val="04A0"/>
      </w:tblPr>
      <w:tblGrid>
        <w:gridCol w:w="5517"/>
        <w:gridCol w:w="3339"/>
      </w:tblGrid>
      <w:tr w:rsidR="006768B8" w:rsidTr="00F80F31">
        <w:trPr>
          <w:cnfStyle w:val="100000000000"/>
        </w:trPr>
        <w:tc>
          <w:tcPr>
            <w:cnfStyle w:val="001000000000"/>
            <w:tcW w:w="5473" w:type="dxa"/>
          </w:tcPr>
          <w:p w:rsidR="006768B8" w:rsidRDefault="006768B8" w:rsidP="006768B8">
            <w:r>
              <w:t>Constant</w:t>
            </w:r>
          </w:p>
        </w:tc>
        <w:tc>
          <w:tcPr>
            <w:tcW w:w="3383" w:type="dxa"/>
          </w:tcPr>
          <w:p w:rsidR="006768B8" w:rsidRDefault="006768B8" w:rsidP="006768B8">
            <w:pPr>
              <w:cnfStyle w:val="100000000000"/>
            </w:pPr>
            <w:r>
              <w:t>Notes</w:t>
            </w:r>
          </w:p>
        </w:tc>
      </w:tr>
      <w:tr w:rsidR="00957758" w:rsidTr="004E0222">
        <w:trPr>
          <w:cnfStyle w:val="000000100000"/>
        </w:trPr>
        <w:tc>
          <w:tcPr>
            <w:cnfStyle w:val="001000000000"/>
            <w:tcW w:w="5473" w:type="dxa"/>
          </w:tcPr>
          <w:p w:rsidR="00957758" w:rsidRDefault="0048377D" w:rsidP="004E0222">
            <w:r w:rsidRPr="0048377D">
              <w:t>HYSTADD_START_SEC_VAR_CLEARED_UNSPECIFIED</w:t>
            </w:r>
          </w:p>
        </w:tc>
        <w:tc>
          <w:tcPr>
            <w:tcW w:w="3383" w:type="dxa"/>
          </w:tcPr>
          <w:p w:rsidR="00957758" w:rsidRDefault="00957758" w:rsidP="004E0222">
            <w:pPr>
              <w:cnfStyle w:val="000000100000"/>
            </w:pPr>
          </w:p>
        </w:tc>
      </w:tr>
      <w:tr w:rsidR="0048377D" w:rsidTr="004E0222">
        <w:tc>
          <w:tcPr>
            <w:cnfStyle w:val="001000000000"/>
            <w:tcW w:w="5473" w:type="dxa"/>
          </w:tcPr>
          <w:p w:rsidR="0048377D" w:rsidRPr="0048377D" w:rsidRDefault="0048377D" w:rsidP="004E0222">
            <w:r w:rsidRPr="0048377D">
              <w:t>HIGHFREQASSIST_START_SEC_VAR_CLEARED_32</w:t>
            </w:r>
          </w:p>
        </w:tc>
        <w:tc>
          <w:tcPr>
            <w:tcW w:w="3383" w:type="dxa"/>
          </w:tcPr>
          <w:p w:rsidR="0048377D" w:rsidRDefault="0048377D" w:rsidP="004E0222">
            <w:pPr>
              <w:cnfStyle w:val="0000000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7" w:name="_Toc335636562"/>
      <w:r>
        <w:t>Usage</w:t>
      </w:r>
      <w:bookmarkEnd w:id="7"/>
    </w:p>
    <w:tbl>
      <w:tblPr>
        <w:tblStyle w:val="LightList-Accent1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B76799">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B76799">
            <w:r>
              <w:t xml:space="preserve">Full </w:t>
            </w:r>
            <w:r w:rsidR="00DA0880">
              <w:t>SWC</w:t>
            </w:r>
          </w:p>
        </w:tc>
        <w:tc>
          <w:tcPr>
            <w:tcW w:w="2070" w:type="dxa"/>
          </w:tcPr>
          <w:p w:rsidR="00F80F31" w:rsidRDefault="00F80F31" w:rsidP="00B76799">
            <w:pPr>
              <w:cnfStyle w:val="000000100000"/>
            </w:pPr>
          </w:p>
        </w:tc>
        <w:tc>
          <w:tcPr>
            <w:tcW w:w="1908" w:type="dxa"/>
          </w:tcPr>
          <w:p w:rsidR="00F80F31" w:rsidRDefault="00F80F31" w:rsidP="00B76799">
            <w:pPr>
              <w:cnfStyle w:val="000000100000"/>
            </w:pPr>
          </w:p>
        </w:tc>
      </w:tr>
    </w:tbl>
    <w:p w:rsidR="004A781C" w:rsidRDefault="00A268FB" w:rsidP="00A268FB">
      <w:pPr>
        <w:pStyle w:val="Caption"/>
      </w:pPr>
      <w:r>
        <w:t xml:space="preserve">Table </w:t>
      </w:r>
      <w:r w:rsidR="00894DF2">
        <w:fldChar w:fldCharType="begin"/>
      </w:r>
      <w:r w:rsidR="00F74012">
        <w:instrText xml:space="preserve"> SEQ Table \* ARABIC </w:instrText>
      </w:r>
      <w:r w:rsidR="00894DF2">
        <w:fldChar w:fldCharType="separate"/>
      </w:r>
      <w:r w:rsidR="0095565B">
        <w:rPr>
          <w:noProof/>
        </w:rPr>
        <w:t>1</w:t>
      </w:r>
      <w:r w:rsidR="00894DF2">
        <w:fldChar w:fldCharType="end"/>
      </w:r>
      <w:r>
        <w:t>: ARM Cortex R4 Memory Usage</w:t>
      </w:r>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A164B">
            <w:pPr>
              <w:spacing w:before="60"/>
              <w:rPr>
                <w:rFonts w:ascii="Arial" w:hAnsi="Arial" w:cs="Arial"/>
                <w:sz w:val="16"/>
              </w:rPr>
            </w:pPr>
            <w:r>
              <w:rPr>
                <w:rFonts w:ascii="Arial" w:hAnsi="Arial" w:cs="Arial"/>
                <w:sz w:val="16"/>
              </w:rPr>
              <w:t>1</w:t>
            </w:r>
          </w:p>
        </w:tc>
        <w:tc>
          <w:tcPr>
            <w:tcW w:w="6210" w:type="dxa"/>
          </w:tcPr>
          <w:p w:rsidR="004A781C" w:rsidRDefault="001C67A3">
            <w:pPr>
              <w:spacing w:before="60"/>
              <w:rPr>
                <w:rFonts w:ascii="Arial" w:hAnsi="Arial" w:cs="Arial"/>
                <w:sz w:val="16"/>
              </w:rPr>
            </w:pPr>
            <w:r>
              <w:rPr>
                <w:rFonts w:ascii="Arial" w:hAnsi="Arial" w:cs="Arial"/>
                <w:sz w:val="16"/>
              </w:rPr>
              <w:t>Initial version</w:t>
            </w:r>
          </w:p>
        </w:tc>
        <w:tc>
          <w:tcPr>
            <w:tcW w:w="1080" w:type="dxa"/>
          </w:tcPr>
          <w:p w:rsidR="004A781C" w:rsidRDefault="0048377D">
            <w:pPr>
              <w:spacing w:before="60"/>
              <w:rPr>
                <w:rFonts w:ascii="Arial" w:hAnsi="Arial" w:cs="Arial"/>
                <w:sz w:val="16"/>
              </w:rPr>
            </w:pPr>
            <w:r>
              <w:rPr>
                <w:rFonts w:ascii="Arial" w:hAnsi="Arial" w:cs="Arial"/>
                <w:sz w:val="16"/>
              </w:rPr>
              <w:t>2-May-13</w:t>
            </w:r>
          </w:p>
        </w:tc>
        <w:tc>
          <w:tcPr>
            <w:tcW w:w="1105" w:type="dxa"/>
          </w:tcPr>
          <w:p w:rsidR="004A781C" w:rsidRDefault="001C67A3" w:rsidP="0048377D">
            <w:pPr>
              <w:spacing w:before="60"/>
              <w:rPr>
                <w:rFonts w:ascii="Arial" w:hAnsi="Arial" w:cs="Arial"/>
                <w:sz w:val="16"/>
              </w:rPr>
            </w:pPr>
            <w:r>
              <w:rPr>
                <w:rFonts w:ascii="Arial" w:hAnsi="Arial" w:cs="Arial"/>
                <w:sz w:val="16"/>
              </w:rPr>
              <w:t>J</w:t>
            </w:r>
            <w:r w:rsidR="0048377D">
              <w:rPr>
                <w:rFonts w:ascii="Arial" w:hAnsi="Arial" w:cs="Arial"/>
                <w:sz w:val="16"/>
              </w:rPr>
              <w:t>ared</w:t>
            </w:r>
          </w:p>
        </w:tc>
      </w:tr>
      <w:tr w:rsidR="001C67A3">
        <w:tc>
          <w:tcPr>
            <w:tcW w:w="616" w:type="dxa"/>
          </w:tcPr>
          <w:p w:rsidR="001C67A3" w:rsidRDefault="001C67A3">
            <w:pPr>
              <w:spacing w:before="60"/>
              <w:rPr>
                <w:rFonts w:ascii="Arial" w:hAnsi="Arial" w:cs="Arial"/>
                <w:sz w:val="16"/>
              </w:rPr>
            </w:pPr>
          </w:p>
        </w:tc>
        <w:tc>
          <w:tcPr>
            <w:tcW w:w="662" w:type="dxa"/>
          </w:tcPr>
          <w:p w:rsidR="001C67A3" w:rsidRDefault="001C67A3">
            <w:pPr>
              <w:spacing w:before="60"/>
              <w:rPr>
                <w:rFonts w:ascii="Arial" w:hAnsi="Arial" w:cs="Arial"/>
                <w:sz w:val="16"/>
              </w:rPr>
            </w:pPr>
          </w:p>
        </w:tc>
        <w:tc>
          <w:tcPr>
            <w:tcW w:w="6210" w:type="dxa"/>
          </w:tcPr>
          <w:p w:rsidR="001C67A3" w:rsidRDefault="001C67A3">
            <w:pPr>
              <w:spacing w:before="60"/>
              <w:rPr>
                <w:rFonts w:ascii="Arial" w:hAnsi="Arial" w:cs="Arial"/>
                <w:sz w:val="16"/>
              </w:rPr>
            </w:pPr>
          </w:p>
        </w:tc>
        <w:tc>
          <w:tcPr>
            <w:tcW w:w="1080" w:type="dxa"/>
          </w:tcPr>
          <w:p w:rsidR="001C67A3" w:rsidRDefault="001C67A3">
            <w:pPr>
              <w:spacing w:before="60"/>
              <w:rPr>
                <w:rFonts w:ascii="Arial" w:hAnsi="Arial" w:cs="Arial"/>
                <w:sz w:val="16"/>
              </w:rPr>
            </w:pPr>
          </w:p>
        </w:tc>
        <w:tc>
          <w:tcPr>
            <w:tcW w:w="1105" w:type="dxa"/>
          </w:tcPr>
          <w:p w:rsidR="001C67A3" w:rsidRDefault="001C67A3">
            <w:pPr>
              <w:spacing w:before="60"/>
              <w:rPr>
                <w:rFonts w:ascii="Arial" w:hAnsi="Arial" w:cs="Arial"/>
                <w:sz w:val="16"/>
              </w:rPr>
            </w:pP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BF" w:rsidRDefault="00D164BF">
      <w:r>
        <w:separator/>
      </w:r>
    </w:p>
  </w:endnote>
  <w:endnote w:type="continuationSeparator" w:id="0">
    <w:p w:rsidR="00D164BF" w:rsidRDefault="00D164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BF" w:rsidRDefault="00D164BF">
      <w:r>
        <w:separator/>
      </w:r>
    </w:p>
  </w:footnote>
  <w:footnote w:type="continuationSeparator" w:id="0">
    <w:p w:rsidR="00D164BF" w:rsidRDefault="00D164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894DF2">
          <w:pPr>
            <w:pStyle w:val="Header"/>
          </w:pPr>
          <w:r>
            <w:fldChar w:fldCharType="begin"/>
          </w:r>
          <w:r w:rsidR="00DF7283">
            <w:instrText xml:space="preserve"> DOCPROPERTY "Document Title"  \* MERGEFORMAT </w:instrText>
          </w:r>
          <w:r>
            <w:fldChar w:fldCharType="separate"/>
          </w:r>
          <w:proofErr w:type="spellStart"/>
          <w:r w:rsidR="0048377D">
            <w:t>HighFreqAssist</w:t>
          </w:r>
          <w:proofErr w:type="spellEnd"/>
          <w:r>
            <w:fldChar w:fldCharType="end"/>
          </w:r>
        </w:p>
        <w:p w:rsidR="00D9560D" w:rsidRDefault="00894DF2" w:rsidP="001A574F">
          <w:pPr>
            <w:pStyle w:val="Header"/>
            <w:tabs>
              <w:tab w:val="clear" w:pos="4320"/>
              <w:tab w:val="clear" w:pos="8640"/>
              <w:tab w:val="center" w:pos="2592"/>
            </w:tabs>
          </w:pPr>
          <w:fldSimple w:instr=" DOCPROPERTY &quot;Product Line&quot;  \* MERGEFORMAT ">
            <w:r w:rsidR="0095565B">
              <w:t>Gen II+ EPS EA3</w:t>
            </w:r>
          </w:fldSimple>
          <w:r w:rsidR="00D9560D">
            <w:tab/>
          </w:r>
        </w:p>
      </w:tc>
      <w:tc>
        <w:tcPr>
          <w:tcW w:w="1170" w:type="dxa"/>
        </w:tcPr>
        <w:p w:rsidR="00D9560D" w:rsidRDefault="00D9560D">
          <w:pPr>
            <w:pStyle w:val="Header"/>
          </w:pPr>
          <w:r>
            <w:t>Revision:</w:t>
          </w:r>
        </w:p>
      </w:tc>
      <w:tc>
        <w:tcPr>
          <w:tcW w:w="1350" w:type="dxa"/>
        </w:tcPr>
        <w:p w:rsidR="00D9560D" w:rsidRDefault="00894DF2">
          <w:pPr>
            <w:pStyle w:val="Header"/>
          </w:pPr>
          <w:fldSimple w:instr=" DOCPROPERTY &quot;MDDRevNum&quot; \* MERGEFORMAT ">
            <w:r w:rsidR="0095565B">
              <w:t>1</w:t>
            </w:r>
          </w:fldSimple>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894DF2">
          <w:pPr>
            <w:pStyle w:val="Header"/>
          </w:pPr>
          <w:r>
            <w:fldChar w:fldCharType="begin"/>
          </w:r>
          <w:r w:rsidR="00F74012">
            <w:instrText xml:space="preserve"> SAVEDATE \@ "d-MMM-yy" \* MERGEFORMAT </w:instrText>
          </w:r>
          <w:r>
            <w:fldChar w:fldCharType="separate"/>
          </w:r>
          <w:r w:rsidR="00703830">
            <w:rPr>
              <w:noProof/>
            </w:rPr>
            <w:t>2-May-13</w:t>
          </w:r>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894DF2">
          <w:pPr>
            <w:pStyle w:val="Header"/>
          </w:pPr>
          <w:fldSimple w:instr=" USERNAME  \* MERGEFORMAT ">
            <w:r w:rsidR="00C74ECD">
              <w:rPr>
                <w:noProof/>
              </w:rPr>
              <w:t>Jared Julien (kzdyfh)</w:t>
            </w:r>
          </w:fldSimple>
        </w:p>
      </w:tc>
      <w:tc>
        <w:tcPr>
          <w:tcW w:w="1170" w:type="dxa"/>
        </w:tcPr>
        <w:p w:rsidR="00D9560D" w:rsidRDefault="00D9560D">
          <w:pPr>
            <w:pStyle w:val="Header"/>
          </w:pPr>
          <w:r>
            <w:t>Page:</w:t>
          </w:r>
        </w:p>
      </w:tc>
      <w:tc>
        <w:tcPr>
          <w:tcW w:w="1350" w:type="dxa"/>
        </w:tcPr>
        <w:p w:rsidR="00D9560D" w:rsidRDefault="00894DF2">
          <w:pPr>
            <w:pStyle w:val="Header"/>
          </w:pPr>
          <w:r>
            <w:rPr>
              <w:rStyle w:val="PageNumber"/>
            </w:rPr>
            <w:fldChar w:fldCharType="begin"/>
          </w:r>
          <w:r w:rsidR="00D9560D">
            <w:rPr>
              <w:rStyle w:val="PageNumber"/>
            </w:rPr>
            <w:instrText xml:space="preserve"> PAGE </w:instrText>
          </w:r>
          <w:r>
            <w:rPr>
              <w:rStyle w:val="PageNumber"/>
            </w:rPr>
            <w:fldChar w:fldCharType="separate"/>
          </w:r>
          <w:r w:rsidR="00703830">
            <w:rPr>
              <w:rStyle w:val="PageNumber"/>
              <w:noProof/>
            </w:rPr>
            <w:t>1</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703830">
            <w:rPr>
              <w:rStyle w:val="PageNumber"/>
              <w:noProof/>
            </w:rPr>
            <w:t>3</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3E968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10401"/>
    <w:rsid w:val="00036AF7"/>
    <w:rsid w:val="00061E88"/>
    <w:rsid w:val="00081A7A"/>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76F3E"/>
    <w:rsid w:val="00285CB3"/>
    <w:rsid w:val="002A164B"/>
    <w:rsid w:val="002C03D8"/>
    <w:rsid w:val="002C26E6"/>
    <w:rsid w:val="002D57A9"/>
    <w:rsid w:val="002E74E7"/>
    <w:rsid w:val="00315335"/>
    <w:rsid w:val="00353877"/>
    <w:rsid w:val="003603A7"/>
    <w:rsid w:val="0037668F"/>
    <w:rsid w:val="003B71BF"/>
    <w:rsid w:val="003C4D3F"/>
    <w:rsid w:val="00416335"/>
    <w:rsid w:val="00452741"/>
    <w:rsid w:val="00455643"/>
    <w:rsid w:val="0048277A"/>
    <w:rsid w:val="0048377D"/>
    <w:rsid w:val="00490D63"/>
    <w:rsid w:val="004A30FB"/>
    <w:rsid w:val="004A781C"/>
    <w:rsid w:val="004C3A71"/>
    <w:rsid w:val="004E2D14"/>
    <w:rsid w:val="0052282F"/>
    <w:rsid w:val="005408A7"/>
    <w:rsid w:val="00556D14"/>
    <w:rsid w:val="005639E7"/>
    <w:rsid w:val="00596A07"/>
    <w:rsid w:val="005B7BB3"/>
    <w:rsid w:val="005C2A99"/>
    <w:rsid w:val="005D5FE4"/>
    <w:rsid w:val="00612F6C"/>
    <w:rsid w:val="00616853"/>
    <w:rsid w:val="00674ADF"/>
    <w:rsid w:val="006768B8"/>
    <w:rsid w:val="006D151B"/>
    <w:rsid w:val="006D33CC"/>
    <w:rsid w:val="006E3AE5"/>
    <w:rsid w:val="006F01A3"/>
    <w:rsid w:val="00703830"/>
    <w:rsid w:val="00706174"/>
    <w:rsid w:val="00714874"/>
    <w:rsid w:val="0076047D"/>
    <w:rsid w:val="007A69AC"/>
    <w:rsid w:val="00812C9F"/>
    <w:rsid w:val="0081314C"/>
    <w:rsid w:val="008242F0"/>
    <w:rsid w:val="008510F0"/>
    <w:rsid w:val="008535B2"/>
    <w:rsid w:val="00873F67"/>
    <w:rsid w:val="0087615D"/>
    <w:rsid w:val="00876D88"/>
    <w:rsid w:val="00894DF2"/>
    <w:rsid w:val="008B3E94"/>
    <w:rsid w:val="008C31AB"/>
    <w:rsid w:val="008D2035"/>
    <w:rsid w:val="008E2475"/>
    <w:rsid w:val="008F2736"/>
    <w:rsid w:val="008F6DBB"/>
    <w:rsid w:val="0090790E"/>
    <w:rsid w:val="00912D28"/>
    <w:rsid w:val="00916B39"/>
    <w:rsid w:val="00921A74"/>
    <w:rsid w:val="00926F30"/>
    <w:rsid w:val="00937013"/>
    <w:rsid w:val="009409B3"/>
    <w:rsid w:val="0095565B"/>
    <w:rsid w:val="00955F6A"/>
    <w:rsid w:val="00957470"/>
    <w:rsid w:val="00957758"/>
    <w:rsid w:val="00985E19"/>
    <w:rsid w:val="00985F1E"/>
    <w:rsid w:val="009B20B2"/>
    <w:rsid w:val="009C0512"/>
    <w:rsid w:val="00A1631D"/>
    <w:rsid w:val="00A17EB8"/>
    <w:rsid w:val="00A268FB"/>
    <w:rsid w:val="00A700CF"/>
    <w:rsid w:val="00A86E8E"/>
    <w:rsid w:val="00AC1472"/>
    <w:rsid w:val="00AD731B"/>
    <w:rsid w:val="00AD7BFD"/>
    <w:rsid w:val="00AF3F7D"/>
    <w:rsid w:val="00B21FBF"/>
    <w:rsid w:val="00B3002E"/>
    <w:rsid w:val="00B54697"/>
    <w:rsid w:val="00B5594D"/>
    <w:rsid w:val="00B64DCB"/>
    <w:rsid w:val="00B725C1"/>
    <w:rsid w:val="00BD008B"/>
    <w:rsid w:val="00BD15D2"/>
    <w:rsid w:val="00BD3DFF"/>
    <w:rsid w:val="00BF364D"/>
    <w:rsid w:val="00C31D71"/>
    <w:rsid w:val="00C35BD3"/>
    <w:rsid w:val="00C512F1"/>
    <w:rsid w:val="00C72FFA"/>
    <w:rsid w:val="00C74ECD"/>
    <w:rsid w:val="00C85C84"/>
    <w:rsid w:val="00C96EBF"/>
    <w:rsid w:val="00D032B3"/>
    <w:rsid w:val="00D164BF"/>
    <w:rsid w:val="00D222AD"/>
    <w:rsid w:val="00D70AF3"/>
    <w:rsid w:val="00D7229B"/>
    <w:rsid w:val="00D7584B"/>
    <w:rsid w:val="00D834F1"/>
    <w:rsid w:val="00D86C2B"/>
    <w:rsid w:val="00D94BDD"/>
    <w:rsid w:val="00D9560D"/>
    <w:rsid w:val="00DA0880"/>
    <w:rsid w:val="00DC7E08"/>
    <w:rsid w:val="00DE4889"/>
    <w:rsid w:val="00DF7283"/>
    <w:rsid w:val="00E51148"/>
    <w:rsid w:val="00E5472B"/>
    <w:rsid w:val="00E57C42"/>
    <w:rsid w:val="00E65911"/>
    <w:rsid w:val="00E76979"/>
    <w:rsid w:val="00E76D9B"/>
    <w:rsid w:val="00EB4B8F"/>
    <w:rsid w:val="00EF229D"/>
    <w:rsid w:val="00F0712C"/>
    <w:rsid w:val="00F10B86"/>
    <w:rsid w:val="00F4172E"/>
    <w:rsid w:val="00F5134F"/>
    <w:rsid w:val="00F560FE"/>
    <w:rsid w:val="00F648ED"/>
    <w:rsid w:val="00F64CF7"/>
    <w:rsid w:val="00F74012"/>
    <w:rsid w:val="00F80F31"/>
    <w:rsid w:val="00F82C8F"/>
    <w:rsid w:val="00F82E8E"/>
    <w:rsid w:val="00F957FA"/>
    <w:rsid w:val="00FA6168"/>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560B8-9DFE-4F93-B6E1-8FF65CA1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44</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3507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Jared Julien</dc:creator>
  <cp:keywords/>
  <dc:description/>
  <cp:lastModifiedBy>Jared Julien (kzdyfh)</cp:lastModifiedBy>
  <cp:revision>9</cp:revision>
  <cp:lastPrinted>2011-03-21T13:34:00Z</cp:lastPrinted>
  <dcterms:created xsi:type="dcterms:W3CDTF">2012-09-17T13:12:00Z</dcterms:created>
  <dcterms:modified xsi:type="dcterms:W3CDTF">2013-05-02T18:39:00Z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HighFreqAssist</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HighFreqAssist</vt:lpwstr>
  </property>
  <property fmtid="{D5CDD505-2E9C-101B-9397-08002B2CF9AE}" pid="6" name="Product Line">
    <vt:lpwstr>Gen II+ EPS EA3</vt:lpwstr>
  </property>
  <property fmtid="{D5CDD505-2E9C-101B-9397-08002B2CF9AE}" pid="7" name="SWCTypePrefix">
    <vt:lpwstr>Ap</vt:lpwstr>
  </property>
</Properties>
</file>