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2840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Smith">
    <w15:presenceInfo w15:providerId="None" w15:userId="Kevin Smith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2251D8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225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D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2251D8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225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8109C8F-8C29-4A65-A890-EC6912E51547}">
  <ds:schemaRefs>
    <ds:schemaRef ds:uri="http://schemas.openxmlformats.org/officeDocument/2006/bibliography"/>
  </ds:schemaRefs>
</ds:datastoreItem>
</file>