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5A5E0D8428483291D9AB9B9C4A6F82">
    <w:name w:val="AC5A5E0D8428483291D9AB9B9C4A6F8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5A5E0D8428483291D9AB9B9C4A6F82">
    <w:name w:val="AC5A5E0D8428483291D9AB9B9C4A6F82"/>
  </w:style>
</w:styles>
</file>