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12C" w:rsidRPr="00DD712C" w:rsidRDefault="00DD712C" w:rsidP="00DD712C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r w:rsidRPr="00DD712C">
        <w:rPr>
          <w:rFonts w:ascii="Arial" w:eastAsia="Times New Roman" w:hAnsi="Arial" w:cs="Arial"/>
          <w:b/>
          <w:bCs/>
          <w:color w:val="010100"/>
          <w:sz w:val="24"/>
          <w:szCs w:val="24"/>
        </w:rPr>
        <w:t>IPS Initial Setup Using SDM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8359"/>
        <w:gridCol w:w="749"/>
      </w:tblGrid>
      <w:tr w:rsidR="00DD712C" w:rsidRPr="00DD712C" w:rsidTr="00DD712C">
        <w:trPr>
          <w:tblCellSpacing w:w="15" w:type="dxa"/>
        </w:trPr>
        <w:tc>
          <w:tcPr>
            <w:tcW w:w="1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N27"/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1. </w:t>
            </w:r>
            <w:bookmarkEnd w:id="0"/>
          </w:p>
        </w:tc>
        <w:tc>
          <w:tcPr>
            <w:tcW w:w="45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What is the function of SDM's IPS Migration Wizard?</w:t>
            </w:r>
          </w:p>
          <w:p w:rsidR="00DD712C" w:rsidRPr="00DD712C" w:rsidRDefault="00DD712C" w:rsidP="00DD712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Initially set up IPS on the router.</w:t>
            </w:r>
          </w:p>
          <w:p w:rsidR="00DD712C" w:rsidRPr="00DD712C" w:rsidRDefault="00DD712C" w:rsidP="00DD712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 xml:space="preserve">Convert signatures in a version 3 or version 4 </w:t>
            </w:r>
            <w:proofErr w:type="gramStart"/>
            <w:r w:rsidRPr="00DD712C">
              <w:rPr>
                <w:rFonts w:ascii="Arial" w:eastAsia="Times New Roman" w:hAnsi="Arial" w:cs="Arial"/>
                <w:sz w:val="24"/>
                <w:szCs w:val="24"/>
              </w:rPr>
              <w:t>format</w:t>
            </w:r>
            <w:proofErr w:type="gramEnd"/>
            <w:r w:rsidRPr="00DD712C">
              <w:rPr>
                <w:rFonts w:ascii="Arial" w:eastAsia="Times New Roman" w:hAnsi="Arial" w:cs="Arial"/>
                <w:sz w:val="24"/>
                <w:szCs w:val="24"/>
              </w:rPr>
              <w:t xml:space="preserve"> to a version 5 format.</w:t>
            </w:r>
          </w:p>
          <w:p w:rsidR="00DD712C" w:rsidRPr="00DD712C" w:rsidRDefault="00DD712C" w:rsidP="00DD712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 xml:space="preserve">Convert signatures in a version 4 or version 5 </w:t>
            </w:r>
            <w:proofErr w:type="gramStart"/>
            <w:r w:rsidRPr="00DD712C">
              <w:rPr>
                <w:rFonts w:ascii="Arial" w:eastAsia="Times New Roman" w:hAnsi="Arial" w:cs="Arial"/>
                <w:sz w:val="24"/>
                <w:szCs w:val="24"/>
              </w:rPr>
              <w:t>format</w:t>
            </w:r>
            <w:proofErr w:type="gramEnd"/>
            <w:r w:rsidRPr="00DD712C">
              <w:rPr>
                <w:rFonts w:ascii="Arial" w:eastAsia="Times New Roman" w:hAnsi="Arial" w:cs="Arial"/>
                <w:sz w:val="24"/>
                <w:szCs w:val="24"/>
              </w:rPr>
              <w:t xml:space="preserve"> to a version 6 format.</w:t>
            </w:r>
          </w:p>
          <w:p w:rsidR="00DD712C" w:rsidRPr="00DD712C" w:rsidRDefault="00DD712C" w:rsidP="00DD712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Convert signatures in a version 4 format to a version 5 format.</w:t>
            </w:r>
          </w:p>
        </w:tc>
        <w:tc>
          <w:tcPr>
            <w:tcW w:w="4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" name="IMG_2" descr="  *     D. To migrate your IPS version 4 configuration to version 5 in SDM, go to Configure | Intrusion Prevention | IPS Migration and use the Migration Wizard.  *     A refers to the IPS Rule Wizard. B is incorrect because version 3 is not supported. C is incorrect because the wizard converts from version 4 to 5, not 6.   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D. To migrate your IPS version 4 configuration to version 5 in SDM, go to Configure | Intrusion Prevention | IPS Migration and use the Migration Wizard.  *     A refers to the IPS Rule Wizard. B is incorrect because version 3 is not supported. C is incorrect because the wizard converts from version 4 to 5, not 6.   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2C" w:rsidRPr="00DD712C" w:rsidTr="00DD712C">
        <w:trPr>
          <w:tblCellSpacing w:w="15" w:type="dxa"/>
        </w:trPr>
        <w:tc>
          <w:tcPr>
            <w:tcW w:w="1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" w:name="N83"/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2. </w:t>
            </w:r>
            <w:bookmarkEnd w:id="1"/>
          </w:p>
        </w:tc>
        <w:tc>
          <w:tcPr>
            <w:tcW w:w="45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Which of the following is not asked for when running the IPS Rule Wizard?</w:t>
            </w:r>
          </w:p>
          <w:p w:rsidR="00DD712C" w:rsidRPr="00DD712C" w:rsidRDefault="00DD712C" w:rsidP="00DD712C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PKG file location</w:t>
            </w:r>
          </w:p>
          <w:p w:rsidR="00DD712C" w:rsidRPr="00DD712C" w:rsidRDefault="00DD712C" w:rsidP="00DD712C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Private key of the signature file</w:t>
            </w:r>
          </w:p>
          <w:p w:rsidR="00DD712C" w:rsidRPr="00DD712C" w:rsidRDefault="00DD712C" w:rsidP="00DD712C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IPS configuration location in flash</w:t>
            </w:r>
          </w:p>
          <w:p w:rsidR="00DD712C" w:rsidRPr="00DD712C" w:rsidRDefault="00DD712C" w:rsidP="00DD712C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Interfaces and direction IPS is enabled</w:t>
            </w:r>
          </w:p>
        </w:tc>
        <w:tc>
          <w:tcPr>
            <w:tcW w:w="4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" name="IMG_2" descr="  *     B. The public, not the private key, is required.  *     A , C , and D are required and therefore incorrect answers.   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B. The public, not the private key, is required.  *     A , C , and D are required and therefore incorrect answers.   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2C" w:rsidRPr="00DD712C" w:rsidTr="00DD712C">
        <w:trPr>
          <w:tblCellSpacing w:w="15" w:type="dxa"/>
        </w:trPr>
        <w:tc>
          <w:tcPr>
            <w:tcW w:w="1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" w:name="N140"/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3. </w:t>
            </w:r>
            <w:bookmarkEnd w:id="2"/>
          </w:p>
        </w:tc>
        <w:tc>
          <w:tcPr>
            <w:tcW w:w="45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What is the name of the public key used to sign the Cisco signature file?</w:t>
            </w:r>
          </w:p>
          <w:p w:rsidR="00DD712C" w:rsidRPr="00DD712C" w:rsidRDefault="00DD712C" w:rsidP="00DD712C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real-cisco.pub</w:t>
            </w:r>
          </w:p>
          <w:p w:rsidR="00DD712C" w:rsidRPr="00DD712C" w:rsidRDefault="00DD712C" w:rsidP="00DD712C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real-cisco.key</w:t>
            </w:r>
          </w:p>
          <w:p w:rsidR="00DD712C" w:rsidRPr="00DD712C" w:rsidRDefault="00DD712C" w:rsidP="00DD712C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cisco-key.pub</w:t>
            </w:r>
          </w:p>
          <w:p w:rsidR="00DD712C" w:rsidRPr="00DD712C" w:rsidRDefault="00DD712C" w:rsidP="00DD712C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cisco-pub.key</w:t>
            </w:r>
          </w:p>
        </w:tc>
        <w:tc>
          <w:tcPr>
            <w:tcW w:w="4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3" name="IMG_2" descr="  *     A. The name of the public key used to sign the Cisco signature file is `real-cisco.pub.`  *     B , C , and D are nonexistent names.   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A. The name of the public key used to sign the Cisco signature file is `real-cisco.pub.`  *     B , C , and D are nonexistent names.   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12C" w:rsidRPr="00DD712C" w:rsidRDefault="00DD712C" w:rsidP="00DD71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D712C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9108"/>
      </w:tblGrid>
      <w:tr w:rsidR="00DD712C" w:rsidRPr="00DD712C" w:rsidTr="00DD712C">
        <w:trPr>
          <w:tblCellSpacing w:w="15" w:type="dxa"/>
        </w:trPr>
        <w:tc>
          <w:tcPr>
            <w:tcW w:w="1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" w:name="answer.N27"/>
            <w:r w:rsidRPr="00DD712C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1.</w:t>
            </w:r>
            <w:bookmarkEnd w:id="3"/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DD712C" w:rsidRPr="00DD712C" w:rsidRDefault="00DD712C" w:rsidP="00DD712C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D.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To migrate your IPS version 4 configuration to version 5 in SDM, go to Configure | Intrusion Prevention | IPS Migration and use the Migration Wizard.</w:t>
            </w:r>
          </w:p>
          <w:p w:rsidR="00DD712C" w:rsidRPr="00DD712C" w:rsidRDefault="00DD712C" w:rsidP="00DD712C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refers to the IPS Rule Wizard.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is incorrect because version 3 is not supported.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is incorrect because the wizard converts from version 4 to 5, not 6.</w:t>
            </w:r>
          </w:p>
        </w:tc>
      </w:tr>
      <w:tr w:rsidR="00DD712C" w:rsidRPr="00DD712C" w:rsidTr="00DD712C">
        <w:trPr>
          <w:tblCellSpacing w:w="15" w:type="dxa"/>
        </w:trPr>
        <w:tc>
          <w:tcPr>
            <w:tcW w:w="1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4" w:name="answer.N83"/>
            <w:r w:rsidRPr="00DD712C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2.</w:t>
            </w:r>
            <w:bookmarkEnd w:id="4"/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DD712C" w:rsidRPr="00DD712C" w:rsidRDefault="00DD712C" w:rsidP="00DD712C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B.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The public, not the private key, is required.</w:t>
            </w:r>
          </w:p>
          <w:p w:rsidR="00DD712C" w:rsidRPr="00DD712C" w:rsidRDefault="00DD712C" w:rsidP="00DD712C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are required and therefore incorrect answers.</w:t>
            </w:r>
          </w:p>
        </w:tc>
      </w:tr>
      <w:tr w:rsidR="00DD712C" w:rsidRPr="00DD712C" w:rsidTr="00DD712C">
        <w:trPr>
          <w:tblCellSpacing w:w="15" w:type="dxa"/>
        </w:trPr>
        <w:tc>
          <w:tcPr>
            <w:tcW w:w="1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5" w:name="answer.N140"/>
            <w:r w:rsidRPr="00DD712C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3.</w:t>
            </w:r>
            <w:bookmarkEnd w:id="5"/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DD712C" w:rsidRPr="00DD712C" w:rsidRDefault="00DD712C" w:rsidP="00DD712C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A.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The name of the public key used to sign the Cisco signature file is "real-cisco.pub."</w:t>
            </w:r>
          </w:p>
          <w:p w:rsidR="00DD712C" w:rsidRPr="00DD712C" w:rsidRDefault="00DD712C" w:rsidP="00DD712C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are nonexistent names.</w:t>
            </w:r>
          </w:p>
        </w:tc>
      </w:tr>
    </w:tbl>
    <w:p w:rsidR="00DD712C" w:rsidRPr="00DD712C" w:rsidRDefault="00DD712C" w:rsidP="00DD712C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6" w:name="1566"/>
      <w:bookmarkStart w:id="7" w:name="ch17lev3sec7"/>
      <w:bookmarkEnd w:id="6"/>
      <w:bookmarkEnd w:id="7"/>
      <w:r w:rsidRPr="00DD712C">
        <w:rPr>
          <w:rFonts w:ascii="Arial" w:eastAsia="Times New Roman" w:hAnsi="Arial" w:cs="Arial"/>
          <w:b/>
          <w:bCs/>
          <w:color w:val="010100"/>
          <w:sz w:val="24"/>
          <w:szCs w:val="24"/>
        </w:rPr>
        <w:t>General IPS Settings Using SDM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8359"/>
        <w:gridCol w:w="749"/>
      </w:tblGrid>
      <w:tr w:rsidR="00DD712C" w:rsidRPr="00DD712C" w:rsidTr="00DD712C">
        <w:trPr>
          <w:tblCellSpacing w:w="15" w:type="dxa"/>
        </w:trPr>
        <w:tc>
          <w:tcPr>
            <w:tcW w:w="1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8" w:name="N206"/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4. </w:t>
            </w:r>
            <w:bookmarkEnd w:id="8"/>
          </w:p>
        </w:tc>
        <w:tc>
          <w:tcPr>
            <w:tcW w:w="45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If the IPS Engine Fail Closed option is enabled, what does this indicate?</w:t>
            </w:r>
          </w:p>
          <w:p w:rsidR="00DD712C" w:rsidRPr="00DD712C" w:rsidRDefault="00DD712C" w:rsidP="00DD712C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IPS is disabled.</w:t>
            </w:r>
          </w:p>
          <w:p w:rsidR="00DD712C" w:rsidRPr="00DD712C" w:rsidRDefault="00DD712C" w:rsidP="00DD712C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IPS is enabled.</w:t>
            </w:r>
          </w:p>
          <w:p w:rsidR="00DD712C" w:rsidRPr="00DD712C" w:rsidRDefault="00DD712C" w:rsidP="00DD712C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IPS will drop associated traffic if the SME fails to start.</w:t>
            </w:r>
          </w:p>
          <w:p w:rsidR="00DD712C" w:rsidRPr="00DD712C" w:rsidRDefault="00DD712C" w:rsidP="00DD712C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IPS will allow associated traffic if the SME fails to start.</w:t>
            </w:r>
          </w:p>
        </w:tc>
        <w:tc>
          <w:tcPr>
            <w:tcW w:w="4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4" name="IMG_2" descr="  *     C. If the IPS Engine Fail Closed option is enabled, IPS will drop associated traffic if the SME fails to start.  *     A and B are controlled by the ip ips command on an interface. D is true if the Engine Fail Closed option is not enabled.  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C. If the IPS Engine Fail Closed option is enabled, IPS will drop associated traffic if the SME fails to start.  *     A and B are controlled by the ip ips command on an interface. D is true if the Engine Fail Closed option is not enabled.  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2C" w:rsidRPr="00DD712C" w:rsidTr="00DD712C">
        <w:trPr>
          <w:tblCellSpacing w:w="15" w:type="dxa"/>
        </w:trPr>
        <w:tc>
          <w:tcPr>
            <w:tcW w:w="1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9" w:name="N266"/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5. </w:t>
            </w:r>
            <w:bookmarkEnd w:id="9"/>
          </w:p>
        </w:tc>
        <w:tc>
          <w:tcPr>
            <w:tcW w:w="45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What is Cisco's recommendation before you enable Auto Update for IPS?</w:t>
            </w:r>
          </w:p>
          <w:p w:rsidR="00DD712C" w:rsidRPr="00DD712C" w:rsidRDefault="00DD712C" w:rsidP="00DD712C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Enable NTP.</w:t>
            </w:r>
          </w:p>
          <w:p w:rsidR="00DD712C" w:rsidRPr="00DD712C" w:rsidRDefault="00DD712C" w:rsidP="00DD712C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Back up the IPS signature configuration.</w:t>
            </w:r>
          </w:p>
          <w:p w:rsidR="00DD712C" w:rsidRPr="00DD712C" w:rsidRDefault="00DD712C" w:rsidP="00DD712C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Disable ZBF.</w:t>
            </w:r>
          </w:p>
          <w:p w:rsidR="00DD712C" w:rsidRPr="00DD712C" w:rsidRDefault="00DD712C" w:rsidP="00DD712C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Enable SEAP.</w:t>
            </w:r>
          </w:p>
        </w:tc>
        <w:tc>
          <w:tcPr>
            <w:tcW w:w="4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5" name="IMG_2" descr="  *     A. Before enabling Auto Update for IPS, you should synchronize the router's clock using NTP, since auto update periodically polls the AUS server.  *     B , C , and D having nothing to do with the Auto Update function.   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A. Before enabling Auto Update for IPS, you should synchronize the router's clock using NTP, since auto update periodically polls the AUS server.  *     B , C , and D having nothing to do with the Auto Update function.   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12C" w:rsidRPr="00DD712C" w:rsidRDefault="00DD712C" w:rsidP="00DD71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D712C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9108"/>
      </w:tblGrid>
      <w:tr w:rsidR="00DD712C" w:rsidRPr="00DD712C" w:rsidTr="00DD712C">
        <w:trPr>
          <w:tblCellSpacing w:w="15" w:type="dxa"/>
        </w:trPr>
        <w:tc>
          <w:tcPr>
            <w:tcW w:w="1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0" w:name="answer.N206"/>
            <w:r w:rsidRPr="00DD712C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lastRenderedPageBreak/>
              <w:t>4.</w:t>
            </w:r>
            <w:bookmarkEnd w:id="10"/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DD712C" w:rsidRPr="00DD712C" w:rsidRDefault="00DD712C" w:rsidP="00DD712C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C.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If the IPS Engine Fail Closed option is enabled, IPS will drop associated traffic if the SME fails to start.</w:t>
            </w:r>
          </w:p>
          <w:p w:rsidR="00DD712C" w:rsidRPr="00DD712C" w:rsidRDefault="00DD712C" w:rsidP="00DD712C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and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are controlled by the </w:t>
            </w:r>
            <w:proofErr w:type="spellStart"/>
            <w:r w:rsidRPr="00DD712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ip</w:t>
            </w:r>
            <w:proofErr w:type="spellEnd"/>
            <w:r w:rsidRPr="00DD712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D712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ips</w:t>
            </w:r>
            <w:proofErr w:type="spellEnd"/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command on an interface.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is true if the Engine Fail Closed option is not enabled.</w:t>
            </w:r>
          </w:p>
        </w:tc>
      </w:tr>
      <w:tr w:rsidR="00DD712C" w:rsidRPr="00DD712C" w:rsidTr="00DD712C">
        <w:trPr>
          <w:tblCellSpacing w:w="15" w:type="dxa"/>
        </w:trPr>
        <w:tc>
          <w:tcPr>
            <w:tcW w:w="1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1" w:name="answer.N266"/>
            <w:r w:rsidRPr="00DD712C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5.</w:t>
            </w:r>
            <w:bookmarkEnd w:id="11"/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DD712C" w:rsidRPr="00DD712C" w:rsidRDefault="00DD712C" w:rsidP="00DD712C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A.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Before enabling Auto Update for IPS, you should synchronize the router's clock using NTP, since auto update periodically polls the AUS server.</w:t>
            </w:r>
          </w:p>
          <w:p w:rsidR="00DD712C" w:rsidRPr="00DD712C" w:rsidRDefault="00DD712C" w:rsidP="00DD712C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having nothing to do with the Auto Update function.</w:t>
            </w:r>
          </w:p>
        </w:tc>
      </w:tr>
    </w:tbl>
    <w:p w:rsidR="00DD712C" w:rsidRPr="00DD712C" w:rsidRDefault="00DD712C" w:rsidP="00DD712C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12" w:name="1567"/>
      <w:bookmarkStart w:id="13" w:name="IDX-592"/>
      <w:bookmarkStart w:id="14" w:name="1568"/>
      <w:bookmarkStart w:id="15" w:name="ch17lev3sec8"/>
      <w:bookmarkEnd w:id="12"/>
      <w:bookmarkEnd w:id="13"/>
      <w:bookmarkEnd w:id="14"/>
      <w:bookmarkEnd w:id="15"/>
      <w:r w:rsidRPr="00DD712C">
        <w:rPr>
          <w:rFonts w:ascii="Arial" w:eastAsia="Times New Roman" w:hAnsi="Arial" w:cs="Arial"/>
          <w:b/>
          <w:bCs/>
          <w:color w:val="010100"/>
          <w:sz w:val="24"/>
          <w:szCs w:val="24"/>
        </w:rPr>
        <w:t>Signature Event Action Processing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8359"/>
        <w:gridCol w:w="749"/>
      </w:tblGrid>
      <w:tr w:rsidR="00DD712C" w:rsidRPr="00DD712C" w:rsidTr="00DD712C">
        <w:trPr>
          <w:tblCellSpacing w:w="15" w:type="dxa"/>
        </w:trPr>
        <w:tc>
          <w:tcPr>
            <w:tcW w:w="1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6" w:name="N336"/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6. </w:t>
            </w:r>
            <w:bookmarkEnd w:id="16"/>
          </w:p>
        </w:tc>
        <w:tc>
          <w:tcPr>
            <w:tcW w:w="45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What SEAP component defines the importance of an asset?</w:t>
            </w:r>
          </w:p>
          <w:p w:rsidR="00DD712C" w:rsidRPr="00DD712C" w:rsidRDefault="00DD712C" w:rsidP="00DD712C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AVR</w:t>
            </w:r>
          </w:p>
          <w:p w:rsidR="00DD712C" w:rsidRPr="00DD712C" w:rsidRDefault="00DD712C" w:rsidP="00DD712C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TVR</w:t>
            </w:r>
          </w:p>
          <w:p w:rsidR="00DD712C" w:rsidRPr="00DD712C" w:rsidRDefault="00DD712C" w:rsidP="00DD712C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EAF</w:t>
            </w:r>
          </w:p>
          <w:p w:rsidR="00DD712C" w:rsidRPr="00DD712C" w:rsidRDefault="00DD712C" w:rsidP="00DD712C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EAO</w:t>
            </w:r>
          </w:p>
        </w:tc>
        <w:tc>
          <w:tcPr>
            <w:tcW w:w="4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6" name="IMG_2" descr="  *     B. The TVR defines the importance of an asset that is attacked.  *     A is a nonexistent term. C defines actions to subtract based on the risk rating. D defines actions to add based on the risk rating.   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B. The TVR defines the importance of an asset that is attacked.  *     A is a nonexistent term. C defines actions to subtract based on the risk rating. D defines actions to add based on the risk rating.   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2C" w:rsidRPr="00DD712C" w:rsidTr="00DD712C">
        <w:trPr>
          <w:tblCellSpacing w:w="15" w:type="dxa"/>
        </w:trPr>
        <w:tc>
          <w:tcPr>
            <w:tcW w:w="1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7" w:name="N392"/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7. </w:t>
            </w:r>
            <w:bookmarkEnd w:id="17"/>
          </w:p>
        </w:tc>
        <w:tc>
          <w:tcPr>
            <w:tcW w:w="45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What feature subtracts actions that should be taken, based on the risk rating, when a signature fires?</w:t>
            </w:r>
          </w:p>
          <w:p w:rsidR="00DD712C" w:rsidRPr="00DD712C" w:rsidRDefault="00DD712C" w:rsidP="00DD712C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EAO</w:t>
            </w:r>
          </w:p>
          <w:p w:rsidR="00DD712C" w:rsidRPr="00DD712C" w:rsidRDefault="00DD712C" w:rsidP="00DD712C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EAF</w:t>
            </w:r>
          </w:p>
          <w:p w:rsidR="00DD712C" w:rsidRPr="00DD712C" w:rsidRDefault="00DD712C" w:rsidP="00DD712C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TVR</w:t>
            </w:r>
          </w:p>
          <w:p w:rsidR="00DD712C" w:rsidRPr="00DD712C" w:rsidRDefault="00DD712C" w:rsidP="00DD712C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IPS Rule Wizard</w:t>
            </w:r>
          </w:p>
        </w:tc>
        <w:tc>
          <w:tcPr>
            <w:tcW w:w="4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7" name="IMG_2" descr="  *     B. An event action filter (EAF) subtracts actions that should be taken, based on the risk rating, when a signature fires.  *     A adds actions. C defines the importance of an asset. D initially sets up IPS.   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B. An event action filter (EAF) subtracts actions that should be taken, based on the risk rating, when a signature fires.  *     A adds actions. C defines the importance of an asset. D initially sets up IPS.   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12C" w:rsidRPr="00DD712C" w:rsidRDefault="00DD712C" w:rsidP="00DD71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D712C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9108"/>
      </w:tblGrid>
      <w:tr w:rsidR="00DD712C" w:rsidRPr="00DD712C" w:rsidTr="00DD712C">
        <w:trPr>
          <w:tblCellSpacing w:w="15" w:type="dxa"/>
        </w:trPr>
        <w:tc>
          <w:tcPr>
            <w:tcW w:w="1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8" w:name="answer.N336"/>
            <w:r w:rsidRPr="00DD712C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6.</w:t>
            </w:r>
            <w:bookmarkEnd w:id="18"/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DD712C" w:rsidRPr="00DD712C" w:rsidRDefault="00DD712C" w:rsidP="00DD712C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B.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The TVR defines the importance of an asset that is attacked.</w:t>
            </w:r>
          </w:p>
          <w:p w:rsidR="00DD712C" w:rsidRPr="00DD712C" w:rsidRDefault="00DD712C" w:rsidP="00DD712C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is a nonexistent term.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defines actions to subtract based on the risk rating.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defines actions to add based on the risk rating.</w:t>
            </w:r>
          </w:p>
        </w:tc>
      </w:tr>
      <w:tr w:rsidR="00DD712C" w:rsidRPr="00DD712C" w:rsidTr="00DD712C">
        <w:trPr>
          <w:tblCellSpacing w:w="15" w:type="dxa"/>
        </w:trPr>
        <w:tc>
          <w:tcPr>
            <w:tcW w:w="1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9" w:name="answer.N392"/>
            <w:r w:rsidRPr="00DD712C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7.</w:t>
            </w:r>
            <w:bookmarkEnd w:id="19"/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DD712C" w:rsidRPr="00DD712C" w:rsidRDefault="00DD712C" w:rsidP="00DD712C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B.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An event action filter (EAF) subtracts actions that should be taken, based on the risk rating, when a signature fires.</w:t>
            </w:r>
          </w:p>
          <w:p w:rsidR="00DD712C" w:rsidRPr="00DD712C" w:rsidRDefault="00DD712C" w:rsidP="00DD712C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adds actions.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defines the importance of an asset.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initially sets up IPS.</w:t>
            </w:r>
          </w:p>
        </w:tc>
      </w:tr>
    </w:tbl>
    <w:p w:rsidR="00DD712C" w:rsidRPr="00DD712C" w:rsidRDefault="00DD712C" w:rsidP="00DD712C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20" w:name="1569"/>
      <w:bookmarkStart w:id="21" w:name="ch17lev3sec9"/>
      <w:bookmarkEnd w:id="20"/>
      <w:bookmarkEnd w:id="21"/>
      <w:r w:rsidRPr="00DD712C">
        <w:rPr>
          <w:rFonts w:ascii="Arial" w:eastAsia="Times New Roman" w:hAnsi="Arial" w:cs="Arial"/>
          <w:b/>
          <w:bCs/>
          <w:color w:val="010100"/>
          <w:sz w:val="24"/>
          <w:szCs w:val="24"/>
        </w:rPr>
        <w:t>Signature Tuning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8359"/>
        <w:gridCol w:w="749"/>
      </w:tblGrid>
      <w:tr w:rsidR="00DD712C" w:rsidRPr="00DD712C" w:rsidTr="00DD712C">
        <w:trPr>
          <w:tblCellSpacing w:w="15" w:type="dxa"/>
        </w:trPr>
        <w:tc>
          <w:tcPr>
            <w:tcW w:w="1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2" w:name="N458"/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8. </w:t>
            </w:r>
            <w:bookmarkEnd w:id="22"/>
          </w:p>
        </w:tc>
        <w:tc>
          <w:tcPr>
            <w:tcW w:w="45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Which of the following is not an event action supported by IPS on the routers?</w:t>
            </w:r>
          </w:p>
          <w:p w:rsidR="00DD712C" w:rsidRPr="00DD712C" w:rsidRDefault="00DD712C" w:rsidP="00DD712C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Deny packet inline</w:t>
            </w:r>
          </w:p>
          <w:p w:rsidR="00DD712C" w:rsidRPr="00DD712C" w:rsidRDefault="00DD712C" w:rsidP="00DD712C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Reset TCP connection</w:t>
            </w:r>
          </w:p>
          <w:p w:rsidR="00DD712C" w:rsidRPr="00DD712C" w:rsidRDefault="00DD712C" w:rsidP="00DD712C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Deny victim inline</w:t>
            </w:r>
          </w:p>
          <w:p w:rsidR="00DD712C" w:rsidRPr="00DD712C" w:rsidRDefault="00DD712C" w:rsidP="00DD712C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Produce alert</w:t>
            </w:r>
          </w:p>
        </w:tc>
        <w:tc>
          <w:tcPr>
            <w:tcW w:w="4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8" name="IMG_2" descr="  *     C. Deny attacker, not victim, inline is the correct event action.  *    Answers A , B , and D are supported event actions by IPS.   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C. Deny attacker, not victim, inline is the correct event action.  *    Answers A , B , and D are supported event actions by IPS.   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2C" w:rsidRPr="00DD712C" w:rsidTr="00DD712C">
        <w:trPr>
          <w:tblCellSpacing w:w="15" w:type="dxa"/>
        </w:trPr>
        <w:tc>
          <w:tcPr>
            <w:tcW w:w="1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3" w:name="N514"/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9. </w:t>
            </w:r>
            <w:bookmarkEnd w:id="23"/>
          </w:p>
        </w:tc>
        <w:tc>
          <w:tcPr>
            <w:tcW w:w="45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What feature is supported by SDM that will navigate you to Cisco's site to list a description and benign trigger(s) of a signature?</w:t>
            </w:r>
          </w:p>
          <w:p w:rsidR="00DD712C" w:rsidRPr="00DD712C" w:rsidRDefault="00DD712C" w:rsidP="00DD712C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NDSB</w:t>
            </w:r>
          </w:p>
          <w:p w:rsidR="00DD712C" w:rsidRPr="00DD712C" w:rsidRDefault="00DD712C" w:rsidP="00DD712C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CCO</w:t>
            </w:r>
          </w:p>
          <w:p w:rsidR="00DD712C" w:rsidRPr="00DD712C" w:rsidRDefault="00DD712C" w:rsidP="00DD712C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REALM</w:t>
            </w:r>
          </w:p>
          <w:p w:rsidR="00DD712C" w:rsidRPr="00DD712C" w:rsidRDefault="00DD712C" w:rsidP="00DD712C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NSDB</w:t>
            </w:r>
          </w:p>
        </w:tc>
        <w:tc>
          <w:tcPr>
            <w:tcW w:w="4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9" name="IMG_2" descr="  *     D. The Network Security Database (NSDB) is a feature supported by SDM that will navigate you to Cisco's site to list a description and benign trigger(s) of a signature.  *     A and C are nonexistent terms. B is required to access the NSDB on Cisco's site.   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D. The Network Security Database (NSDB) is a feature supported by SDM that will navigate you to Cisco's site to list a description and benign trigger(s) of a signature.  *     A and C are nonexistent terms. B is required to access the NSDB on Cisco's site.   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12C" w:rsidRPr="00DD712C" w:rsidRDefault="00DD712C" w:rsidP="00DD71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D712C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9108"/>
      </w:tblGrid>
      <w:tr w:rsidR="00DD712C" w:rsidRPr="00DD712C" w:rsidTr="00DD712C">
        <w:trPr>
          <w:tblCellSpacing w:w="15" w:type="dxa"/>
        </w:trPr>
        <w:tc>
          <w:tcPr>
            <w:tcW w:w="1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4" w:name="answer.N458"/>
            <w:r w:rsidRPr="00DD712C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lastRenderedPageBreak/>
              <w:t>8.</w:t>
            </w:r>
            <w:bookmarkEnd w:id="24"/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DD712C" w:rsidRPr="00DD712C" w:rsidRDefault="00DD712C" w:rsidP="00DD712C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C.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Deny attacker, not victim, inline is the correct event action.</w:t>
            </w:r>
          </w:p>
          <w:p w:rsidR="00DD712C" w:rsidRPr="00DD712C" w:rsidRDefault="00DD712C" w:rsidP="00DD712C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Answers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are supported event actions by IPS.</w:t>
            </w:r>
          </w:p>
        </w:tc>
      </w:tr>
      <w:tr w:rsidR="00DD712C" w:rsidRPr="00DD712C" w:rsidTr="00DD712C">
        <w:trPr>
          <w:tblCellSpacing w:w="15" w:type="dxa"/>
        </w:trPr>
        <w:tc>
          <w:tcPr>
            <w:tcW w:w="1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5" w:name="answer.N514"/>
            <w:r w:rsidRPr="00DD712C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9.</w:t>
            </w:r>
            <w:bookmarkEnd w:id="25"/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DD712C" w:rsidRPr="00DD712C" w:rsidRDefault="00DD712C" w:rsidP="00DD712C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D.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The Network </w:t>
            </w:r>
            <w:r w:rsidRPr="00DD712C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Database (NSDB) is a feature supported by SDM that will navigate you to Cisco's site to list a description and benign trigger(s) of a signature.</w:t>
            </w:r>
          </w:p>
          <w:p w:rsidR="00DD712C" w:rsidRPr="00DD712C" w:rsidRDefault="00DD712C" w:rsidP="00DD712C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and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are nonexistent terms. </w:t>
            </w:r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is required to access the NSDB on Cisco's site.</w:t>
            </w:r>
          </w:p>
        </w:tc>
      </w:tr>
    </w:tbl>
    <w:p w:rsidR="00DD712C" w:rsidRPr="00DD712C" w:rsidRDefault="00DD712C" w:rsidP="00DD712C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26" w:name="1570"/>
      <w:bookmarkStart w:id="27" w:name="ch17lev3sec10"/>
      <w:bookmarkEnd w:id="26"/>
      <w:bookmarkEnd w:id="27"/>
      <w:r w:rsidRPr="00DD712C">
        <w:rPr>
          <w:rFonts w:ascii="Arial" w:eastAsia="Times New Roman" w:hAnsi="Arial" w:cs="Arial"/>
          <w:b/>
          <w:bCs/>
          <w:color w:val="010100"/>
          <w:sz w:val="24"/>
          <w:szCs w:val="24"/>
        </w:rPr>
        <w:t>IPS Verification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46"/>
        <w:gridCol w:w="8292"/>
        <w:gridCol w:w="682"/>
      </w:tblGrid>
      <w:tr w:rsidR="00DD712C" w:rsidRPr="00DD712C" w:rsidTr="00DD712C">
        <w:trPr>
          <w:tblCellSpacing w:w="15" w:type="dxa"/>
        </w:trPr>
        <w:tc>
          <w:tcPr>
            <w:tcW w:w="1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8" w:name="N580"/>
            <w:r w:rsidRPr="00DD71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10. </w:t>
            </w:r>
            <w:bookmarkEnd w:id="28"/>
          </w:p>
        </w:tc>
        <w:tc>
          <w:tcPr>
            <w:tcW w:w="45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Enter the IOS IPS command that only displays the IPS configuration on the router: _________.</w:t>
            </w:r>
          </w:p>
        </w:tc>
        <w:tc>
          <w:tcPr>
            <w:tcW w:w="4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0" name="IMG_2" descr="  *     show ip ips configuration command displays only the IPS configuration on the router.   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show ip ips configuration command displays only the IPS configuration on the router.   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12C" w:rsidRPr="00DD712C" w:rsidRDefault="00DD712C" w:rsidP="00DD71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D712C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46"/>
        <w:gridCol w:w="8974"/>
      </w:tblGrid>
      <w:tr w:rsidR="00DD712C" w:rsidRPr="00DD712C" w:rsidTr="00DD712C">
        <w:trPr>
          <w:tblCellSpacing w:w="15" w:type="dxa"/>
        </w:trPr>
        <w:tc>
          <w:tcPr>
            <w:tcW w:w="100" w:type="pct"/>
            <w:hideMark/>
          </w:tcPr>
          <w:p w:rsidR="00DD712C" w:rsidRPr="00DD712C" w:rsidRDefault="00DD712C" w:rsidP="00DD71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9" w:name="answer.N580"/>
            <w:r w:rsidRPr="00DD712C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10.</w:t>
            </w:r>
            <w:bookmarkEnd w:id="29"/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DD712C" w:rsidRPr="00DD712C" w:rsidRDefault="00DD712C" w:rsidP="00DD712C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12C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proofErr w:type="gramStart"/>
            <w:r w:rsidRPr="00DD712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show</w:t>
            </w:r>
            <w:proofErr w:type="gramEnd"/>
            <w:r w:rsidRPr="00DD712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D712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ip</w:t>
            </w:r>
            <w:proofErr w:type="spellEnd"/>
            <w:r w:rsidRPr="00DD712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D712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ips</w:t>
            </w:r>
            <w:proofErr w:type="spellEnd"/>
            <w:r w:rsidRPr="00DD712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configuration</w:t>
            </w:r>
            <w:r w:rsidRPr="00DD712C">
              <w:rPr>
                <w:rFonts w:ascii="Arial" w:eastAsia="Times New Roman" w:hAnsi="Arial" w:cs="Arial"/>
                <w:sz w:val="24"/>
                <w:szCs w:val="24"/>
              </w:rPr>
              <w:t> command displays only the IPS configuration on the router.</w:t>
            </w:r>
          </w:p>
        </w:tc>
      </w:tr>
    </w:tbl>
    <w:p w:rsidR="00D61D98" w:rsidRDefault="00D61D98"/>
    <w:sectPr w:rsidR="00D61D98" w:rsidSect="00F77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97321"/>
    <w:multiLevelType w:val="multilevel"/>
    <w:tmpl w:val="F520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A816E5"/>
    <w:multiLevelType w:val="multilevel"/>
    <w:tmpl w:val="F6DAB50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231A96"/>
    <w:multiLevelType w:val="multilevel"/>
    <w:tmpl w:val="361C1DA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62369A"/>
    <w:multiLevelType w:val="multilevel"/>
    <w:tmpl w:val="D302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1B02A8"/>
    <w:multiLevelType w:val="multilevel"/>
    <w:tmpl w:val="1F68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9762CB"/>
    <w:multiLevelType w:val="multilevel"/>
    <w:tmpl w:val="B5A4FA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3248F1"/>
    <w:multiLevelType w:val="multilevel"/>
    <w:tmpl w:val="161C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5C4EC7"/>
    <w:multiLevelType w:val="multilevel"/>
    <w:tmpl w:val="DE76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67308E"/>
    <w:multiLevelType w:val="multilevel"/>
    <w:tmpl w:val="038C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BF5F4C"/>
    <w:multiLevelType w:val="multilevel"/>
    <w:tmpl w:val="50C8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DA5376"/>
    <w:multiLevelType w:val="multilevel"/>
    <w:tmpl w:val="405C8D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313FAB"/>
    <w:multiLevelType w:val="multilevel"/>
    <w:tmpl w:val="A300C7A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E63690"/>
    <w:multiLevelType w:val="multilevel"/>
    <w:tmpl w:val="D876AF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483334"/>
    <w:multiLevelType w:val="multilevel"/>
    <w:tmpl w:val="3412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200D1D"/>
    <w:multiLevelType w:val="multilevel"/>
    <w:tmpl w:val="693C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4611CE"/>
    <w:multiLevelType w:val="multilevel"/>
    <w:tmpl w:val="9462EB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3B44D9"/>
    <w:multiLevelType w:val="multilevel"/>
    <w:tmpl w:val="0C9E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411A8B"/>
    <w:multiLevelType w:val="multilevel"/>
    <w:tmpl w:val="0B7ABA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ECA7E0C"/>
    <w:multiLevelType w:val="multilevel"/>
    <w:tmpl w:val="C81427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0"/>
  </w:num>
  <w:num w:numId="7">
    <w:abstractNumId w:val="10"/>
  </w:num>
  <w:num w:numId="8">
    <w:abstractNumId w:val="11"/>
  </w:num>
  <w:num w:numId="9">
    <w:abstractNumId w:val="6"/>
  </w:num>
  <w:num w:numId="10">
    <w:abstractNumId w:val="13"/>
  </w:num>
  <w:num w:numId="11">
    <w:abstractNumId w:val="15"/>
  </w:num>
  <w:num w:numId="12">
    <w:abstractNumId w:val="5"/>
  </w:num>
  <w:num w:numId="13">
    <w:abstractNumId w:val="4"/>
  </w:num>
  <w:num w:numId="14">
    <w:abstractNumId w:val="16"/>
  </w:num>
  <w:num w:numId="15">
    <w:abstractNumId w:val="12"/>
  </w:num>
  <w:num w:numId="16">
    <w:abstractNumId w:val="18"/>
  </w:num>
  <w:num w:numId="17">
    <w:abstractNumId w:val="3"/>
  </w:num>
  <w:num w:numId="18">
    <w:abstractNumId w:val="14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712C"/>
    <w:rsid w:val="00064EC7"/>
    <w:rsid w:val="00537F39"/>
    <w:rsid w:val="00D61D98"/>
    <w:rsid w:val="00DD712C"/>
    <w:rsid w:val="00F77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E29"/>
  </w:style>
  <w:style w:type="paragraph" w:styleId="Heading4">
    <w:name w:val="heading 4"/>
    <w:basedOn w:val="Normal"/>
    <w:link w:val="Heading4Char"/>
    <w:uiPriority w:val="9"/>
    <w:qFormat/>
    <w:rsid w:val="00DD71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D712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irst-para">
    <w:name w:val="first-para"/>
    <w:basedOn w:val="Normal"/>
    <w:rsid w:val="00DD7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ld">
    <w:name w:val="bold"/>
    <w:basedOn w:val="Normal"/>
    <w:rsid w:val="00DD7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D712C"/>
  </w:style>
  <w:style w:type="character" w:customStyle="1" w:styleId="fixed">
    <w:name w:val="fixed"/>
    <w:basedOn w:val="DefaultParagraphFont"/>
    <w:rsid w:val="00DD712C"/>
  </w:style>
  <w:style w:type="paragraph" w:styleId="BalloonText">
    <w:name w:val="Balloon Text"/>
    <w:basedOn w:val="Normal"/>
    <w:link w:val="BalloonTextChar"/>
    <w:uiPriority w:val="99"/>
    <w:semiHidden/>
    <w:unhideWhenUsed/>
    <w:rsid w:val="00DD7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1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0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ks24x7.com/assetviewer.aspx?bookid=33002&amp;chunkid=822307505&amp;rowid=1563&amp;noteMenuToggle=0&amp;hitSectionMenuToggle=0&amp;leftMenuState=1#answer.N140" TargetMode="External"/><Relationship Id="rId13" Type="http://schemas.openxmlformats.org/officeDocument/2006/relationships/hyperlink" Target="http://www.books24x7.com/assetviewer.aspx?bookid=33002&amp;chunkid=822307505&amp;rowid=1563&amp;noteMenuToggle=0&amp;hitSectionMenuToggle=0&amp;leftMenuState=1#answer.N45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oks24x7.com/assetviewer.aspx?bookid=33002&amp;chunkid=822307505&amp;rowid=1563&amp;noteMenuToggle=0&amp;hitSectionMenuToggle=0&amp;leftMenuState=1#answer.N83" TargetMode="External"/><Relationship Id="rId12" Type="http://schemas.openxmlformats.org/officeDocument/2006/relationships/hyperlink" Target="http://www.books24x7.com/assetviewer.aspx?bookid=33002&amp;chunkid=822307505&amp;rowid=1563&amp;noteMenuToggle=0&amp;hitSectionMenuToggle=0&amp;leftMenuState=1#answer.N39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books24x7.com/assetviewer.aspx?bookid=33002&amp;chunkid=822307505&amp;rowid=1563&amp;noteMenuToggle=0&amp;hitSectionMenuToggle=0&amp;leftMenuState=1#answer.N336" TargetMode="External"/><Relationship Id="rId5" Type="http://schemas.openxmlformats.org/officeDocument/2006/relationships/hyperlink" Target="http://www.books24x7.com/assetviewer.aspx?bookid=33002&amp;chunkid=822307505&amp;rowid=1563&amp;noteMenuToggle=0&amp;hitSectionMenuToggle=0&amp;leftMenuState=1#answer.N27" TargetMode="External"/><Relationship Id="rId15" Type="http://schemas.openxmlformats.org/officeDocument/2006/relationships/hyperlink" Target="http://www.books24x7.com/assetviewer.aspx?bookid=33002&amp;chunkid=822307505&amp;rowid=1563&amp;noteMenuToggle=0&amp;hitSectionMenuToggle=0&amp;leftMenuState=1#answer.N580" TargetMode="External"/><Relationship Id="rId10" Type="http://schemas.openxmlformats.org/officeDocument/2006/relationships/hyperlink" Target="http://www.books24x7.com/assetviewer.aspx?bookid=33002&amp;chunkid=822307505&amp;rowid=1563&amp;noteMenuToggle=0&amp;hitSectionMenuToggle=0&amp;leftMenuState=1#answer.N2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oks24x7.com/assetviewer.aspx?bookid=33002&amp;chunkid=822307505&amp;rowid=1563&amp;noteMenuToggle=0&amp;hitSectionMenuToggle=0&amp;leftMenuState=1#answer.N206" TargetMode="External"/><Relationship Id="rId14" Type="http://schemas.openxmlformats.org/officeDocument/2006/relationships/hyperlink" Target="http://www.books24x7.com/assetviewer.aspx?bookid=33002&amp;chunkid=822307505&amp;rowid=1563&amp;noteMenuToggle=0&amp;hitSectionMenuToggle=0&amp;leftMenuState=1#answer.N5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2013-01-21T08:19:00Z</dcterms:created>
  <dcterms:modified xsi:type="dcterms:W3CDTF">2013-01-21T08:19:00Z</dcterms:modified>
</cp:coreProperties>
</file>