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left"/>
      </w:pPr>
      <w:r>
        <w:rPr>
          <w:b/>
          <w:bCs/>
          <w:color w:val="C77A0E"/>
          <w:sz w:val="30"/>
          <w:szCs w:val="30"/>
        </w:rPr>
        <w:t xml:space="preserve">THE BEANS HUB</w:t>
      </w:r>
    </w:p>
    <w:p>
      <w:pPr>
        <w:spacing w:after="0" w:before="200"/>
      </w:pPr>
      <w:r>
        <w:rPr>
          <w:b/>
          <w:bCs/>
          <w:color w:val="296241"/>
          <w:sz w:val="64"/>
          <w:szCs w:val="64"/>
        </w:rPr>
        <w:t xml:space="preserve">Positioning System</w:t>
      </w:r>
    </w:p>
    <w:p>
      <w:pPr>
        <w:spacing w:after="220" w:before="60"/>
      </w:pPr>
      <w:r>
        <w:rPr>
          <w:i/>
          <w:iCs/>
          <w:color w:val="5a6e5a"/>
          <w:sz w:val="26"/>
          <w:szCs w:val="26"/>
        </w:rPr>
        <w:t xml:space="preserve">Narrative gaps, audience beliefs, proof assets — and the authority frame that ties them together</w:t>
      </w:r>
    </w:p>
    <w:p>
      <w:pPr>
        <w:pBdr>
          <w:bottom w:val="single" w:color="C77A0E" w:sz="8" w:space="4"/>
        </w:pBdr>
        <w:spacing w:after="200"/>
      </w:pPr>
      <w:r>
        <w:t xml:space="preserve"/>
      </w:r>
    </w:p>
    <w:p>
      <w:pPr>
        <w:spacing w:after="140" w:line="276"/>
      </w:pPr>
      <w:r>
        <w:rPr>
          <w:b/>
          <w:bCs/>
        </w:rPr>
        <w:t xml:space="preserve">Primary job of this system:  </w:t>
      </w:r>
      <w:r>
        <w:t xml:space="preserve">power a repeatable social content engine (Instagram / Xiaohongshu).</w:t>
      </w:r>
    </w:p>
    <w:p>
      <w:pPr>
        <w:spacing w:after="140" w:line="276"/>
      </w:pPr>
      <w:r>
        <w:rPr>
          <w:b/>
          <w:bCs/>
        </w:rPr>
        <w:t xml:space="preserve">Recommended authority claim:  </w:t>
      </w:r>
      <w:r>
        <w:t xml:space="preserve">the taste-match authority for Malaysian-roasted coffee.</w:t>
      </w:r>
    </w:p>
    <w:p>
      <w:pPr>
        <w:spacing w:after="140" w:line="276"/>
      </w:pPr>
      <w:r>
        <w:rPr>
          <w:b/>
          <w:bCs/>
        </w:rPr>
        <w:t xml:space="preserve">Prepared:  </w:t>
      </w:r>
      <w:r>
        <w:t xml:space="preserve">20 June 2026</w:t>
      </w:r>
    </w:p>
    <w:p>
      <w:pPr>
        <w:spacing w:before="240"/>
      </w:pPr>
      <w:r>
        <w:rPr>
          <w:color w:val="5a6e5a"/>
        </w:rPr>
        <w:t xml:space="preserve">Companion to </w:t>
      </w:r>
      <w:r>
        <w:rPr>
          <w:i/>
          <w:iCs/>
          <w:color w:val="5a6e5a"/>
        </w:rPr>
        <w:t xml:space="preserve">THE-BEANS-HUB-STRATEGY.docx</w:t>
      </w:r>
      <w:r>
        <w:rPr>
          <w:color w:val="5a6e5a"/>
        </w:rPr>
        <w:t xml:space="preserve"> — this is the messaging layer underneath the strategy, not a replacement for it.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The one-page answer</w:t>
      </w:r>
    </w:p>
    <w:p>
      <w:pPr>
        <w:pBdr>
          <w:left w:val="single" w:color="C77A0E" w:sz="18" w:space="8"/>
        </w:pBdr>
        <w:shd w:fill="f0ebe0" w:val="clear"/>
        <w:spacing w:after="160" w:before="80" w:line="276"/>
        <w:ind w:left="120" w:right="120"/>
      </w:pPr>
      <w:r>
        <w:rPr>
          <w:b/>
          <w:bCs/>
        </w:rPr>
        <w:t xml:space="preserve">Uncomfortable truth first: </w:t>
      </w:r>
      <w:r>
        <w:t xml:space="preserve">your bottleneck is not authority — it is </w:t>
      </w:r>
      <w:r>
        <w:rPr>
          <w:b/>
          <w:bCs/>
        </w:rPr>
        <w:t xml:space="preserve">capture</w:t>
      </w:r>
      <w:r>
        <w:t xml:space="preserve">. You can be the most authoritative voice in Malaysian coffee and still lose 92% of a viral spike because nothing turns a one-time visitor into a follower. So this whole system is built to do one job: make the authority frame the </w:t>
      </w:r>
      <w:r>
        <w:rPr>
          <w:i/>
          <w:iCs/>
        </w:rPr>
        <w:t xml:space="preserve">reason someone subscribes and comes back</w:t>
      </w:r>
      <w:r>
        <w:t xml:space="preserve"> — not a trophy that sits on the homepage.</w:t>
      </w:r>
    </w:p>
    <w:p>
      <w:pPr>
        <w:spacing w:after="140" w:line="276"/>
      </w:pPr>
      <w:r>
        <w:t xml:space="preserve">There is a contradiction inside your own documents. </w:t>
      </w:r>
      <w:r>
        <w:rPr>
          <w:b/>
          <w:bCs/>
          <w:color w:val="296241"/>
        </w:rPr>
        <w:t xml:space="preserve">brand-context.md</w:t>
      </w:r>
      <w:r>
        <w:t xml:space="preserve"> says “awareness is the only real funnel problem… the job of marketing is reach, not persuasion.” Your newer </w:t>
      </w:r>
      <w:r>
        <w:rPr>
          <w:b/>
          <w:bCs/>
          <w:color w:val="296241"/>
        </w:rPr>
        <w:t xml:space="preserve">CLAUDE.md</w:t>
      </w:r>
      <w:r>
        <w:t xml:space="preserve"> reality section says the opposite: the problem is “ownership/retention, not traffic.” I am building for the newer, harder-won read. Reach without retention is what produced the June 2026 cliff.</w:t>
      </w:r>
    </w:p>
    <w:p>
      <w:pPr>
        <w:pStyle w:val="Heading3"/>
      </w:pPr>
      <w:r>
        <w:t xml:space="preserve">The claim, in one line</w:t>
      </w:r>
    </w:p>
    <w:p>
      <w:pPr>
        <w:pBdr>
          <w:left w:val="single" w:color="C77A0E" w:sz="18" w:space="8"/>
        </w:pBdr>
        <w:shd w:fill="f0ebe0" w:val="clear"/>
        <w:spacing w:after="160" w:before="80" w:line="276"/>
        <w:ind w:left="120" w:right="120"/>
      </w:pPr>
      <w:r>
        <w:rPr>
          <w:b/>
          <w:bCs/>
        </w:rPr>
        <w:t xml:space="preserve">The Beans Hub is the taste-matchmaker for Malaysian coffee: tell us what you already love, and we’ll point you to the next bag from a local roaster you haven’t tried.</w:t>
      </w:r>
    </w:p>
    <w:p>
      <w:pPr>
        <w:spacing w:after="140" w:line="276"/>
      </w:pPr>
      <w:r>
        <w:rPr>
          <w:b/>
          <w:bCs/>
        </w:rPr>
        <w:t xml:space="preserve">Why this claim and not “the Malaysian-bean authority”? </w:t>
      </w:r>
      <w:r>
        <w:t xml:space="preserve">The broad claim isn’t defensible as content. “We have a big database” is a feature, not a point of view, and the adjacent lanes are already taken: </w:t>
      </w:r>
      <w:r>
        <w:rPr>
          <w:b/>
          <w:bCs/>
        </w:rPr>
        <w:t xml:space="preserve">“best roasters”</w:t>
      </w:r>
      <w:r>
        <w:t xml:space="preserve"> is owned by listicles (Thirst, TimeOut, ShowMeMalaysia) and </w:t>
      </w:r>
      <w:r>
        <w:rPr>
          <w:b/>
          <w:bCs/>
        </w:rPr>
        <w:t xml:space="preserve">“buy beans”</w:t>
      </w:r>
      <w:r>
        <w:t xml:space="preserve"> is owned by Bean Shipper and the roasters themselves. The one lane nobody owns is the </w:t>
      </w:r>
      <w:r>
        <w:rPr>
          <w:b/>
          <w:bCs/>
        </w:rPr>
        <w:t xml:space="preserve">connective intelligence</w:t>
      </w:r>
      <w:r>
        <w:t xml:space="preserve"> — knowing all ~850 beans well enough to tell a specific person what they’ll love. That is the only claim your catalogue can defend and the only one that generates infinite social content.</w:t>
      </w:r>
    </w:p>
    <w:p>
      <w:r>
        <w:br w:type="page"/>
      </w:r>
    </w:p>
    <w:p>
      <w:pPr>
        <w:pStyle w:val="Heading1"/>
      </w:pPr>
      <w:r>
        <w:t xml:space="preserve">1. Narrative gaps</w:t>
      </w:r>
    </w:p>
    <w:p>
      <w:pPr>
        <w:spacing w:after="140" w:line="276"/>
      </w:pPr>
      <w:r>
        <w:t xml:space="preserve">Six gaps are currently blocking authority. The first three are about story structure; the last three are about missing assets. They compound: a directory with no point of view, no enemy, and no signature method reads as a utility, and utilities get bookmarked at best — never followed.</w:t>
      </w:r>
    </w:p>
    <w:p>
      <w:pPr>
        <w:pStyle w:val="Heading3"/>
      </w:pPr>
      <w:r>
        <w:t xml:space="preserve">Gap 1 — No protagonist, no point of view</w:t>
      </w:r>
    </w:p>
    <w:p>
      <w:pPr>
        <w:spacing w:after="140" w:line="276"/>
      </w:pPr>
      <w:r>
        <w:t xml:space="preserve">The site narrates itself as a neutral container: “one organised, searchable place.” Directories don’t earn authority; </w:t>
      </w:r>
      <w:r>
        <w:rPr>
          <w:b/>
          <w:bCs/>
        </w:rPr>
        <w:t xml:space="preserve">editors</w:t>
      </w:r>
      <w:r>
        <w:t xml:space="preserve"> do. There is no recurring voice making a call, no “here’s what we’d try this week.” Authority requires a stance, and a database has none.</w:t>
      </w:r>
    </w:p>
    <w:p>
      <w:pPr>
        <w:pStyle w:val="Heading3"/>
      </w:pPr>
      <w:r>
        <w:t xml:space="preserve">Gap 2 — Comprehensiveness is told as a feature, not used as proof</w:t>
      </w:r>
    </w:p>
    <w:p>
      <w:pPr>
        <w:spacing w:after="140" w:line="276"/>
      </w:pPr>
      <w:r>
        <w:t xml:space="preserve">“850 beans, 52 roasters” is stated but never </w:t>
      </w:r>
      <w:r>
        <w:rPr>
          <w:i/>
          <w:iCs/>
        </w:rPr>
        <w:t xml:space="preserve">demonstrated</w:t>
      </w:r>
      <w:r>
        <w:t xml:space="preserve">. Scale only becomes authority when it visibly powers a better recommendation than anyone else can make. Right now the number is a stat, not an argument.</w:t>
      </w:r>
    </w:p>
    <w:p>
      <w:pPr>
        <w:pStyle w:val="Heading3"/>
      </w:pPr>
      <w:r>
        <w:t xml:space="preserve">Gap 3 — No enemy</w:t>
      </w:r>
    </w:p>
    <w:p>
      <w:pPr>
        <w:spacing w:after="140" w:line="276"/>
      </w:pPr>
      <w:r>
        <w:t xml:space="preserve">Your brand context names alternatives (Shopee clutter, roaster silos, unreliable word-of-mouth) but the public narrative never dramatizes a villain. Authority brands define themselves </w:t>
      </w:r>
      <w:r>
        <w:rPr>
          <w:i/>
          <w:iCs/>
        </w:rPr>
        <w:t xml:space="preserve">against</w:t>
      </w:r>
      <w:r>
        <w:t xml:space="preserve"> something. With nothing to be against, there’s nothing memorable to be for.</w:t>
      </w:r>
    </w:p>
    <w:p>
      <w:pPr>
        <w:pStyle w:val="Heading3"/>
      </w:pPr>
      <w:r>
        <w:t xml:space="preserve">Gap 4 — The capture story doesn’t exist</w:t>
      </w:r>
    </w:p>
    <w:p>
      <w:pPr>
        <w:spacing w:after="140" w:line="276"/>
      </w:pPr>
      <w:r>
        <w:t xml:space="preserve">There is no narrative that gives a visitor a reason to come back. The homepage signup asks for an email with no compelling “why.” The missing sentence is: </w:t>
      </w:r>
      <w:r>
        <w:rPr>
          <w:b/>
          <w:bCs/>
        </w:rPr>
        <w:t xml:space="preserve">“if you don’t subscribe, you’ll miss beans you’d love.”</w:t>
      </w:r>
      <w:r>
        <w:t xml:space="preserve"> Until that belief is installed, every visit stays rented from the algorithm.</w:t>
      </w:r>
    </w:p>
    <w:p>
      <w:pPr>
        <w:pStyle w:val="Heading3"/>
      </w:pPr>
      <w:r>
        <w:t xml:space="preserve">Gap 5 — Taste education is generic, not a named method</w:t>
      </w:r>
    </w:p>
    <w:p>
      <w:pPr>
        <w:spacing w:after="140" w:line="276"/>
      </w:pPr>
      <w:r>
        <w:t xml:space="preserve">You teach taste notes — but so does every roaster and blog. There is no named, ownable framework that turns generic helpfulness into a signature system. A method you can name is a method you can own.</w:t>
      </w:r>
    </w:p>
    <w:p>
      <w:pPr>
        <w:pStyle w:val="Heading3"/>
      </w:pPr>
      <w:r>
        <w:t xml:space="preserve">Gap 6 — The roaster-celebration flywheel isn’t a format</w:t>
      </w:r>
    </w:p>
    <w:p>
      <w:pPr>
        <w:spacing w:after="140" w:line="276"/>
      </w:pPr>
      <w:r>
        <w:t xml:space="preserve">“Celebrate roasters by name” is a rule, not a recurring asset. There’s no series that makes The Beans Hub </w:t>
      </w:r>
      <w:r>
        <w:rPr>
          <w:i/>
          <w:iCs/>
        </w:rPr>
        <w:t xml:space="preserve">the place where Malaysian roaster reputations get built</w:t>
      </w:r>
      <w:r>
        <w:t xml:space="preserve"> — which would pull the supply side toward you and give consumers a reason to care beyond price.</w:t>
      </w:r>
    </w:p>
    <w:p>
      <w:r>
        <w:br w:type="page"/>
      </w:r>
    </w:p>
    <w:p>
      <w:pPr>
        <w:pStyle w:val="Heading1"/>
      </w:pPr>
      <w:r>
        <w:t xml:space="preserve">2. Audience belief ladder</w:t>
      </w:r>
    </w:p>
    <w:p>
      <w:pPr>
        <w:spacing w:after="140" w:line="276"/>
      </w:pPr>
      <w:r>
        <w:t xml:space="preserve">From your ICP (the Curious Home Brewer, 22–35, urban Malaysia). The job is to move people up rungs. Social reliably gets them to Rung 2–3. </w:t>
      </w:r>
      <w:r>
        <w:rPr>
          <w:b/>
          <w:bCs/>
        </w:rPr>
        <w:t xml:space="preserve">The leak is the 3→4 jump</w:t>
      </w:r>
      <w:r>
        <w:t xml:space="preserve"> — “that was a good rec” never becomes “I must not miss the next one.” That single transition is where the positioning has to do its hardest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3270"/>
        <w:gridCol w:w="3270"/>
        <w:gridCol w:w="2000"/>
      </w:tblGrid>
      <w:tr>
        <w:tc>
          <w:tcPr>
            <w:tcW w:type="dxa" w:w="82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Rung</w:t>
            </w:r>
          </w:p>
        </w:tc>
        <w:tc>
          <w:tcPr>
            <w:tcW w:type="dxa" w:w="327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What they believe now</w:t>
            </w:r>
          </w:p>
        </w:tc>
        <w:tc>
          <w:tcPr>
            <w:tcW w:type="dxa" w:w="327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What they must believe to move up</w:t>
            </w:r>
          </w:p>
        </w:tc>
        <w:tc>
          <w:tcPr>
            <w:tcW w:type="dxa" w:w="200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Installed by</w:t>
            </w:r>
          </w:p>
        </w:tc>
      </w:tr>
      <w:tr>
        <w:tc>
          <w:tcPr>
            <w:tcW w:type="dxa" w:w="82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val="false"/>
                <w:bCs w:val="false"/>
              </w:rPr>
              <w:t xml:space="preserve">0</w:t>
            </w:r>
          </w:p>
        </w:tc>
        <w:tc>
          <w:tcPr>
            <w:tcW w:type="dxa" w:w="327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“Never heard of it.”</w:t>
            </w:r>
          </w:p>
        </w:tc>
        <w:tc>
          <w:tcPr>
            <w:tcW w:type="dxa" w:w="327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First contact — a specific, useful rec scrolling past.</w:t>
            </w:r>
          </w:p>
        </w:tc>
        <w:tc>
          <w:tcPr>
            <w:tcW w:type="dxa" w:w="20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Social reach</w:t>
            </w:r>
          </w:p>
        </w:tc>
      </w:tr>
      <w:tr>
        <w:tc>
          <w:tcPr>
            <w:tcW w:type="dxa" w:w="82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val="false"/>
                <w:bCs w:val="false"/>
              </w:rPr>
              <w:t xml:space="preserve">1</w:t>
            </w:r>
          </w:p>
        </w:tc>
        <w:tc>
          <w:tcPr>
            <w:tcW w:type="dxa" w:w="327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“Another coffee site / a directory.”</w:t>
            </w:r>
          </w:p>
        </w:tc>
        <w:tc>
          <w:tcPr>
            <w:tcW w:type="dxa" w:w="327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“This is run by people who actually know Malaysian coffee.”</w:t>
            </w:r>
          </w:p>
        </w:tc>
        <w:tc>
          <w:tcPr>
            <w:tcW w:type="dxa" w:w="20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Point of view + scene depth (Pillar 1)</w:t>
            </w:r>
          </w:p>
        </w:tc>
      </w:tr>
      <w:tr>
        <w:tc>
          <w:tcPr>
            <w:tcW w:type="dxa" w:w="82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val="false"/>
                <w:bCs w:val="false"/>
              </w:rPr>
              <w:t xml:space="preserve">2</w:t>
            </w:r>
          </w:p>
        </w:tc>
        <w:tc>
          <w:tcPr>
            <w:tcW w:type="dxa" w:w="327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“Maybe there’s something here for me.”</w:t>
            </w:r>
          </w:p>
        </w:tc>
        <w:tc>
          <w:tcPr>
            <w:tcW w:type="dxa" w:w="327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“They can tell me what I’ll like — not just list everything.”</w:t>
            </w:r>
          </w:p>
        </w:tc>
        <w:tc>
          <w:tcPr>
            <w:tcW w:type="dxa" w:w="20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Taste-match method (Pillar 2)</w:t>
            </w:r>
          </w:p>
        </w:tc>
      </w:tr>
      <w:tr>
        <w:tc>
          <w:tcPr>
            <w:tcW w:type="dxa" w:w="82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val="false"/>
                <w:bCs w:val="false"/>
              </w:rPr>
              <w:t xml:space="preserve">3</w:t>
            </w:r>
          </w:p>
        </w:tc>
        <w:tc>
          <w:tcPr>
            <w:tcW w:type="dxa" w:w="327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“That was a good recommendation.”</w:t>
            </w:r>
          </w:p>
        </w:tc>
        <w:tc>
          <w:tcPr>
            <w:tcW w:type="dxa" w:w="327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“Their taste matches or beats mine — I discovered something great through them.”</w:t>
            </w:r>
          </w:p>
        </w:tc>
        <w:tc>
          <w:tcPr>
            <w:tcW w:type="dxa" w:w="20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A delivered win + social proof</w:t>
            </w:r>
          </w:p>
        </w:tc>
      </w:tr>
      <w:tr>
        <w:tc>
          <w:tcPr>
            <w:tcW w:type="dxa" w:w="820"/>
            <w:tcBorders>
              <w:top w:val="single" w:color="E8E0D0" w:sz="1"/>
              <w:left w:val="single" w:color="E8E0D0" w:sz="1"/>
              <w:bottom w:val="single" w:color="E8E0D0" w:sz="1"/>
              <w:right w:val="single" w:color="E8E0D0" w:sz="1"/>
            </w:tcBorders>
            <w:shd w:fill="FCEFD6" w:val="clear"/>
            <w:tcMar>
              <w:top w:type="dxa" w:w="90"/>
              <w:left w:type="dxa" w:w="130"/>
              <w:bottom w:type="dxa" w:w="90"/>
              <w:right w:type="dxa" w:w="130"/>
            </w:tcMar>
          </w:tcPr>
          <w:p>
            <w:pPr>
              <w:spacing w:after="0" w:line="264"/>
            </w:pPr>
            <w:r>
              <w:rPr>
                <w:b w:val="false"/>
                <w:bCs w:val="false"/>
              </w:rPr>
              <w:t xml:space="preserve">4</w:t>
            </w:r>
          </w:p>
        </w:tc>
        <w:tc>
          <w:tcPr>
            <w:tcW w:type="dxa" w:w="327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bCs/>
              </w:rPr>
              <w:t xml:space="preserve">“It was a nice one-off.”</w:t>
            </w:r>
          </w:p>
        </w:tc>
        <w:tc>
          <w:tcPr>
            <w:tcW w:type="dxa" w:w="327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bCs/>
              </w:rPr>
              <w:t xml:space="preserve">“If I don’t follow/subscribe, I’ll miss beans I’d love.” ← the leak</w:t>
            </w:r>
          </w:p>
        </w:tc>
        <w:tc>
          <w:tcPr>
            <w:tcW w:type="dxa" w:w="20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bCs/>
              </w:rPr>
              <w:t xml:space="preserve">The lead magnet (see §4)</w:t>
            </w:r>
          </w:p>
        </w:tc>
      </w:tr>
      <w:tr>
        <w:tc>
          <w:tcPr>
            <w:tcW w:type="dxa" w:w="82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val="false"/>
                <w:bCs w:val="false"/>
              </w:rPr>
              <w:t xml:space="preserve">5</w:t>
            </w:r>
          </w:p>
        </w:tc>
        <w:tc>
          <w:tcPr>
            <w:tcW w:type="dxa" w:w="327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“I use it.”</w:t>
            </w:r>
          </w:p>
        </w:tc>
        <w:tc>
          <w:tcPr>
            <w:tcW w:type="dxa" w:w="327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“Sharing this makes me the friend with the good rec.”</w:t>
            </w:r>
          </w:p>
        </w:tc>
        <w:tc>
          <w:tcPr>
            <w:tcW w:type="dxa" w:w="20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Shareable picks (Pillar 3)</w:t>
            </w:r>
          </w:p>
        </w:tc>
      </w:tr>
    </w:tbl>
    <w:p>
      <w:pPr>
        <w:spacing w:after="140" w:line="276"/>
      </w:pPr>
      <w:r>
        <w:rPr>
          <w:i/>
          <w:iCs/>
        </w:rPr>
        <w:t xml:space="preserve">Read it this way: </w:t>
      </w:r>
      <w:r>
        <w:t xml:space="preserve">each pillar in §5 exists to install one specific rung-belief. If a piece of content can’t be traced to a rung, it’s decoration.</w:t>
      </w:r>
    </w:p>
    <w:p>
      <w:r>
        <w:br w:type="page"/>
      </w:r>
    </w:p>
    <w:p>
      <w:pPr>
        <w:pStyle w:val="Heading1"/>
      </w:pPr>
      <w:r>
        <w:t xml:space="preserve">3. Proof-asset inventory</w:t>
      </w:r>
    </w:p>
    <w:p>
      <w:pPr>
        <w:spacing w:after="140" w:line="276"/>
      </w:pPr>
      <w:r>
        <w:t xml:space="preserve">Authority is a claim plus the proof that makes the claim survive scrutiny. You have more latent proof than you’re using, and the gaps are cheap to close.</w:t>
      </w:r>
    </w:p>
    <w:p>
      <w:pPr>
        <w:pStyle w:val="Heading2"/>
      </w:pPr>
      <w:r>
        <w:t xml:space="preserve">What you already have</w:t>
      </w:r>
    </w:p>
    <w:p>
      <w:pPr>
        <w:pStyle w:val="ListParagraph"/>
        <w:numPr>
          <w:ilvl w:val="0"/>
          <w:numId w:val="2"/>
        </w:numPr>
        <w:spacing w:after="60" w:line="268"/>
      </w:pPr>
      <w:r>
        <w:rPr>
          <w:b/>
          <w:bCs/>
        </w:rPr>
        <w:t xml:space="preserve">The moat: </w:t>
      </w:r>
      <w:r>
        <w:t xml:space="preserve">851 taste-indexed beans across 52 roasters, on a controlled taste-note vocabulary. No competitor has tasted-mapped the whole scene — this is the single most under-narrated asset you own.</w:t>
      </w:r>
    </w:p>
    <w:p>
      <w:pPr>
        <w:pStyle w:val="ListParagraph"/>
        <w:numPr>
          <w:ilvl w:val="0"/>
          <w:numId w:val="2"/>
        </w:numPr>
        <w:spacing w:after="60" w:line="268"/>
      </w:pPr>
      <w:r>
        <w:rPr>
          <w:b/>
          <w:bCs/>
        </w:rPr>
        <w:t xml:space="preserve">A method waiting to be named: </w:t>
      </w:r>
      <w:r>
        <w:t xml:space="preserve">the filter mechanic + /find-your-beans taste finder are already a proto-system. They just aren’t branded as one.</w:t>
      </w:r>
    </w:p>
    <w:p>
      <w:pPr>
        <w:pStyle w:val="ListParagraph"/>
        <w:numPr>
          <w:ilvl w:val="0"/>
          <w:numId w:val="2"/>
        </w:numPr>
        <w:spacing w:after="60" w:line="268"/>
      </w:pPr>
      <w:r>
        <w:rPr>
          <w:b/>
          <w:bCs/>
        </w:rPr>
        <w:t xml:space="preserve">Behavioural proof you’re sitting on: </w:t>
      </w:r>
      <w:r>
        <w:t xml:space="preserve">the buy_click event already records what people actually click out to buy. That is “most-loved this month” social proof you can publish for free.</w:t>
      </w:r>
    </w:p>
    <w:p>
      <w:pPr>
        <w:pStyle w:val="ListParagraph"/>
        <w:numPr>
          <w:ilvl w:val="0"/>
          <w:numId w:val="2"/>
        </w:numPr>
        <w:spacing w:after="60" w:line="268"/>
      </w:pPr>
      <w:r>
        <w:rPr>
          <w:b/>
          <w:bCs/>
        </w:rPr>
        <w:t xml:space="preserve">~40 library articles: </w:t>
      </w:r>
      <w:r>
        <w:t xml:space="preserve">an underused editorial authority library.</w:t>
      </w:r>
    </w:p>
    <w:p>
      <w:pPr>
        <w:pStyle w:val="ListParagraph"/>
        <w:numPr>
          <w:ilvl w:val="0"/>
          <w:numId w:val="2"/>
        </w:numPr>
        <w:spacing w:after="60" w:line="268"/>
      </w:pPr>
      <w:r>
        <w:rPr>
          <w:b/>
          <w:bCs/>
        </w:rPr>
        <w:t xml:space="preserve">Distribution proof: </w:t>
      </w:r>
      <w:r>
        <w:t xml:space="preserve">an Instagram presence that has already gone semi-viral at least once — you can reach people; you just don’t keep them.</w:t>
      </w:r>
    </w:p>
    <w:p>
      <w:pPr>
        <w:pStyle w:val="Heading2"/>
      </w:pPr>
      <w:r>
        <w:t xml:space="preserve">What’s missing or weak</w:t>
      </w:r>
    </w:p>
    <w:p>
      <w:pPr>
        <w:pStyle w:val="ListParagraph"/>
        <w:numPr>
          <w:ilvl w:val="0"/>
          <w:numId w:val="2"/>
        </w:numPr>
        <w:spacing w:after="60" w:line="268"/>
      </w:pPr>
      <w:r>
        <w:rPr>
          <w:b/>
          <w:bCs/>
        </w:rPr>
        <w:t xml:space="preserve">Social proof of quality. </w:t>
      </w:r>
      <w:r>
        <w:t xml:space="preserve">Your ICP names the exact objection: “I don’t know if the quality is real.” Nothing on-site currently answers it with real-people evidence.</w:t>
      </w:r>
    </w:p>
    <w:p>
      <w:pPr>
        <w:pStyle w:val="ListParagraph"/>
        <w:numPr>
          <w:ilvl w:val="0"/>
          <w:numId w:val="2"/>
        </w:numPr>
        <w:spacing w:after="60" w:line="268"/>
      </w:pPr>
      <w:r>
        <w:rPr>
          <w:b/>
          <w:bCs/>
        </w:rPr>
        <w:t xml:space="preserve">A named signature method. </w:t>
      </w:r>
      <w:r>
        <w:t xml:space="preserve">The taste-match system has no name, so it can’t be owned or referenced.</w:t>
      </w:r>
    </w:p>
    <w:p>
      <w:pPr>
        <w:pStyle w:val="ListParagraph"/>
        <w:numPr>
          <w:ilvl w:val="0"/>
          <w:numId w:val="2"/>
        </w:numPr>
        <w:spacing w:after="60" w:line="268"/>
      </w:pPr>
      <w:r>
        <w:rPr>
          <w:b/>
          <w:bCs/>
        </w:rPr>
        <w:t xml:space="preserve">A recurring authority format. </w:t>
      </w:r>
      <w:r>
        <w:t xml:space="preserve">No “pick of the week,” no consistently-shaped roaster spotlight.</w:t>
      </w:r>
    </w:p>
    <w:p>
      <w:pPr>
        <w:pStyle w:val="ListParagraph"/>
        <w:numPr>
          <w:ilvl w:val="0"/>
          <w:numId w:val="2"/>
        </w:numPr>
        <w:spacing w:after="60" w:line="268"/>
      </w:pPr>
      <w:r>
        <w:rPr>
          <w:b/>
          <w:bCs/>
        </w:rPr>
        <w:t xml:space="preserve">A lead magnet that embodies the authority. </w:t>
      </w:r>
      <w:r>
        <w:t xml:space="preserve">The signup has no reason-to-join.</w:t>
      </w:r>
    </w:p>
    <w:p>
      <w:pPr>
        <w:pStyle w:val="ListParagraph"/>
        <w:numPr>
          <w:ilvl w:val="0"/>
          <w:numId w:val="2"/>
        </w:numPr>
        <w:spacing w:after="60" w:line="268"/>
      </w:pPr>
      <w:r>
        <w:rPr>
          <w:b/>
          <w:bCs/>
        </w:rPr>
        <w:t xml:space="preserve">Visible editorial judgment. </w:t>
      </w:r>
      <w:r>
        <w:t xml:space="preserve">The site lists; it doesn’t visibly choose, rank, or curate.</w:t>
      </w:r>
    </w:p>
    <w:p>
      <w:pPr>
        <w:pStyle w:val="ListParagraph"/>
        <w:numPr>
          <w:ilvl w:val="0"/>
          <w:numId w:val="2"/>
        </w:numPr>
        <w:spacing w:after="60" w:line="268"/>
      </w:pPr>
      <w:r>
        <w:rPr>
          <w:b/>
          <w:bCs/>
        </w:rPr>
        <w:t xml:space="preserve">A human face / curator voice. </w:t>
      </w:r>
      <w:r>
        <w:t xml:space="preserve">Authority needs a someone. An anonymous database has none.</w:t>
      </w:r>
    </w:p>
    <w:p>
      <w:pPr>
        <w:pStyle w:val="Heading2"/>
      </w:pPr>
      <w:r>
        <w:t xml:space="preserve">Proof-asset roadmap (cheap → compounding)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2300"/>
        <w:gridCol w:w="2100"/>
      </w:tblGrid>
      <w:tr>
        <w:tc>
          <w:tcPr>
            <w:tcW w:type="dxa" w:w="56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w:t>
            </w:r>
          </w:p>
        </w:tc>
        <w:tc>
          <w:tcPr>
            <w:tcW w:type="dxa" w:w="440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Build this</w:t>
            </w:r>
          </w:p>
        </w:tc>
        <w:tc>
          <w:tcPr>
            <w:tcW w:type="dxa" w:w="230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Closes gap</w:t>
            </w:r>
          </w:p>
        </w:tc>
        <w:tc>
          <w:tcPr>
            <w:tcW w:type="dxa" w:w="210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Effort</w:t>
            </w:r>
          </w:p>
        </w:tc>
      </w:tr>
      <w:tr>
        <w:tc>
          <w:tcPr>
            <w:tcW w:type="dxa" w:w="56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val="false"/>
                <w:bCs w:val="false"/>
              </w:rPr>
              <w:t xml:space="preserve">1</w:t>
            </w:r>
          </w:p>
        </w:tc>
        <w:tc>
          <w:tcPr>
            <w:tcW w:type="dxa" w:w="44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bCs/>
              </w:rPr>
              <w:t xml:space="preserve">Name the method </w:t>
            </w:r>
            <w:r>
              <w:t xml:space="preserve">— e.g. “Taste-Match.” Turns the existing filter into a signature system you can say out loud.</w:t>
            </w:r>
          </w:p>
        </w:tc>
        <w:tc>
          <w:tcPr>
            <w:tcW w:type="dxa" w:w="23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Gaps 1, 5</w:t>
            </w:r>
          </w:p>
        </w:tc>
        <w:tc>
          <w:tcPr>
            <w:tcW w:type="dxa" w:w="21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Near-zero</w:t>
            </w:r>
          </w:p>
        </w:tc>
      </w:tr>
      <w:tr>
        <w:tc>
          <w:tcPr>
            <w:tcW w:type="dxa" w:w="56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val="false"/>
                <w:bCs w:val="false"/>
              </w:rPr>
              <w:t xml:space="preserve">2</w:t>
            </w:r>
          </w:p>
        </w:tc>
        <w:tc>
          <w:tcPr>
            <w:tcW w:type="dxa" w:w="44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bCs/>
              </w:rPr>
              <w:t xml:space="preserve">“Most-loved this month” </w:t>
            </w:r>
            <w:r>
              <w:t xml:space="preserve">— publish a monthly ranking from buy_click data.</w:t>
            </w:r>
          </w:p>
        </w:tc>
        <w:tc>
          <w:tcPr>
            <w:tcW w:type="dxa" w:w="23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Social proof, Gap 2</w:t>
            </w:r>
          </w:p>
        </w:tc>
        <w:tc>
          <w:tcPr>
            <w:tcW w:type="dxa" w:w="21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Low (data exists)</w:t>
            </w:r>
          </w:p>
        </w:tc>
      </w:tr>
      <w:tr>
        <w:tc>
          <w:tcPr>
            <w:tcW w:type="dxa" w:w="56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val="false"/>
                <w:bCs w:val="false"/>
              </w:rPr>
              <w:t xml:space="preserve">3</w:t>
            </w:r>
          </w:p>
        </w:tc>
        <w:tc>
          <w:tcPr>
            <w:tcW w:type="dxa" w:w="44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bCs/>
              </w:rPr>
              <w:t xml:space="preserve">Two recurring social series </w:t>
            </w:r>
            <w:r>
              <w:t xml:space="preserve">— one “if you like X, try Y,” one roaster spotlight.</w:t>
            </w:r>
          </w:p>
        </w:tc>
        <w:tc>
          <w:tcPr>
            <w:tcW w:type="dxa" w:w="23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Gaps 1, 6</w:t>
            </w:r>
          </w:p>
        </w:tc>
        <w:tc>
          <w:tcPr>
            <w:tcW w:type="dxa" w:w="21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Medium (ongoing)</w:t>
            </w:r>
          </w:p>
        </w:tc>
      </w:tr>
      <w:tr>
        <w:tc>
          <w:tcPr>
            <w:tcW w:type="dxa" w:w="560"/>
            <w:tcBorders>
              <w:top w:val="single" w:color="E8E0D0" w:sz="1"/>
              <w:left w:val="single" w:color="E8E0D0" w:sz="1"/>
              <w:bottom w:val="single" w:color="E8E0D0" w:sz="1"/>
              <w:right w:val="single" w:color="E8E0D0" w:sz="1"/>
            </w:tcBorders>
            <w:shd w:fill="FCEFD6" w:val="clear"/>
            <w:tcMar>
              <w:top w:type="dxa" w:w="90"/>
              <w:left w:type="dxa" w:w="130"/>
              <w:bottom w:type="dxa" w:w="90"/>
              <w:right w:type="dxa" w:w="130"/>
            </w:tcMar>
          </w:tcPr>
          <w:p>
            <w:pPr>
              <w:spacing w:after="0" w:line="264"/>
            </w:pPr>
            <w:r>
              <w:rPr>
                <w:b w:val="false"/>
                <w:bCs w:val="false"/>
              </w:rPr>
              <w:t xml:space="preserve">4</w:t>
            </w:r>
          </w:p>
        </w:tc>
        <w:tc>
          <w:tcPr>
            <w:tcW w:type="dxa" w:w="44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bCs/>
              </w:rPr>
              <w:t xml:space="preserve">The lead magnet </w:t>
            </w:r>
            <w:r>
              <w:t xml:space="preserve">— “The Malaysian Taste-Match Guide” + a monthly taste-matched roaster-drop email. This is the Rung 3→4 fix.</w:t>
            </w:r>
          </w:p>
        </w:tc>
        <w:tc>
          <w:tcPr>
            <w:tcW w:type="dxa" w:w="23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Gap 4 (the leak)</w:t>
            </w:r>
          </w:p>
        </w:tc>
        <w:tc>
          <w:tcPr>
            <w:tcW w:type="dxa" w:w="21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Medium — do first</w:t>
            </w:r>
          </w:p>
        </w:tc>
      </w:tr>
      <w:tr>
        <w:tc>
          <w:tcPr>
            <w:tcW w:type="dxa" w:w="56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val="false"/>
                <w:bCs w:val="false"/>
              </w:rPr>
              <w:t xml:space="preserve">5</w:t>
            </w:r>
          </w:p>
        </w:tc>
        <w:tc>
          <w:tcPr>
            <w:tcW w:type="dxa" w:w="44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bCs/>
              </w:rPr>
              <w:t xml:space="preserve">Lightweight community signal </w:t>
            </w:r>
            <w:r>
              <w:t xml:space="preserve">— “people who like X also reach for Y.”</w:t>
            </w:r>
          </w:p>
        </w:tc>
        <w:tc>
          <w:tcPr>
            <w:tcW w:type="dxa" w:w="23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Quality objection</w:t>
            </w:r>
          </w:p>
        </w:tc>
        <w:tc>
          <w:tcPr>
            <w:tcW w:type="dxa" w:w="21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Medium</w:t>
            </w:r>
          </w:p>
        </w:tc>
      </w:tr>
      <w:tr>
        <w:tc>
          <w:tcPr>
            <w:tcW w:type="dxa" w:w="56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val="false"/>
                <w:bCs w:val="false"/>
              </w:rPr>
              <w:t xml:space="preserve">6</w:t>
            </w:r>
          </w:p>
        </w:tc>
        <w:tc>
          <w:tcPr>
            <w:tcW w:type="dxa" w:w="44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bCs/>
              </w:rPr>
              <w:t xml:space="preserve">A named curator voice </w:t>
            </w:r>
            <w:r>
              <w:t xml:space="preserve">— a human who makes the picks.</w:t>
            </w:r>
          </w:p>
        </w:tc>
        <w:tc>
          <w:tcPr>
            <w:tcW w:type="dxa" w:w="23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Gap 1</w:t>
            </w:r>
          </w:p>
        </w:tc>
        <w:tc>
          <w:tcPr>
            <w:tcW w:type="dxa" w:w="21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Low</w:t>
            </w:r>
          </w:p>
        </w:tc>
      </w:tr>
    </w:tbl>
    <w:p>
      <w:pPr>
        <w:pBdr>
          <w:left w:val="single" w:color="C77A0E" w:sz="18" w:space="8"/>
        </w:pBdr>
        <w:shd w:fill="f0ebe0" w:val="clear"/>
        <w:spacing w:after="160" w:before="80" w:line="276"/>
        <w:ind w:left="120" w:right="120"/>
      </w:pPr>
      <w:r>
        <w:rPr>
          <w:b/>
          <w:bCs/>
        </w:rPr>
        <w:t xml:space="preserve">Sequencing note: </w:t>
      </w:r>
      <w:r>
        <w:t xml:space="preserve">#4 is medium-effort but I’d do it first anyway. #1, #2 and #6 are nearly free and should ship this month — they make every social post in §5 land harder.</w:t>
      </w:r>
    </w:p>
    <w:p>
      <w:r>
        <w:br w:type="page"/>
      </w:r>
    </w:p>
    <w:p>
      <w:pPr>
        <w:pStyle w:val="Heading1"/>
      </w:pPr>
      <w:r>
        <w:t xml:space="preserve">4. The positioning system</w:t>
      </w:r>
    </w:p>
    <w:p>
      <w:pPr>
        <w:pStyle w:val="Heading2"/>
      </w:pPr>
      <w:r>
        <w:t xml:space="preserve">Positioning statement</w:t>
      </w:r>
    </w:p>
    <w:p>
      <w:pPr>
        <w:pBdr>
          <w:left w:val="single" w:color="C77A0E" w:sz="18" w:space="8"/>
        </w:pBdr>
        <w:shd w:fill="f0ebe0" w:val="clear"/>
        <w:spacing w:after="160" w:before="80" w:line="276"/>
        <w:ind w:left="120" w:right="120"/>
      </w:pPr>
      <w:r>
        <w:t xml:space="preserve">For </w:t>
      </w:r>
      <w:r>
        <w:rPr>
          <w:b/>
          <w:bCs/>
        </w:rPr>
        <w:t xml:space="preserve">curious Malaysian home brewers deciding what to buy next</w:t>
      </w:r>
      <w:r>
        <w:t xml:space="preserve">, who find the local specialty scene exciting but scattered, </w:t>
      </w:r>
      <w:r>
        <w:rPr>
          <w:b/>
          <w:bCs/>
        </w:rPr>
        <w:t xml:space="preserve">The Beans Hub</w:t>
      </w:r>
      <w:r>
        <w:t xml:space="preserve"> is the </w:t>
      </w:r>
      <w:r>
        <w:rPr>
          <w:b/>
          <w:bCs/>
        </w:rPr>
        <w:t xml:space="preserve">taste-matchmaker for Malaysian-roasted coffee</w:t>
      </w:r>
      <w:r>
        <w:t xml:space="preserve"> that tells you which bean you’ll love based on what you already like. Unlike Shopee clutter, single-roaster silos, or “best-of” listicles, it’s the only place that has taste-indexed </w:t>
      </w:r>
      <w:r>
        <w:rPr>
          <w:i/>
          <w:iCs/>
        </w:rPr>
        <w:t xml:space="preserve">every</w:t>
      </w:r>
      <w:r>
        <w:t xml:space="preserve"> Malaysian roaster — so its recommendations come from the whole scene, not one shelf.</w:t>
      </w:r>
    </w:p>
    <w:p>
      <w:pPr>
        <w:pStyle w:val="Heading2"/>
      </w:pPr>
      <w:r>
        <w:t xml:space="preserve">The enemy</w:t>
      </w:r>
    </w:p>
    <w:p>
      <w:pPr>
        <w:spacing w:after="140" w:line="276"/>
      </w:pPr>
      <w:r>
        <w:t xml:space="preserve">Position against </w:t>
      </w:r>
      <w:r>
        <w:rPr>
          <w:b/>
          <w:bCs/>
        </w:rPr>
        <w:t xml:space="preserve">the supermarket shelf and the algorithm that buries good local coffee</w:t>
      </w:r>
      <w:r>
        <w:t xml:space="preserve"> — the Shopee grid where beans sit next to vacuum cleaners, the gatekeeping snobbery that makes beginners feel dumb, and the listicle that ranks “best” without telling you which is right for </w:t>
      </w:r>
      <w:r>
        <w:rPr>
          <w:i/>
          <w:iCs/>
        </w:rPr>
        <w:t xml:space="preserve">you</w:t>
      </w:r>
      <w:r>
        <w:t xml:space="preserve">. You are the opposite of all three: curated, welcoming, and personal.</w:t>
      </w:r>
    </w:p>
    <w:p>
      <w:pPr>
        <w:pStyle w:val="Heading2"/>
      </w:pPr>
      <w:r>
        <w:t xml:space="preserve">Three messaging pillars</w:t>
      </w:r>
    </w:p>
    <w:p>
      <w:pPr>
        <w:spacing w:after="140" w:line="276"/>
      </w:pPr>
      <w:r>
        <w:t xml:space="preserve">Each pillar installs one belief, is backed by one proof asset, and carries one repeatable social format. Don’t add a fourth — three is enough to stay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540"/>
        <w:gridCol w:w="2535"/>
        <w:gridCol w:w="2535"/>
      </w:tblGrid>
      <w:tr>
        <w:tc>
          <w:tcPr>
            <w:tcW w:type="dxa" w:w="175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Pillar</w:t>
            </w:r>
          </w:p>
        </w:tc>
        <w:tc>
          <w:tcPr>
            <w:tcW w:type="dxa" w:w="254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Belief it installs</w:t>
            </w:r>
          </w:p>
        </w:tc>
        <w:tc>
          <w:tcPr>
            <w:tcW w:type="dxa" w:w="2535"/>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Proof behind it</w:t>
            </w:r>
          </w:p>
        </w:tc>
        <w:tc>
          <w:tcPr>
            <w:tcW w:type="dxa" w:w="2535"/>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Why it’s defensible</w:t>
            </w:r>
          </w:p>
        </w:tc>
      </w:tr>
      <w:tr>
        <w:tc>
          <w:tcPr>
            <w:tcW w:type="dxa" w:w="175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bCs/>
              </w:rPr>
              <w:t xml:space="preserve">1. We know the whole scene</w:t>
            </w:r>
          </w:p>
        </w:tc>
        <w:tc>
          <w:tcPr>
            <w:tcW w:type="dxa" w:w="254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“These people actually know Malaysian coffee.” (Rung 1)</w:t>
            </w:r>
          </w:p>
        </w:tc>
        <w:tc>
          <w:tcPr>
            <w:tcW w:type="dxa" w:w="2535"/>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850 beans / 52 roasters, taste-indexed</w:t>
            </w:r>
          </w:p>
        </w:tc>
        <w:tc>
          <w:tcPr>
            <w:tcW w:type="dxa" w:w="2535"/>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Listicles cover ~15 roasters; you cover the whole field.</w:t>
            </w:r>
          </w:p>
        </w:tc>
      </w:tr>
      <w:tr>
        <w:tc>
          <w:tcPr>
            <w:tcW w:type="dxa" w:w="175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bCs/>
              </w:rPr>
              <w:t xml:space="preserve">2. Tell us what you like, we’ll find your next bag</w:t>
            </w:r>
          </w:p>
        </w:tc>
        <w:tc>
          <w:tcPr>
            <w:tcW w:type="dxa" w:w="254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“They can match my taste, not just list everything.” (Rung 2–3)</w:t>
            </w:r>
          </w:p>
        </w:tc>
        <w:tc>
          <w:tcPr>
            <w:tcW w:type="dxa" w:w="2535"/>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The Taste-Match method + filter + buy_click data</w:t>
            </w:r>
          </w:p>
        </w:tc>
        <w:tc>
          <w:tcPr>
            <w:tcW w:type="dxa" w:w="2535"/>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Requires the full taste-indexed catalogue — no roaster or listicle can do it.</w:t>
            </w:r>
          </w:p>
        </w:tc>
      </w:tr>
      <w:tr>
        <w:tc>
          <w:tcPr>
            <w:tcW w:type="dxa" w:w="175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bCs/>
              </w:rPr>
              <w:t xml:space="preserve">3. Local roasters deserve to be found</w:t>
            </w:r>
          </w:p>
        </w:tc>
        <w:tc>
          <w:tcPr>
            <w:tcW w:type="dxa" w:w="254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“This is community — sharing it makes me look good.” (Rung 5)</w:t>
            </w:r>
          </w:p>
        </w:tc>
        <w:tc>
          <w:tcPr>
            <w:tcW w:type="dxa" w:w="2535"/>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Roaster spotlights, names + stories, supply relationships</w:t>
            </w:r>
          </w:p>
        </w:tc>
        <w:tc>
          <w:tcPr>
            <w:tcW w:type="dxa" w:w="2535"/>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Builds the supply-side flywheel competitors can’t buy.</w:t>
            </w:r>
          </w:p>
        </w:tc>
      </w:tr>
    </w:tbl>
    <w:p>
      <w:pPr>
        <w:pStyle w:val="Heading2"/>
      </w:pPr>
      <w:r>
        <w:t xml:space="preserve">The narrative shift, concretely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Stop saying (utility)</w:t>
            </w:r>
          </w:p>
        </w:tc>
        <w:tc>
          <w:tcPr>
            <w:tcW w:type="dxa" w:w="468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Start saying (authority)</w:t>
            </w:r>
          </w:p>
        </w:tc>
      </w:tr>
      <w:tr>
        <w:tc>
          <w:tcPr>
            <w:tcW w:type="dxa" w:w="468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“One organised place to find every Malaysian bean.”</w:t>
            </w:r>
          </w:p>
        </w:tc>
        <w:tc>
          <w:tcPr>
            <w:tcW w:type="dxa" w:w="468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“Tell us what you already love. We know the bean you haven’t tried yet.”</w:t>
            </w:r>
          </w:p>
        </w:tc>
      </w:tr>
      <w:tr>
        <w:tc>
          <w:tcPr>
            <w:tcW w:type="dxa" w:w="468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“850 beans, 52 roasters.” (a stat)</w:t>
            </w:r>
          </w:p>
        </w:tc>
        <w:tc>
          <w:tcPr>
            <w:tcW w:type="dxa" w:w="468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“We’ve taste-mapped every roaster in the country so you don’t have to.” (a claim)</w:t>
            </w:r>
          </w:p>
        </w:tc>
      </w:tr>
      <w:tr>
        <w:tc>
          <w:tcPr>
            <w:tcW w:type="dxa" w:w="468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“Filter by taste note.”</w:t>
            </w:r>
          </w:p>
        </w:tc>
        <w:tc>
          <w:tcPr>
            <w:tcW w:type="dxa" w:w="468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“Run a Taste-Match — it lands on the right roast level about 90% of the time.”</w:t>
            </w:r>
          </w:p>
        </w:tc>
      </w:tr>
      <w:tr>
        <w:tc>
          <w:tcPr>
            <w:tcW w:type="dxa" w:w="468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“Sign up for our newsletter.”</w:t>
            </w:r>
          </w:p>
        </w:tc>
        <w:tc>
          <w:tcPr>
            <w:tcW w:type="dxa" w:w="468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“Get one taste-matched Malaysian roaster drop a month. Miss it and you miss the bean.”</w:t>
            </w:r>
          </w:p>
        </w:tc>
      </w:tr>
    </w:tbl>
    <w:p>
      <w:pPr>
        <w:spacing w:after="140" w:line="276"/>
      </w:pPr>
      <w:r>
        <w:rPr>
          <w:i/>
          <w:iCs/>
        </w:rPr>
        <w:t xml:space="preserve">Voice guardrails honoured throughout: no “premium,” “artisanal,” or metaphorical “journey”; flavour-forward, warm, never gatekeeping.</w:t>
      </w:r>
    </w:p>
    <w:p>
      <w:r>
        <w:br w:type="page"/>
      </w:r>
    </w:p>
    <w:p>
      <w:pPr>
        <w:pStyle w:val="Heading1"/>
      </w:pPr>
      <w:r>
        <w:t xml:space="preserve">5. The social content engine</w:t>
      </w:r>
    </w:p>
    <w:p>
      <w:pPr>
        <w:spacing w:after="140" w:line="276"/>
      </w:pPr>
      <w:r>
        <w:t xml:space="preserve">This is the chosen primary job. The rule that makes it work: </w:t>
      </w:r>
      <w:r>
        <w:rPr>
          <w:b/>
          <w:bCs/>
        </w:rPr>
        <w:t xml:space="preserve">every post ends with a capture CTA, not “go explore.”</w:t>
      </w:r>
      <w:r>
        <w:t xml:space="preserve"> “Go explore” sends a rented visitor to a page they’ll forget. The whole point is to convert attention into an owned subscriber while you have it.</w:t>
      </w:r>
    </w:p>
    <w:p>
      <w:pPr>
        <w:pStyle w:val="Heading2"/>
      </w:pPr>
      <w:r>
        <w:t xml:space="preserve">Three repeatable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360"/>
        <w:gridCol w:w="3000"/>
      </w:tblGrid>
      <w:tr>
        <w:tc>
          <w:tcPr>
            <w:tcW w:type="dxa" w:w="150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Format</w:t>
            </w:r>
          </w:p>
        </w:tc>
        <w:tc>
          <w:tcPr>
            <w:tcW w:type="dxa" w:w="150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Pillar</w:t>
            </w:r>
          </w:p>
        </w:tc>
        <w:tc>
          <w:tcPr>
            <w:tcW w:type="dxa" w:w="336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Hook template</w:t>
            </w:r>
          </w:p>
        </w:tc>
        <w:tc>
          <w:tcPr>
            <w:tcW w:type="dxa" w:w="3000"/>
            <w:tcBorders>
              <w:top w:val="single" w:color="E8E0D0" w:sz="1"/>
              <w:left w:val="single" w:color="E8E0D0" w:sz="1"/>
              <w:bottom w:val="single" w:color="E8E0D0" w:sz="1"/>
              <w:right w:val="single" w:color="E8E0D0" w:sz="1"/>
            </w:tcBorders>
            <w:shd w:fill="296241" w:val="clear"/>
            <w:tcMar>
              <w:top w:type="dxa" w:w="90"/>
              <w:left w:type="dxa" w:w="130"/>
              <w:bottom w:type="dxa" w:w="90"/>
              <w:right w:type="dxa" w:w="130"/>
            </w:tcMar>
          </w:tcPr>
          <w:p>
            <w:pPr>
              <w:spacing w:after="0" w:line="264"/>
            </w:pPr>
            <w:r>
              <w:rPr>
                <w:b/>
                <w:bCs/>
                <w:color w:val="FFFFFF"/>
              </w:rPr>
              <w:t xml:space="preserve">Capture CTA (the fix)</w:t>
            </w:r>
          </w:p>
        </w:tc>
      </w:tr>
      <w:tr>
        <w:tc>
          <w:tcPr>
            <w:tcW w:type="dxa" w:w="150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bCs/>
              </w:rPr>
              <w:t xml:space="preserve">If you like X, try Y</w:t>
            </w:r>
          </w:p>
        </w:tc>
        <w:tc>
          <w:tcPr>
            <w:tcW w:type="dxa" w:w="15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2</w:t>
            </w:r>
          </w:p>
        </w:tc>
        <w:tc>
          <w:tcPr>
            <w:tcW w:type="dxa" w:w="336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“Love [well-known bean/profile]? Here’s a Malaysian-roasted one that scratches the same itch — [bean], [roaster], [2 taste notes].”</w:t>
            </w:r>
          </w:p>
        </w:tc>
        <w:tc>
          <w:tcPr>
            <w:tcW w:type="dxa" w:w="30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“We send one taste-match like this every week to subscribers — link in bio.”</w:t>
            </w:r>
          </w:p>
        </w:tc>
      </w:tr>
      <w:tr>
        <w:tc>
          <w:tcPr>
            <w:tcW w:type="dxa" w:w="150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bCs/>
              </w:rPr>
              <w:t xml:space="preserve">Roaster spotlight</w:t>
            </w:r>
          </w:p>
        </w:tc>
        <w:tc>
          <w:tcPr>
            <w:tcW w:type="dxa" w:w="15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3</w:t>
            </w:r>
          </w:p>
        </w:tc>
        <w:tc>
          <w:tcPr>
            <w:tcW w:type="dxa" w:w="336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“The most underrated roaster you’re not buying from: [roaster], [city]. Their [bean] is [flavour]. Here’s the story.”</w:t>
            </w:r>
          </w:p>
        </w:tc>
        <w:tc>
          <w:tcPr>
            <w:tcW w:type="dxa" w:w="30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“We feature a new local roaster every week — subscribe so you don’t miss the next drop.”</w:t>
            </w:r>
          </w:p>
        </w:tc>
      </w:tr>
      <w:tr>
        <w:tc>
          <w:tcPr>
            <w:tcW w:type="dxa" w:w="1500"/>
            <w:tcBorders>
              <w:top w:val="single" w:color="E8E0D0" w:sz="1"/>
              <w:left w:val="single" w:color="E8E0D0" w:sz="1"/>
              <w:bottom w:val="single" w:color="E8E0D0" w:sz="1"/>
              <w:right w:val="single" w:color="E8E0D0" w:sz="1"/>
            </w:tcBorders>
            <w:shd w:fill="f0ebe0" w:val="clear"/>
            <w:tcMar>
              <w:top w:type="dxa" w:w="90"/>
              <w:left w:type="dxa" w:w="130"/>
              <w:bottom w:type="dxa" w:w="90"/>
              <w:right w:type="dxa" w:w="130"/>
            </w:tcMar>
          </w:tcPr>
          <w:p>
            <w:pPr>
              <w:spacing w:after="0" w:line="264"/>
            </w:pPr>
            <w:r>
              <w:rPr>
                <w:b/>
                <w:bCs/>
              </w:rPr>
              <w:t xml:space="preserve">Scene / taste lesson</w:t>
            </w:r>
          </w:p>
        </w:tc>
        <w:tc>
          <w:tcPr>
            <w:tcW w:type="dxa" w:w="15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1</w:t>
            </w:r>
          </w:p>
        </w:tc>
        <w:tc>
          <w:tcPr>
            <w:tcW w:type="dxa" w:w="336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“What ‘natural process’ actually tastes like — and 3 Malaysian beans that nail it.” (teach + surface a discovery)</w:t>
            </w:r>
          </w:p>
        </w:tc>
        <w:tc>
          <w:tcPr>
            <w:tcW w:type="dxa" w:w="3000"/>
            <w:tcBorders>
              <w:top w:val="single" w:color="E8E0D0" w:sz="1"/>
              <w:left w:val="single" w:color="E8E0D0" w:sz="1"/>
              <w:bottom w:val="single" w:color="E8E0D0" w:sz="1"/>
              <w:right w:val="single" w:color="E8E0D0" w:sz="1"/>
            </w:tcBorders>
            <w:tcMar>
              <w:top w:type="dxa" w:w="90"/>
              <w:left w:type="dxa" w:w="130"/>
              <w:bottom w:type="dxa" w:w="90"/>
              <w:right w:type="dxa" w:w="130"/>
            </w:tcMar>
          </w:tcPr>
          <w:p>
            <w:pPr>
              <w:spacing w:after="0" w:line="264"/>
            </w:pPr>
            <w:r>
              <w:rPr>
                <w:b w:val="false"/>
                <w:bCs w:val="false"/>
              </w:rPr>
              <w:t xml:space="preserve">“Grab the free Taste-Match Guide to find yours — link in bio.”</w:t>
            </w:r>
          </w:p>
        </w:tc>
      </w:tr>
    </w:tbl>
    <w:p>
      <w:pPr>
        <w:pStyle w:val="Heading2"/>
      </w:pPr>
      <w:r>
        <w:t xml:space="preserve">A weekly cadence you can actually keep</w:t>
      </w:r>
    </w:p>
    <w:p>
      <w:pPr>
        <w:spacing w:after="140" w:line="276"/>
      </w:pPr>
      <w:r>
        <w:t xml:space="preserve">Consistency beats virality. Treat a viral spike as a bonus on top of this baseline — and make sure the capture CTA is in place to catch it when it comes.</w:t>
      </w:r>
    </w:p>
    <w:p>
      <w:pPr>
        <w:pStyle w:val="ListParagraph"/>
        <w:numPr>
          <w:ilvl w:val="0"/>
          <w:numId w:val="3"/>
        </w:numPr>
        <w:spacing w:after="80" w:line="268"/>
      </w:pPr>
      <w:r>
        <w:rPr>
          <w:b/>
          <w:bCs/>
        </w:rPr>
        <w:t xml:space="preserve">Monday — Taste-Match. </w:t>
      </w:r>
      <w:r>
        <w:t xml:space="preserve">“If you like X, try Y.” Highest-converting format; lead the week with it.</w:t>
      </w:r>
    </w:p>
    <w:p>
      <w:pPr>
        <w:pStyle w:val="ListParagraph"/>
        <w:numPr>
          <w:ilvl w:val="0"/>
          <w:numId w:val="3"/>
        </w:numPr>
        <w:spacing w:after="80" w:line="268"/>
      </w:pPr>
      <w:r>
        <w:rPr>
          <w:b/>
          <w:bCs/>
        </w:rPr>
        <w:t xml:space="preserve">Wednesday — Roaster spotlight. </w:t>
      </w:r>
      <w:r>
        <w:t xml:space="preserve">Builds Pillar 3 and quietly recruits the supply side.</w:t>
      </w:r>
    </w:p>
    <w:p>
      <w:pPr>
        <w:pStyle w:val="ListParagraph"/>
        <w:numPr>
          <w:ilvl w:val="0"/>
          <w:numId w:val="3"/>
        </w:numPr>
        <w:spacing w:after="80" w:line="268"/>
      </w:pPr>
      <w:r>
        <w:rPr>
          <w:b/>
          <w:bCs/>
        </w:rPr>
        <w:t xml:space="preserve">Friday — Scene/taste lesson. </w:t>
      </w:r>
      <w:r>
        <w:t xml:space="preserve">Teaches something, ends on the lead magnet.</w:t>
      </w:r>
    </w:p>
    <w:p>
      <w:pPr>
        <w:spacing w:after="140" w:line="276"/>
      </w:pPr>
      <w:r>
        <w:rPr>
          <w:i/>
          <w:iCs/>
        </w:rPr>
        <w:t xml:space="preserve">Same three slots every week. </w:t>
      </w:r>
      <w:r>
        <w:t xml:space="preserve">The point of a system is that you stop deciding what to post and start filling a known shape — which is exactly what your CLAUDE.md flags as the missing piece.</w:t>
      </w:r>
    </w:p>
    <w:p>
      <w:pPr>
        <w:pStyle w:val="Heading2"/>
      </w:pPr>
      <w:r>
        <w:t xml:space="preserve">How the spike gets caught next time</w:t>
      </w:r>
    </w:p>
    <w:p>
      <w:pPr>
        <w:spacing w:after="140" w:line="276"/>
      </w:pPr>
      <w:r>
        <w:t xml:space="preserve">The June 2026 episode was a semi-viral Instagram post that decayed with nothing to catch it. With this system live, that same spike behaves differently: the viral post carries a capture CTA → a slice of the spike grabs the Taste-Match Guide → they enter the monthly roaster-drop email → you can now reach them when posting goes quiet. </w:t>
      </w:r>
      <w:r>
        <w:rPr>
          <w:b/>
          <w:bCs/>
        </w:rPr>
        <w:t xml:space="preserve">That is the entire difference between rented and owned attention.</w:t>
      </w:r>
    </w:p>
    <w:p>
      <w:pPr>
        <w:pStyle w:val="Heading2"/>
      </w:pPr>
      <w:r>
        <w:t xml:space="preserve">90-day priority order</w:t>
      </w:r>
    </w:p>
    <w:p>
      <w:pPr>
        <w:pStyle w:val="ListParagraph"/>
        <w:numPr>
          <w:ilvl w:val="0"/>
          <w:numId w:val="3"/>
        </w:numPr>
        <w:spacing w:after="80" w:line="268"/>
      </w:pPr>
      <w:r>
        <w:rPr>
          <w:b/>
          <w:bCs/>
        </w:rPr>
        <w:t xml:space="preserve">Weeks 1–2: </w:t>
      </w:r>
      <w:r>
        <w:t xml:space="preserve">Name the method (Taste-Match) and build the lead magnet + monthly roaster-drop email. Nothing else matters until there’s something to capture into.</w:t>
      </w:r>
    </w:p>
    <w:p>
      <w:pPr>
        <w:pStyle w:val="ListParagraph"/>
        <w:numPr>
          <w:ilvl w:val="0"/>
          <w:numId w:val="3"/>
        </w:numPr>
        <w:spacing w:after="80" w:line="268"/>
      </w:pPr>
      <w:r>
        <w:rPr>
          <w:b/>
          <w:bCs/>
        </w:rPr>
        <w:t xml:space="preserve">Weeks 2–4: </w:t>
      </w:r>
      <w:r>
        <w:t xml:space="preserve">Rewrite the homepage signup and Instagram bio around the lead magnet — the reason-to-join, not “newsletter.”</w:t>
      </w:r>
    </w:p>
    <w:p>
      <w:pPr>
        <w:pStyle w:val="ListParagraph"/>
        <w:numPr>
          <w:ilvl w:val="0"/>
          <w:numId w:val="3"/>
        </w:numPr>
        <w:spacing w:after="80" w:line="268"/>
      </w:pPr>
      <w:r>
        <w:rPr>
          <w:b/>
          <w:bCs/>
        </w:rPr>
        <w:t xml:space="preserve">Weeks 3–12: </w:t>
      </w:r>
      <w:r>
        <w:t xml:space="preserve">Run the three-slot weekly cadence. Publish the first “Most-loved this month” from buy_click data.</w:t>
      </w:r>
    </w:p>
    <w:p>
      <w:pPr>
        <w:pStyle w:val="ListParagraph"/>
        <w:numPr>
          <w:ilvl w:val="0"/>
          <w:numId w:val="3"/>
        </w:numPr>
        <w:spacing w:after="80" w:line="268"/>
      </w:pPr>
      <w:r>
        <w:rPr>
          <w:b/>
          <w:bCs/>
        </w:rPr>
        <w:t xml:space="preserve">Ongoing: </w:t>
      </w:r>
      <w:r>
        <w:t xml:space="preserve">Watch one metric — subscribers per 1,000 visits. If a viral spike doesn’t move it, the capture CTA isn’t working, and that’s the thing to fix before anything else.</w:t>
      </w:r>
    </w:p>
    <w:p>
      <w:pPr>
        <w:pBdr>
          <w:top w:val="single" w:color="C77A0E" w:sz="6" w:space="6"/>
        </w:pBdr>
        <w:spacing w:before="260"/>
      </w:pPr>
      <w:r>
        <w:rPr>
          <w:b/>
          <w:bCs/>
          <w:color w:val="296241"/>
        </w:rPr>
        <w:t xml:space="preserve">One sentence to remember: </w:t>
      </w:r>
      <w:r>
        <w:rPr>
          <w:i/>
          <w:iCs/>
        </w:rPr>
        <w:t xml:space="preserve">you don’t have a traffic problem, you have a keeping problem — so the authority frame’s only job is to make people decide they can’t afford to miss what you find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296241"/>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C77A0E"/>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962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2026-06-20T05:03:38.236Z</dcterms:created>
  <dcterms:modified xsi:type="dcterms:W3CDTF">2026-06-20T05:03:38.236Z</dcterms:modified>
</cp:coreProperties>
</file>

<file path=docProps/custom.xml><?xml version="1.0" encoding="utf-8"?>
<Properties xmlns="http://schemas.openxmlformats.org/officeDocument/2006/custom-properties" xmlns:vt="http://schemas.openxmlformats.org/officeDocument/2006/docPropsVTypes"/>
</file>