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D70" w:rsidRDefault="00EA7D96">
      <w:pPr>
        <w:spacing w:after="0" w:line="240" w:lineRule="auto"/>
        <w:jc w:val="center"/>
      </w:pPr>
      <w:bookmarkStart w:id="0" w:name="_GoBack"/>
      <w:bookmarkEnd w:id="0"/>
      <w:r>
        <w:rPr>
          <w:noProof/>
          <w:lang w:val="ru-RU" w:eastAsia="ru-RU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lusion_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1260000</wp:posOffset>
                </wp:positionH>
                <wp:positionV relativeFrom="page">
                  <wp:posOffset>2232000</wp:posOffset>
                </wp:positionV>
                <wp:extent cx="5040000" cy="648000"/>
                <wp:effectExtent l="0" t="0" r="0" b="0"/>
                <wp:wrapNone/>
                <wp:docPr id="101" name="Cove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E4D70" w:rsidRDefault="00EA7D96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Аудиторское заключение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over 101" o:spid="_x0000_s1026" type="#_x0000_t202" style="position:absolute;left:0;text-align:left;margin-left:99.2pt;margin-top:175.75pt;width:396.85pt;height:51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" filled="f" stroked="f">
                <v:textbox inset="0,0,0,0">
                  <w:txbxContent>
                    <w:p w:rsidR="008E4D70" w:rsidRDefault="00EA7D96"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Аудиторское заключение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page">
                  <wp:posOffset>1260000</wp:posOffset>
                </wp:positionH>
                <wp:positionV relativeFrom="page">
                  <wp:posOffset>3384000</wp:posOffset>
                </wp:positionV>
                <wp:extent cx="5040000" cy="1620000"/>
                <wp:effectExtent l="0" t="0" r="0" b="0"/>
                <wp:wrapNone/>
                <wp:docPr id="102" name="Cove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6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E4D70" w:rsidRDefault="00EA7D96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Проверка аренды коммерческой недвижимости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shape id="Cover 102" o:spid="_x0000_s1027" type="#_x0000_t202" style="position:absolute;left:0;text-align:left;margin-left:99.2pt;margin-top:266.45pt;width:396.85pt;height:127.55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" filled="f" stroked="f">
                <v:textbox inset="0,0,0,0">
                  <w:txbxContent>
                    <w:p w:rsidR="008E4D70" w:rsidRDefault="00EA7D96"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Проверка аренды коммерческой недвижимости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1080000</wp:posOffset>
                </wp:positionH>
                <wp:positionV relativeFrom="page">
                  <wp:posOffset>9576000</wp:posOffset>
                </wp:positionV>
                <wp:extent cx="2088000" cy="468000"/>
                <wp:effectExtent l="0" t="0" r="0" b="0"/>
                <wp:wrapNone/>
                <wp:docPr id="103" name="Cove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0" cy="46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E4D70" w:rsidRDefault="00EA7D96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>Минск 2026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shape id="Cover 103" o:spid="_x0000_s1028" type="#_x0000_t202" style="position:absolute;left:0;text-align:left;margin-left:85.05pt;margin-top:754pt;width:164.4pt;height:36.8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" filled="f" stroked="f">
                <v:textbox inset="0,0,0,0">
                  <w:txbxContent>
                    <w:p w:rsidR="008E4D70" w:rsidRDefault="00EA7D96">
                      <w:pPr>
                        <w:spacing w:after="0"/>
                      </w:pPr>
                      <w:r>
                        <w:rPr>
                          <w:b/>
                          <w:bCs/>
                          <w:szCs w:val="28"/>
                        </w:rPr>
                        <w:t>Минск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page">
                  <wp:posOffset>3240000</wp:posOffset>
                </wp:positionH>
                <wp:positionV relativeFrom="page">
                  <wp:posOffset>9576000</wp:posOffset>
                </wp:positionV>
                <wp:extent cx="3671999" cy="468000"/>
                <wp:effectExtent l="0" t="0" r="0" b="0"/>
                <wp:wrapNone/>
                <wp:docPr id="104" name="Cove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999" cy="46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E4D70" w:rsidRDefault="00EA7D96">
                            <w:pPr>
                              <w:spacing w:after="0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>Департамент внутреннего аудита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shape id="Cover 104" o:spid="_x0000_s1029" type="#_x0000_t202" style="position:absolute;left:0;text-align:left;margin-left:255.1pt;margin-top:754pt;width:289.15pt;height:36.85pt;z-index: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" filled="f" stroked="f">
                <v:textbox inset="0,0,0,0">
                  <w:txbxContent>
                    <w:p w:rsidR="008E4D70" w:rsidRDefault="00EA7D96">
                      <w:pPr>
                        <w:spacing w:after="0"/>
                        <w:jc w:val="right"/>
                      </w:pPr>
                      <w:r>
                        <w:rPr>
                          <w:b/>
                          <w:bCs/>
                          <w:szCs w:val="28"/>
                        </w:rPr>
                        <w:t>Департамент внутреннего аудита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br w:type="page"/>
      </w:r>
    </w:p>
    <w:p w:rsidR="008E4D70" w:rsidRDefault="00EA7D96">
      <w:pPr>
        <w:spacing w:after="280" w:line="360" w:lineRule="auto"/>
      </w:pPr>
      <w:r>
        <w:rPr>
          <w:b/>
          <w:color w:val="222222"/>
          <w:sz w:val="32"/>
        </w:rPr>
        <w:lastRenderedPageBreak/>
        <w:t>Содержание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</w:pPr>
      <w:r>
        <w:rPr>
          <w:b/>
          <w:color w:val="222222"/>
        </w:rPr>
        <w:t>I.</w:t>
      </w:r>
      <w:r>
        <w:rPr>
          <w:color w:val="222222"/>
        </w:rPr>
        <w:t xml:space="preserve">  Аудиторское мнение по итогам проверки.</w:t>
      </w:r>
      <w:r>
        <w:tab/>
      </w:r>
      <w:r>
        <w:rPr>
          <w:color w:val="222222"/>
        </w:rPr>
        <w:t>3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</w:pPr>
      <w:r>
        <w:rPr>
          <w:b/>
          <w:color w:val="222222"/>
        </w:rPr>
        <w:t>II.</w:t>
      </w:r>
      <w:r>
        <w:rPr>
          <w:color w:val="222222"/>
        </w:rPr>
        <w:t xml:space="preserve">  Основные результаты аудита и итоговые аудиторские рекомендации.</w:t>
      </w:r>
      <w:r>
        <w:tab/>
      </w:r>
      <w:r>
        <w:rPr>
          <w:color w:val="222222"/>
        </w:rPr>
        <w:t>—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</w:pPr>
      <w:r>
        <w:rPr>
          <w:b/>
          <w:color w:val="222222"/>
        </w:rPr>
        <w:t>III.</w:t>
      </w:r>
      <w:r>
        <w:rPr>
          <w:color w:val="222222"/>
        </w:rPr>
        <w:t xml:space="preserve">  </w:t>
      </w:r>
      <w:r>
        <w:rPr>
          <w:color w:val="222222"/>
        </w:rPr>
        <w:t>Наблюдения по итогам проверки.</w:t>
      </w:r>
      <w:r>
        <w:tab/>
      </w:r>
      <w:r>
        <w:rPr>
          <w:color w:val="222222"/>
        </w:rPr>
        <w:t>7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>3.1.  Оценка соответствия процедур регистрации и ликвидации контрагентов.</w:t>
      </w:r>
      <w:r>
        <w:tab/>
      </w:r>
      <w:r>
        <w:rPr>
          <w:color w:val="222222"/>
        </w:rPr>
        <w:t>7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>3.2.  Корректность отражения арендных обязательств в учете.</w:t>
      </w:r>
      <w:r>
        <w:tab/>
      </w:r>
      <w:r>
        <w:rPr>
          <w:color w:val="222222"/>
        </w:rPr>
        <w:t>9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>3.3.  Соблюдение требований к геральдическим символам и идентификации.</w:t>
      </w:r>
      <w:r>
        <w:tab/>
      </w:r>
      <w:r>
        <w:rPr>
          <w:color w:val="222222"/>
        </w:rPr>
        <w:t>11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>3.4.  Контр</w:t>
      </w:r>
      <w:r>
        <w:rPr>
          <w:color w:val="222222"/>
        </w:rPr>
        <w:t>оль за полнотой сбора документов по аренде.</w:t>
      </w:r>
      <w:r>
        <w:tab/>
      </w:r>
      <w:r>
        <w:rPr>
          <w:color w:val="222222"/>
        </w:rPr>
        <w:t>12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>3.5.  Оценка рисков, связанных с изменением условий аренды.</w:t>
      </w:r>
      <w:r>
        <w:tab/>
      </w:r>
      <w:r>
        <w:rPr>
          <w:color w:val="222222"/>
        </w:rPr>
        <w:t>14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>3.6.  Анализ соответствия договоров нормам гражданского законодательства.</w:t>
      </w:r>
      <w:r>
        <w:tab/>
      </w:r>
      <w:r>
        <w:rPr>
          <w:color w:val="222222"/>
        </w:rPr>
        <w:t>15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>3.7.  Контроль за соблюдением сроков оплаты арендной платы.</w:t>
      </w:r>
      <w:r>
        <w:tab/>
      </w:r>
      <w:r>
        <w:rPr>
          <w:color w:val="222222"/>
        </w:rPr>
        <w:t>16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 xml:space="preserve">3.8.  </w:t>
      </w:r>
      <w:r>
        <w:rPr>
          <w:color w:val="222222"/>
        </w:rPr>
        <w:t>Оценка рисков, связанных с субарендой.</w:t>
      </w:r>
      <w:r>
        <w:tab/>
      </w:r>
      <w:r>
        <w:rPr>
          <w:color w:val="222222"/>
        </w:rPr>
        <w:t>17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>3.9.  Анализ соответствия условий аренды рыночным ставкам.</w:t>
      </w:r>
      <w:r>
        <w:tab/>
      </w:r>
      <w:r>
        <w:rPr>
          <w:color w:val="222222"/>
        </w:rPr>
        <w:t>18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  <w:ind w:left="567"/>
      </w:pPr>
      <w:r>
        <w:rPr>
          <w:color w:val="222222"/>
        </w:rPr>
        <w:t>3.10.  Оценка эффективности управления портфелем арендованной недвижимости.</w:t>
      </w:r>
      <w:r>
        <w:tab/>
      </w:r>
      <w:r>
        <w:rPr>
          <w:color w:val="222222"/>
        </w:rPr>
        <w:t>20</w:t>
      </w:r>
    </w:p>
    <w:p w:rsidR="008E4D70" w:rsidRDefault="00EA7D96">
      <w:pPr>
        <w:tabs>
          <w:tab w:val="right" w:leader="dot" w:pos="9071"/>
        </w:tabs>
        <w:spacing w:before="40" w:after="40" w:line="240" w:lineRule="auto"/>
      </w:pPr>
      <w:r>
        <w:rPr>
          <w:b/>
          <w:color w:val="222222"/>
        </w:rPr>
        <w:t>IV.</w:t>
      </w:r>
      <w:r>
        <w:rPr>
          <w:color w:val="222222"/>
        </w:rPr>
        <w:t xml:space="preserve">  Общая информация об аудиторской проверке.</w:t>
      </w:r>
      <w:r>
        <w:tab/>
      </w:r>
      <w:r>
        <w:rPr>
          <w:color w:val="222222"/>
        </w:rPr>
        <w:t>21</w:t>
      </w:r>
    </w:p>
    <w:p w:rsidR="008E4D70" w:rsidRDefault="008E4D70">
      <w:pPr>
        <w:spacing w:after="0" w:line="360" w:lineRule="auto"/>
      </w:pPr>
    </w:p>
    <w:p w:rsidR="008E4D70" w:rsidRDefault="00EA7D96">
      <w:r>
        <w:br w:type="page"/>
      </w:r>
    </w:p>
    <w:p w:rsidR="008E4D70" w:rsidRDefault="00EA7D96">
      <w:pPr>
        <w:spacing w:before="240" w:line="360" w:lineRule="auto"/>
      </w:pPr>
      <w:bookmarkStart w:id="1" w:name="sec_I"/>
      <w:r>
        <w:rPr>
          <w:b/>
          <w:color w:val="222222"/>
          <w:sz w:val="32"/>
        </w:rPr>
        <w:lastRenderedPageBreak/>
        <w:t>I.</w:t>
      </w:r>
      <w:r>
        <w:rPr>
          <w:b/>
          <w:color w:val="222222"/>
          <w:sz w:val="32"/>
        </w:rPr>
        <w:tab/>
        <w:t>Аудиторское мнени</w:t>
      </w:r>
      <w:r>
        <w:rPr>
          <w:b/>
          <w:color w:val="222222"/>
          <w:sz w:val="32"/>
        </w:rPr>
        <w:t>е по итогам проверки.</w:t>
      </w:r>
      <w:bookmarkEnd w:id="1"/>
    </w:p>
    <w:p w:rsidR="008E4D70" w:rsidRDefault="00EA7D96">
      <w:pPr>
        <w:pStyle w:val="1"/>
        <w:spacing w:before="240" w:after="120"/>
      </w:pPr>
      <w:r>
        <w:rPr>
          <w:rFonts w:ascii="Times New Roman" w:eastAsia="Times New Roman" w:hAnsi="Times New Roman" w:cs="Times New Roman"/>
          <w:color w:val="222222"/>
          <w:sz w:val="32"/>
        </w:rPr>
        <w:t>Проверка аренды коммерческой недвижимости</w:t>
      </w:r>
    </w:p>
    <w:p w:rsidR="008E4D70" w:rsidRDefault="00EA7D96">
      <w:pPr>
        <w:pStyle w:val="1"/>
        <w:spacing w:before="240" w:after="120"/>
      </w:pPr>
      <w:r>
        <w:rPr>
          <w:rFonts w:ascii="Times New Roman" w:eastAsia="Times New Roman" w:hAnsi="Times New Roman" w:cs="Times New Roman"/>
          <w:color w:val="222222"/>
          <w:sz w:val="32"/>
        </w:rPr>
        <w:t>Цели и задачи аудита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Цели аудита: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Оценка соответствия процесса управления арендой коммерческой недвижимости действующим нормативным правовым актам Республики Беларусь и внутренним локальным но</w:t>
      </w:r>
      <w:r>
        <w:rPr>
          <w:color w:val="222222"/>
        </w:rPr>
        <w:t>рмативным актам.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Анализ полноты и корректности отражения операций по аренде в бухгалтерском и налоговом учете.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Выявление рисков, связанных с несоблюдением процедур согласования, регистрации и контроля за использованием арендованных площадей.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Разработка рек</w:t>
      </w:r>
      <w:r>
        <w:rPr>
          <w:color w:val="222222"/>
        </w:rPr>
        <w:t>омендаций по совершенствованию системы внутреннего контроля в сфере аренды недвижимости.</w:t>
      </w:r>
    </w:p>
    <w:p w:rsidR="008E4D70" w:rsidRDefault="00EA7D96">
      <w:pPr>
        <w:pStyle w:val="1"/>
        <w:spacing w:before="240" w:after="120"/>
      </w:pPr>
      <w:r>
        <w:rPr>
          <w:rFonts w:ascii="Times New Roman" w:eastAsia="Times New Roman" w:hAnsi="Times New Roman" w:cs="Times New Roman"/>
          <w:color w:val="222222"/>
          <w:sz w:val="32"/>
        </w:rPr>
        <w:t>Инструменты проверки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В ходе проверки применялись методы документального анализа, сверки и сопоставления. Основой для оценки послужили локальные нормативные акты органи</w:t>
      </w:r>
      <w:r>
        <w:rPr>
          <w:color w:val="222222"/>
        </w:rPr>
        <w:t>зации, регулирующие порядок заключения договоров аренды, а также нормативные правовые акты Республики Беларусь, устанавливающие требования к бухгалтерскому учету и налогообложению операций с недвижимостью.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Аудитором были проанализированы договоры аренды, </w:t>
      </w:r>
      <w:r>
        <w:rPr>
          <w:color w:val="222222"/>
        </w:rPr>
        <w:t>платежные документы, акты сверки расчетов, а также данные бухгалтерского учета за проверяемый период. Проводилась сверка фактического использования помещений с условиями договоров, анализировались процедуры согласования и подписания документов. Использовал</w:t>
      </w:r>
      <w:r>
        <w:rPr>
          <w:color w:val="222222"/>
        </w:rPr>
        <w:t>ся чеклист гипотез для систематизации выявленных отклонений и подтверждения рисков.</w:t>
      </w:r>
    </w:p>
    <w:p w:rsidR="008E4D70" w:rsidRDefault="00EA7D96">
      <w:pPr>
        <w:pStyle w:val="1"/>
        <w:spacing w:before="240" w:after="120"/>
      </w:pPr>
      <w:r>
        <w:rPr>
          <w:rFonts w:ascii="Times New Roman" w:eastAsia="Times New Roman" w:hAnsi="Times New Roman" w:cs="Times New Roman"/>
          <w:color w:val="222222"/>
          <w:sz w:val="32"/>
        </w:rPr>
        <w:lastRenderedPageBreak/>
        <w:t>Аудиторское мнение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По совокупности рассмотренных вопросов и подтвержденных гипотез выявлены существенные недостатки в организации процесса управления арендой коммерческой н</w:t>
      </w:r>
      <w:r>
        <w:rPr>
          <w:color w:val="222222"/>
        </w:rPr>
        <w:t>едвижимости. Анализ показал, что ключевые риски связаны с недостаточным контролем за соблюдением сроков платежей, несовершенством процедур согласования договоров и отклонениями в отражении операций в бухгалтерском учете.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Исследование подтвердило гипотезу о</w:t>
      </w:r>
      <w:r>
        <w:rPr>
          <w:color w:val="222222"/>
        </w:rPr>
        <w:t xml:space="preserve"> наличии рисков в части своевременности исполнения обязательств по арендной платеже. Выявлены случаи задержек платежей, что создает угрозу возникновения пени и штрафов, а также ухудшения деловой репутации организации. Отсутствие автоматизированного контрол</w:t>
      </w:r>
      <w:r>
        <w:rPr>
          <w:color w:val="222222"/>
        </w:rPr>
        <w:t>я за сроками платежей требует внедрения дополнительных механизмов мониторинга.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Подтверждена гипотеза о недостатках в процедуре согласования и регистрации договоров аренды. Часть договоров была подписана без полного пакета согласующих подписей или с нарушен</w:t>
      </w:r>
      <w:r>
        <w:rPr>
          <w:color w:val="222222"/>
        </w:rPr>
        <w:t>ием установленного порядка. Это создает юридические риски, связанные с возможной оспариваемостью условий договора и сложностями в защите интересов организации в случае споров.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Выявлены отклонения в бухгалтерском учете операций по аренде. В отдельных случая</w:t>
      </w:r>
      <w:r>
        <w:rPr>
          <w:color w:val="222222"/>
        </w:rPr>
        <w:t>х начисление арендной платы не соответствовало условиям договоров, что привело к искажению данных отчетности. Также зафиксированы случаи отсутствия своевременного отражения изменений в договорах (дополнительных соглашений) в учете, что нарушает принцип сво</w:t>
      </w:r>
      <w:r>
        <w:rPr>
          <w:color w:val="222222"/>
        </w:rPr>
        <w:t>евременности и полноты учета.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Позитивных наблюдений, подтверждающих высокую эффективность текущего процесса, не выявлено. Существующая система контроля не обеспечивает достаточного уровня защиты от выявленных рисков. Для руководства организации это означае</w:t>
      </w:r>
      <w:r>
        <w:rPr>
          <w:color w:val="222222"/>
        </w:rPr>
        <w:t xml:space="preserve">т необходимость срочного пересмотра </w:t>
      </w:r>
      <w:r>
        <w:rPr>
          <w:color w:val="222222"/>
        </w:rPr>
        <w:lastRenderedPageBreak/>
        <w:t>внутренних регламентов и усиления контроля за исполнением обязательств по аренде.</w:t>
      </w:r>
    </w:p>
    <w:p w:rsidR="008E4D70" w:rsidRDefault="00EA7D96">
      <w:pPr>
        <w:pStyle w:val="1"/>
        <w:spacing w:before="240" w:after="120"/>
      </w:pPr>
      <w:r>
        <w:rPr>
          <w:rFonts w:ascii="Times New Roman" w:eastAsia="Times New Roman" w:hAnsi="Times New Roman" w:cs="Times New Roman"/>
          <w:color w:val="222222"/>
          <w:sz w:val="32"/>
        </w:rPr>
        <w:t>Рекомендации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Внедрить автоматизированный контроль за сроками платежей по договорам аренды с формированием уведомлений о приближении сроков</w:t>
      </w:r>
      <w:r>
        <w:rPr>
          <w:color w:val="222222"/>
        </w:rPr>
        <w:t>.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Ужесточить процедуру согласования договоров аренды, обеспечивая обязательное наличие всех необходимых подписей до момента подписания.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Провести сверку данных бухгалтерского учета с условиями всех действующих договоров аренды и устранить выявленные расхожд</w:t>
      </w:r>
      <w:r>
        <w:rPr>
          <w:color w:val="222222"/>
        </w:rPr>
        <w:t>ения.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Разработать и утвердить обновленный регламент управления арендой коммерческой недвижимости, учитывающий выявленные недостатки.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Организовать регулярный внутренний аудит операций по аренде для своевременного выявления и устранения отклонений.</w:t>
      </w:r>
    </w:p>
    <w:p w:rsidR="008E4D70" w:rsidRDefault="00EA7D96">
      <w:pPr>
        <w:pStyle w:val="a0"/>
        <w:spacing w:after="80" w:line="360" w:lineRule="auto"/>
        <w:ind w:left="567" w:firstLine="0"/>
        <w:jc w:val="both"/>
      </w:pPr>
      <w:r>
        <w:rPr>
          <w:color w:val="222222"/>
        </w:rPr>
        <w:t>Обеспечит</w:t>
      </w:r>
      <w:r>
        <w:rPr>
          <w:color w:val="222222"/>
        </w:rPr>
        <w:t>ь обучение ответственных сотрудников требованиям бухгалтерского и налогового учета операций с недвижимостью.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Детализация рекомендаций и описание конкретных мер по их реализации будут приведены в последующих разделах заключения и рабочих документах аудита. </w:t>
      </w:r>
      <w:r>
        <w:rPr>
          <w:color w:val="222222"/>
        </w:rPr>
        <w:t>Данный раздел представляет собой черновик раздела I, содержащий основные выводы и направления для улучшения процесса.</w:t>
      </w:r>
    </w:p>
    <w:p w:rsidR="008E4D70" w:rsidRDefault="00EA7D96">
      <w:r>
        <w:br w:type="page"/>
      </w:r>
    </w:p>
    <w:p w:rsidR="008E4D70" w:rsidRDefault="00EA7D96">
      <w:pPr>
        <w:spacing w:before="240" w:line="360" w:lineRule="auto"/>
      </w:pPr>
      <w:bookmarkStart w:id="2" w:name="sec_III"/>
      <w:r>
        <w:rPr>
          <w:b/>
          <w:color w:val="222222"/>
          <w:sz w:val="32"/>
        </w:rPr>
        <w:lastRenderedPageBreak/>
        <w:t>III.</w:t>
      </w:r>
      <w:r>
        <w:rPr>
          <w:b/>
          <w:color w:val="222222"/>
          <w:sz w:val="32"/>
        </w:rPr>
        <w:tab/>
        <w:t>Наблюдения по итогам проверки.</w:t>
      </w:r>
      <w:bookmarkEnd w:id="2"/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В рамках тематической аудиторской проверки «Проверка аренды коммерческой недвижимости» были </w:t>
      </w:r>
      <w:r>
        <w:rPr>
          <w:color w:val="222222"/>
        </w:rPr>
        <w:t>проанализированы ключевые аспекты организации договорных отношений, бухгалтерского и налогового учета, а также контроля за соблюдением нормативных требований. Аудит охватил контур вопросов, связанных с правильностью начисления арендной платы, отражением об</w:t>
      </w:r>
      <w:r>
        <w:rPr>
          <w:color w:val="222222"/>
        </w:rPr>
        <w:t>язательств в финансовой отчетности, легитимностью выбора контрагентов и соблюдением процедур государственной регистрации и ликвидации субъектов хозяйствования.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Основой для формирования выводов послужили документы кейса, включая договоры аренды, первичные у</w:t>
      </w:r>
      <w:r>
        <w:rPr>
          <w:color w:val="222222"/>
        </w:rPr>
        <w:t>четные документы, выписки из реестра, а также нормативные правовые акты Республики Беларусь. В частности, учитывались требования Указа Президента Республики Беларусь от 25 августа 2026 г. № 292 [22], Постановления Правления Национального банка Республики Б</w:t>
      </w:r>
      <w:r>
        <w:rPr>
          <w:color w:val="222222"/>
        </w:rPr>
        <w:t>еларусь от 12 декабря 2013 г. № 728 [23] и Постановления Совета Министров Республики Беларусь от 31 августа 2011 г. № 1164 [24]. Анализ проводился с целью выявления рисков, связанных с несоблюдением процедур, ошибок в учете и потенциальными налоговыми посл</w:t>
      </w:r>
      <w:r>
        <w:rPr>
          <w:color w:val="222222"/>
        </w:rPr>
        <w:t>едствиями.</w:t>
      </w: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3" w:name="obs_3_1"/>
            <w:r>
              <w:rPr>
                <w:color w:val="222222"/>
              </w:rPr>
              <w:t xml:space="preserve">Наблюдение 3.1. </w:t>
            </w:r>
            <w:bookmarkEnd w:id="3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>Оценка соответствия процедур регистрации и ликвидации контрагентов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В ходе проверки установлено, что при заключении договоров аренды коммерческой недвижимости недостаточно тщательным образом проверяется статус контрагентов в </w:t>
      </w:r>
      <w:r>
        <w:rPr>
          <w:color w:val="222222"/>
        </w:rPr>
        <w:t>реестре субъектов хозяйствования. Согласно Постановлению Совета Министров Республики Беларусь от 31 августа 2011 г. № 1164 «О государственной регистрации и ликвидации (прекращении деятельности) субъектов хозяйствования» [24], субъекты хозяйствования должны</w:t>
      </w:r>
      <w:r>
        <w:rPr>
          <w:color w:val="222222"/>
        </w:rPr>
        <w:t xml:space="preserve"> быть зарегистрированы в установленном порядке, а их ликвидация требует соблюдения определенных процедур.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lastRenderedPageBreak/>
        <w:t>Аудитором выявлены случаи, когда арендодатели находились в процессе ликвидации или имели признаки банкротства на момент подписания договоров, что созд</w:t>
      </w:r>
      <w:r>
        <w:rPr>
          <w:color w:val="222222"/>
        </w:rPr>
        <w:t>ает риск невозможности исполнения обязательств. Отсутствие актуальной информации о статусе контрагента в момент заключения сделки может привести к финансовым потерям и юридическим сложностям при взыскании задолженности.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Элемент контроля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Требование / критер</w:t>
            </w:r>
            <w:r>
              <w:rPr>
                <w:b/>
                <w:color w:val="222222"/>
                <w:sz w:val="24"/>
              </w:rPr>
              <w:t>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Риск при отсутствии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Проверка статуса в реестре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Наличие записи о действующем субъекте [24]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Риск заключения договора с несуществующим лицом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Мониторинг изменений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Отслеживание процедур ликвидации [24]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Потеря возможности взыскания средств</w:t>
            </w:r>
          </w:p>
        </w:tc>
      </w:tr>
    </w:tbl>
    <w:p w:rsidR="008E4D70" w:rsidRDefault="008E4D70">
      <w:pPr>
        <w:spacing w:after="120" w:line="360" w:lineRule="auto"/>
      </w:pPr>
    </w:p>
    <w:p w:rsidR="008E4D70" w:rsidRDefault="00EA7D96">
      <w:pPr>
        <w:spacing w:after="80" w:line="360" w:lineRule="auto"/>
        <w:jc w:val="both"/>
      </w:pPr>
      <w:r>
        <w:rPr>
          <w:i/>
          <w:color w:val="222222"/>
        </w:rPr>
        <w:t>Схема: Запрос в</w:t>
      </w:r>
      <w:r>
        <w:rPr>
          <w:i/>
          <w:color w:val="222222"/>
        </w:rPr>
        <w:t xml:space="preserve"> реестр → Проверка статуса (действующий/ликвидируемый) → Подписание договора → Ежеквартальный мониторинг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высокий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Необходимо </w:t>
      </w:r>
      <w:r>
        <w:rPr>
          <w:color w:val="222222"/>
        </w:rPr>
        <w:t>внедрить процедуру обязательной проверки статуса контрагентов в реестре субъектов хозяйствования перед подписанием каждого договора аренды. Рекомендуется автоматизировать мониторинг изменений в статусе контрагентов на протяжении всего срока действия догово</w:t>
      </w:r>
      <w:r>
        <w:rPr>
          <w:color w:val="222222"/>
        </w:rPr>
        <w:t>ра, чтобы своевременно реагировать на признаки ликвидации или банкротства.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 xml:space="preserve">Срок – </w:t>
      </w:r>
    </w:p>
    <w:p w:rsidR="008E4D70" w:rsidRDefault="008E4D70">
      <w:pPr>
        <w:spacing w:after="0" w:line="360" w:lineRule="auto"/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4" w:name="obs_3_2"/>
            <w:r>
              <w:rPr>
                <w:color w:val="222222"/>
              </w:rPr>
              <w:t xml:space="preserve">Наблюдение 3.2. </w:t>
            </w:r>
            <w:bookmarkEnd w:id="4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>Корректность отражения арендных обязательств в учете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Анализ бухгалтерского учета показал, что обязательства по арендной плате иногда отражаются с </w:t>
      </w:r>
      <w:r>
        <w:rPr>
          <w:color w:val="222222"/>
        </w:rPr>
        <w:t xml:space="preserve">задержкой или в неполном объеме. В соответствии с Постановлением Правления Национального банка Республики Беларусь от 12 декабря 2013 г. № 728 «Об утверждении </w:t>
      </w:r>
      <w:r>
        <w:rPr>
          <w:color w:val="222222"/>
        </w:rPr>
        <w:lastRenderedPageBreak/>
        <w:t>Инструкции об организации ведения бухгалтерского учета и составления финансовой отчетности» [23],</w:t>
      </w:r>
      <w:r>
        <w:rPr>
          <w:color w:val="222222"/>
        </w:rPr>
        <w:t xml:space="preserve"> операции должны отражаться в учете в момент их совершения, а обязательства должны признаваться, если существует вероятность оттока экономических выгод.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Выявлено, что в некоторых периодах суммы арендной платы не включались в сформированные обязательства до</w:t>
      </w:r>
      <w:r>
        <w:rPr>
          <w:color w:val="222222"/>
        </w:rPr>
        <w:t xml:space="preserve"> момента фактической оплаты, что искажает картину финансового положения организации. Это нарушает принцип начисления и может привести к неверной оценке текущих и долгосрочных обязательств в финансовой отчетности.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Элемент контроля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Требование / критерий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Риск</w:t>
            </w:r>
            <w:r>
              <w:rPr>
                <w:b/>
                <w:color w:val="222222"/>
                <w:sz w:val="24"/>
              </w:rPr>
              <w:t xml:space="preserve"> при отсутствии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Признание обязательств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Отражение в момент возникновения права требования [23]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Искажение баланса и отчета о прибылях и убытках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Сверка с договорами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Соответствие сумм в учете условиям договора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Налоговые риски и штрафы</w:t>
            </w:r>
          </w:p>
        </w:tc>
      </w:tr>
    </w:tbl>
    <w:p w:rsidR="008E4D70" w:rsidRDefault="008E4D70">
      <w:pPr>
        <w:spacing w:after="120" w:line="360" w:lineRule="auto"/>
      </w:pPr>
    </w:p>
    <w:p w:rsidR="008E4D70" w:rsidRDefault="00EA7D96">
      <w:pPr>
        <w:spacing w:after="80" w:line="360" w:lineRule="auto"/>
        <w:jc w:val="both"/>
      </w:pPr>
      <w:r>
        <w:rPr>
          <w:i/>
          <w:color w:val="222222"/>
        </w:rPr>
        <w:t>Схема: Договор аренды</w:t>
      </w:r>
      <w:r>
        <w:rPr>
          <w:i/>
          <w:color w:val="222222"/>
        </w:rPr>
        <w:t xml:space="preserve"> → Начисление арендной платы → Дебет 20/26/44, Кредит 60 → Оплата → Дебет 60, Кредит 51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высокий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Рекомендуется провести сверку </w:t>
      </w:r>
      <w:r>
        <w:rPr>
          <w:color w:val="222222"/>
        </w:rPr>
        <w:t>всех действующих договоров аренды с данными бухгалтерского учета на предмет полноты отражения обязательств. Необходимо обеспечить автоматическое начисление арендной платы в соответствии с графиком платежей, указанным в договорах, независимо от момента опла</w:t>
      </w:r>
      <w:r>
        <w:rPr>
          <w:color w:val="222222"/>
        </w:rPr>
        <w:t>ты.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 xml:space="preserve">Срок – </w:t>
      </w:r>
    </w:p>
    <w:p w:rsidR="008E4D70" w:rsidRDefault="008E4D70">
      <w:pPr>
        <w:spacing w:after="0" w:line="360" w:lineRule="auto"/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5" w:name="obs_3_3"/>
            <w:r>
              <w:rPr>
                <w:color w:val="222222"/>
              </w:rPr>
              <w:t xml:space="preserve">Наблюдение 3.3. </w:t>
            </w:r>
            <w:bookmarkEnd w:id="5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>Соблюдение требований к геральдическим символам и идентификации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При проверке документов, связанных с арендой коммерческой недвижимости, обращено внимание на соответствие требованиям к </w:t>
      </w:r>
      <w:r>
        <w:rPr>
          <w:color w:val="222222"/>
        </w:rPr>
        <w:lastRenderedPageBreak/>
        <w:t xml:space="preserve">идентификации государственных органов и </w:t>
      </w:r>
      <w:r>
        <w:rPr>
          <w:color w:val="222222"/>
        </w:rPr>
        <w:t>учреждений. Согласно Указу Президента Республики Беларусь от 25 августа 2026 г. № 292 «Аб заснаваннi афiцыйных геральдычных сiмвалаў Мiнiстэрства жыллёва-камунальнай гаспадаркi» [22], установлены требования к официальным геральдическим символам.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Хотя данны</w:t>
      </w:r>
      <w:r>
        <w:rPr>
          <w:color w:val="222222"/>
        </w:rPr>
        <w:t>й указ напрямую не регулирует аренду, он подчеркивает важность соблюдения нормативных требований к идентификации и представлению организаций. В контексте аудита это указывает на необходимость строгого соблюдения формальных требований при подготовке и подпи</w:t>
      </w:r>
      <w:r>
        <w:rPr>
          <w:color w:val="222222"/>
        </w:rPr>
        <w:t>сании документов, включая правильность указания реквизитов и наименований сторон.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Элемент контроля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Требование / критерий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Риск при отсутствии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Реквизиты документов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Точное соответствие наименованиям и символам [22]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Юридическая недействительность документов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Идентификация сторон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Корректное указание данных контрагентов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Сложности при доказывании в суде</w:t>
            </w:r>
          </w:p>
        </w:tc>
      </w:tr>
    </w:tbl>
    <w:p w:rsidR="008E4D70" w:rsidRDefault="008E4D70">
      <w:pPr>
        <w:spacing w:after="120" w:line="360" w:lineRule="auto"/>
      </w:pPr>
    </w:p>
    <w:p w:rsidR="008E4D70" w:rsidRDefault="00EA7D96">
      <w:pPr>
        <w:spacing w:after="80" w:line="360" w:lineRule="auto"/>
        <w:jc w:val="both"/>
      </w:pPr>
      <w:r>
        <w:rPr>
          <w:i/>
          <w:color w:val="222222"/>
        </w:rPr>
        <w:t>Схема: Подготовка договора → Проверка реквизитов → Подписание → Архивирование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средний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Необходимо провести ревизию шаблонов договоров и внутренних документов на предмет соответствия актуальным требованиям к наименованиям и реквизитам. Рекомендуется обновить базу данных </w:t>
      </w:r>
      <w:r>
        <w:rPr>
          <w:color w:val="222222"/>
        </w:rPr>
        <w:t>контрагентов, чтобы обеспечить точность информации при формировании документов.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 xml:space="preserve">Срок – </w:t>
      </w:r>
    </w:p>
    <w:p w:rsidR="008E4D70" w:rsidRDefault="008E4D70">
      <w:pPr>
        <w:spacing w:after="0" w:line="360" w:lineRule="auto"/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6" w:name="obs_3_4"/>
            <w:r>
              <w:rPr>
                <w:color w:val="222222"/>
              </w:rPr>
              <w:lastRenderedPageBreak/>
              <w:t xml:space="preserve">Наблюдение 3.4. </w:t>
            </w:r>
            <w:bookmarkEnd w:id="6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>Контроль за полнотой сбора документов по аренде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В ходе проверки выявлены случаи отсутствия в деле аренды полного комплекта документов, подтверждающих</w:t>
      </w:r>
      <w:r>
        <w:rPr>
          <w:color w:val="222222"/>
        </w:rPr>
        <w:t xml:space="preserve"> правомерность заключения договора. К таким документам относятся выписки из реестра, доверенности на подписание, акты приема-передачи помещения.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Отсутствие ключевых документов затрудняет контроль за исполнением обязательств и может стать основанием для при</w:t>
      </w:r>
      <w:r>
        <w:rPr>
          <w:color w:val="222222"/>
        </w:rPr>
        <w:t>знания договора недействительным в спорных ситуациях. В соответствии с общими принципами бухгалтерского учета [23], первичные документы должны содержать все необходимые реквизиты для отражения операции в учете.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Элемент контроля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Требование / критерий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Риск п</w:t>
            </w:r>
            <w:r>
              <w:rPr>
                <w:b/>
                <w:color w:val="222222"/>
                <w:sz w:val="24"/>
              </w:rPr>
              <w:t>ри отсутствии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Комплектность документов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Наличие всех обязательных приложений [23]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Невозможность подтверждения операции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Подписи и печати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Наличие подписей уполномоченных лиц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Юридическая недействительность</w:t>
            </w:r>
          </w:p>
        </w:tc>
      </w:tr>
    </w:tbl>
    <w:p w:rsidR="008E4D70" w:rsidRDefault="008E4D70">
      <w:pPr>
        <w:spacing w:after="120" w:line="360" w:lineRule="auto"/>
      </w:pPr>
    </w:p>
    <w:p w:rsidR="008E4D70" w:rsidRDefault="00EA7D96">
      <w:pPr>
        <w:spacing w:after="80" w:line="360" w:lineRule="auto"/>
        <w:jc w:val="both"/>
      </w:pPr>
      <w:r>
        <w:rPr>
          <w:i/>
          <w:color w:val="222222"/>
        </w:rPr>
        <w:t xml:space="preserve">Схема: Заключение договора → Сбор приложений → </w:t>
      </w:r>
      <w:r>
        <w:rPr>
          <w:i/>
          <w:color w:val="222222"/>
        </w:rPr>
        <w:t>Проверка комплектности → Передача в бухгалтерию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средний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Необходимо разработать чек-лист обязательных документов для каждого </w:t>
      </w:r>
      <w:r>
        <w:rPr>
          <w:color w:val="222222"/>
        </w:rPr>
        <w:t>договора аренды коммерческой недвижимости. Рекомендуется ввести процедуру контроля комплектности документов перед их передачей в бухгалтерию для отражения в учете.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 xml:space="preserve">Срок – </w:t>
      </w:r>
    </w:p>
    <w:p w:rsidR="008E4D70" w:rsidRDefault="008E4D70">
      <w:pPr>
        <w:spacing w:after="0" w:line="360" w:lineRule="auto"/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7" w:name="obs_3_5"/>
            <w:r>
              <w:rPr>
                <w:color w:val="222222"/>
              </w:rPr>
              <w:t xml:space="preserve">Наблюдение 3.5. </w:t>
            </w:r>
            <w:bookmarkEnd w:id="7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>Оценка рисков, связанных с изменением условий аренды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lastRenderedPageBreak/>
        <w:t xml:space="preserve">Аудитором </w:t>
      </w:r>
      <w:r>
        <w:rPr>
          <w:color w:val="222222"/>
        </w:rPr>
        <w:t>проанализированы случаи изменения условий аренды в течение срока действия договора. Выявлено, что не все изменения оформляются дополнительными соглашениями, что приводит к расхождениям между условиями договора и фактическим исполнением.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В соответствии с тр</w:t>
      </w:r>
      <w:r>
        <w:rPr>
          <w:color w:val="222222"/>
        </w:rPr>
        <w:t xml:space="preserve">ебованиями к ведению бухгалтерского учета [23], любые изменения условий, влияющие на сумму обязательств, должны отражаться в учете. Отсутствие надлежащего оформления изменений создает риски при проверках налоговыми органами и может привести к доначислению </w:t>
      </w:r>
      <w:r>
        <w:rPr>
          <w:color w:val="222222"/>
        </w:rPr>
        <w:t>налогов.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Элемент контроля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Требование / критерий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Риск при отсутствии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Оформление изменений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Подписание дополнительных соглашений [23]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Расхождение в учете и договоре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Отражение в учете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Корректировка обязательств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Налоговые риски</w:t>
            </w:r>
          </w:p>
        </w:tc>
      </w:tr>
    </w:tbl>
    <w:p w:rsidR="008E4D70" w:rsidRDefault="008E4D70">
      <w:pPr>
        <w:spacing w:after="120" w:line="360" w:lineRule="auto"/>
      </w:pPr>
    </w:p>
    <w:p w:rsidR="008E4D70" w:rsidRDefault="00EA7D96">
      <w:pPr>
        <w:spacing w:after="80" w:line="360" w:lineRule="auto"/>
        <w:jc w:val="both"/>
      </w:pPr>
      <w:r>
        <w:rPr>
          <w:i/>
          <w:color w:val="222222"/>
        </w:rPr>
        <w:t xml:space="preserve">Схема: Изменение условий → </w:t>
      </w:r>
      <w:r>
        <w:rPr>
          <w:i/>
          <w:color w:val="222222"/>
        </w:rPr>
        <w:t>Дополнительное соглашение → Корректировка в учете → Сверка с договором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средний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Необходимо обеспечить своевременное оформление </w:t>
      </w:r>
      <w:r>
        <w:rPr>
          <w:color w:val="222222"/>
        </w:rPr>
        <w:t>всех изменений условий аренды в виде дополнительных соглашений. Рекомендуется установить процедуру автоматической корректировки бухгалтерского учета при регистрации изменений в договорах.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 xml:space="preserve">Срок – </w:t>
      </w:r>
    </w:p>
    <w:p w:rsidR="008E4D70" w:rsidRDefault="008E4D70">
      <w:pPr>
        <w:spacing w:after="0" w:line="360" w:lineRule="auto"/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8" w:name="obs_3_6"/>
            <w:r>
              <w:rPr>
                <w:color w:val="222222"/>
              </w:rPr>
              <w:t xml:space="preserve">Наблюдение 3.6. </w:t>
            </w:r>
            <w:bookmarkEnd w:id="8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 xml:space="preserve">Анализ соответствия договоров нормам </w:t>
            </w:r>
            <w:r>
              <w:rPr>
                <w:i/>
                <w:color w:val="222222"/>
                <w:u w:val="single"/>
              </w:rPr>
              <w:t>гражданского законодательства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При проверке договоров аренды выявлены случаи несоответствия отдельных положений нормам гражданского законодательства Республики </w:t>
      </w:r>
      <w:r>
        <w:rPr>
          <w:color w:val="222222"/>
        </w:rPr>
        <w:lastRenderedPageBreak/>
        <w:t xml:space="preserve">Беларусь. В частности, некоторые договоры не содержат обязательных условий, таких как порядок </w:t>
      </w:r>
      <w:r>
        <w:rPr>
          <w:color w:val="222222"/>
        </w:rPr>
        <w:t>разрешения споров, ответственность сторон, условия расторжения.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высокий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 xml:space="preserve">Срок – </w:t>
      </w:r>
    </w:p>
    <w:p w:rsidR="008E4D70" w:rsidRDefault="008E4D70">
      <w:pPr>
        <w:spacing w:after="0" w:line="360" w:lineRule="auto"/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9" w:name="obs_3_7"/>
            <w:r>
              <w:rPr>
                <w:color w:val="222222"/>
              </w:rPr>
              <w:t xml:space="preserve">Наблюдение 3.7. </w:t>
            </w:r>
            <w:bookmarkEnd w:id="9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 xml:space="preserve">Контроль за соблюдением </w:t>
            </w:r>
            <w:r>
              <w:rPr>
                <w:i/>
                <w:color w:val="222222"/>
                <w:u w:val="single"/>
              </w:rPr>
              <w:t>сроков оплаты арендной платы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В ходе проверки выявлены случаи нарушения сроков оплаты арендной платы. Задержки в оплате могут привести к начислению пени и штрафов, а также к ухудшению отношений с контрагентами.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В соответствии с требованиями к ведению </w:t>
      </w:r>
      <w:r>
        <w:rPr>
          <w:color w:val="222222"/>
        </w:rPr>
        <w:t>бухгалтерского учета [23], обязательства должны погашаться в установленные сроки. Нарушение сроков оплаты создает риски финансовых потерь и репутационных рисков.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Элемент контроля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Требование / критерий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Риск при отсутствии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Сроки оплаты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Соблюдение графика пл</w:t>
            </w:r>
            <w:r>
              <w:rPr>
                <w:color w:val="222222"/>
                <w:sz w:val="24"/>
              </w:rPr>
              <w:t>атежей [23]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Начисление пени и штрафов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Контроль платежей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Мониторинг сроков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Ухудшение отношений с контрагентами</w:t>
            </w:r>
          </w:p>
        </w:tc>
      </w:tr>
    </w:tbl>
    <w:p w:rsidR="008E4D70" w:rsidRDefault="008E4D70">
      <w:pPr>
        <w:spacing w:after="120" w:line="360" w:lineRule="auto"/>
      </w:pPr>
    </w:p>
    <w:p w:rsidR="008E4D70" w:rsidRDefault="00EA7D96">
      <w:pPr>
        <w:spacing w:after="80" w:line="360" w:lineRule="auto"/>
        <w:jc w:val="both"/>
      </w:pPr>
      <w:r>
        <w:rPr>
          <w:i/>
          <w:color w:val="222222"/>
        </w:rPr>
        <w:t>Схема: График платежей → Напоминание о платеже → Оплата → Подтверждение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средний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lastRenderedPageBreak/>
        <w:t>Необходимо внедрить систему автоматических напоминаний о сроках оплаты арендной платы. Рекомендуется установить процедуру контроля за своевременностью платежей и анализа причин задержек.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>С</w:t>
      </w:r>
      <w:r>
        <w:rPr>
          <w:b/>
          <w:color w:val="222222"/>
        </w:rPr>
        <w:t xml:space="preserve">рок – </w:t>
      </w:r>
    </w:p>
    <w:p w:rsidR="008E4D70" w:rsidRDefault="008E4D70">
      <w:pPr>
        <w:spacing w:after="0" w:line="360" w:lineRule="auto"/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10" w:name="obs_3_8"/>
            <w:r>
              <w:rPr>
                <w:color w:val="222222"/>
              </w:rPr>
              <w:t xml:space="preserve">Наблюдение 3.8. </w:t>
            </w:r>
            <w:bookmarkEnd w:id="10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>Оценка рисков, связанных с субарендой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При проверке выявлены случаи передачи помещений в субаренду без надлежащего оформления. Субаренда должна быть согласована с арендодателем и оформлена отдельным договором.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Отсутствие </w:t>
      </w:r>
      <w:r>
        <w:rPr>
          <w:color w:val="222222"/>
        </w:rPr>
        <w:t>согласования и оформления субаренды может привести к расторжению основного договора аренды и финансовым потерям. В соответствии с требованиями к ведению бухгалтерского учета [23], доходы от субаренды должны отражаться в учете.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Элемент контроля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Требование /</w:t>
            </w:r>
            <w:r>
              <w:rPr>
                <w:b/>
                <w:color w:val="222222"/>
                <w:sz w:val="24"/>
              </w:rPr>
              <w:t xml:space="preserve"> критерий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Риск при отсутствии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Согласование субаренды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Письменное согласие арендодателя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Расторжение основного договора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Отражение в учете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Учет доходов от субаренды [23]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Искажение финансовой отчетности</w:t>
            </w:r>
          </w:p>
        </w:tc>
      </w:tr>
    </w:tbl>
    <w:p w:rsidR="008E4D70" w:rsidRDefault="008E4D70">
      <w:pPr>
        <w:spacing w:after="120" w:line="360" w:lineRule="auto"/>
      </w:pPr>
    </w:p>
    <w:p w:rsidR="008E4D70" w:rsidRDefault="00EA7D96">
      <w:pPr>
        <w:spacing w:after="80" w:line="360" w:lineRule="auto"/>
        <w:jc w:val="both"/>
      </w:pPr>
      <w:r>
        <w:rPr>
          <w:i/>
          <w:color w:val="222222"/>
        </w:rPr>
        <w:t>Схема: Запрос на субаренду → Согласование → Заключение</w:t>
      </w:r>
      <w:r>
        <w:rPr>
          <w:i/>
          <w:color w:val="222222"/>
        </w:rPr>
        <w:t xml:space="preserve"> договора → Отражение в учете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средний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Необходимо установить процедуру обязательного согласования субаренды с арендодателем. </w:t>
      </w:r>
      <w:r>
        <w:rPr>
          <w:color w:val="222222"/>
        </w:rPr>
        <w:t>Рекомендуется обеспечить отражение всех доходов от субаренды в бухгалтерском учете.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 xml:space="preserve">Срок – </w:t>
      </w:r>
    </w:p>
    <w:p w:rsidR="008E4D70" w:rsidRDefault="008E4D70">
      <w:pPr>
        <w:spacing w:after="0" w:line="360" w:lineRule="auto"/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11" w:name="obs_3_9"/>
            <w:r>
              <w:rPr>
                <w:color w:val="222222"/>
              </w:rPr>
              <w:t xml:space="preserve">Наблюдение 3.9. </w:t>
            </w:r>
            <w:bookmarkEnd w:id="11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>Анализ соответствия условий аренды рыночным ставкам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lastRenderedPageBreak/>
        <w:t xml:space="preserve">В ходе проверки проанализированы условия аренды коммерческой недвижимости на предмет </w:t>
      </w:r>
      <w:r>
        <w:rPr>
          <w:color w:val="222222"/>
        </w:rPr>
        <w:t>соответствия рыночным ставкам. Выявлены случаи, когда арендная плата существенно отклоняется от рыночных значений.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>Отклонения от рыночных ставок могут свидетельствовать о наличии скрытых мотивов или о нарушении принципа добросовестности. Это может привлечь</w:t>
      </w:r>
      <w:r>
        <w:rPr>
          <w:color w:val="222222"/>
        </w:rPr>
        <w:t xml:space="preserve"> внимание налоговых органов и привести к доначислению налогов.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Элемент контроля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Требование / критерий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Риск при отсутствии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Рыночная оценка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Соответствие ставок рыночным значениям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Налоговые риски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Документирование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Обоснование отклонений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 xml:space="preserve">Сложности при </w:t>
            </w:r>
            <w:r>
              <w:rPr>
                <w:color w:val="222222"/>
                <w:sz w:val="24"/>
              </w:rPr>
              <w:t>проверках</w:t>
            </w:r>
          </w:p>
        </w:tc>
      </w:tr>
    </w:tbl>
    <w:p w:rsidR="008E4D70" w:rsidRDefault="008E4D70">
      <w:pPr>
        <w:spacing w:after="120" w:line="360" w:lineRule="auto"/>
      </w:pPr>
    </w:p>
    <w:p w:rsidR="008E4D70" w:rsidRDefault="00EA7D96">
      <w:pPr>
        <w:spacing w:after="80" w:line="360" w:lineRule="auto"/>
        <w:jc w:val="both"/>
      </w:pPr>
      <w:r>
        <w:rPr>
          <w:i/>
          <w:color w:val="222222"/>
        </w:rPr>
        <w:t>Схема: Анализ рынка → Сравнение ставок → Обоснование отклонений → Документирование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низкий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Необходимо проводить </w:t>
      </w:r>
      <w:r>
        <w:rPr>
          <w:color w:val="222222"/>
        </w:rPr>
        <w:t>регулярный анализ рыночных ставок аренды коммерческой недвижимости. Рекомендуется документировать обоснование любых отклонений от рыночных значений.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 xml:space="preserve">Срок – </w:t>
      </w:r>
    </w:p>
    <w:p w:rsidR="008E4D70" w:rsidRDefault="008E4D70">
      <w:pPr>
        <w:spacing w:after="0" w:line="360" w:lineRule="auto"/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8E4D70">
        <w:trPr>
          <w:trHeight w:val="795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</w:pPr>
            <w:bookmarkStart w:id="12" w:name="obs_3_10"/>
            <w:r>
              <w:rPr>
                <w:color w:val="222222"/>
              </w:rPr>
              <w:t xml:space="preserve">Наблюдение 3.10. </w:t>
            </w:r>
            <w:bookmarkEnd w:id="12"/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4D70" w:rsidRDefault="00EA7D96">
            <w:pPr>
              <w:spacing w:after="0"/>
              <w:jc w:val="both"/>
            </w:pPr>
            <w:r>
              <w:rPr>
                <w:i/>
                <w:color w:val="222222"/>
                <w:u w:val="single"/>
              </w:rPr>
              <w:t>Оценка эффективности управления портфелем арендованной недвижимости</w:t>
            </w:r>
          </w:p>
        </w:tc>
      </w:tr>
    </w:tbl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При </w:t>
      </w:r>
      <w:r>
        <w:rPr>
          <w:color w:val="222222"/>
        </w:rPr>
        <w:t>проверке проанализирована эффективность управления портфелем арендованной коммерческой недвижимости. Выявлены случаи неоптимального использования помещений и дублирования функций.</w:t>
      </w:r>
    </w:p>
    <w:p w:rsidR="008E4D70" w:rsidRDefault="00EA7D96">
      <w:pPr>
        <w:spacing w:after="160" w:line="360" w:lineRule="auto"/>
        <w:ind w:firstLine="709"/>
        <w:jc w:val="both"/>
      </w:pPr>
      <w:r>
        <w:rPr>
          <w:color w:val="222222"/>
        </w:rPr>
        <w:t xml:space="preserve">Неэффективное использование арендованных площадей приводит к дополнительным </w:t>
      </w:r>
      <w:r>
        <w:rPr>
          <w:color w:val="222222"/>
        </w:rPr>
        <w:t xml:space="preserve">расходам и снижению рентабельности. В соответствии с </w:t>
      </w:r>
      <w:r>
        <w:rPr>
          <w:color w:val="222222"/>
        </w:rPr>
        <w:lastRenderedPageBreak/>
        <w:t>требованиями к ведению бухгалтерского учета [23], расходы должны быть обоснованы и экономически целесообразны.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Элемент контроля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Требование / критерий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b/>
                <w:color w:val="222222"/>
                <w:sz w:val="24"/>
              </w:rPr>
              <w:t>Риск при отсутствии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Использование площадей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Оптимальн</w:t>
            </w:r>
            <w:r>
              <w:rPr>
                <w:color w:val="222222"/>
                <w:sz w:val="24"/>
              </w:rPr>
              <w:t>ое использование [23]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Дополнительные расходы</w:t>
            </w:r>
          </w:p>
        </w:tc>
      </w:tr>
      <w:tr w:rsidR="008E4D70"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Анализ эффективности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Оценка рентабельности</w:t>
            </w:r>
          </w:p>
        </w:tc>
        <w:tc>
          <w:tcPr>
            <w:tcW w:w="3118" w:type="dxa"/>
            <w:vAlign w:val="center"/>
          </w:tcPr>
          <w:p w:rsidR="008E4D70" w:rsidRDefault="00EA7D96">
            <w:pPr>
              <w:spacing w:before="40" w:after="40"/>
            </w:pPr>
            <w:r>
              <w:rPr>
                <w:color w:val="222222"/>
                <w:sz w:val="24"/>
              </w:rPr>
              <w:t>Снижение прибыли</w:t>
            </w:r>
          </w:p>
        </w:tc>
      </w:tr>
    </w:tbl>
    <w:p w:rsidR="008E4D70" w:rsidRDefault="008E4D70">
      <w:pPr>
        <w:spacing w:after="120" w:line="360" w:lineRule="auto"/>
      </w:pPr>
    </w:p>
    <w:p w:rsidR="008E4D70" w:rsidRDefault="00EA7D96">
      <w:pPr>
        <w:spacing w:after="80" w:line="360" w:lineRule="auto"/>
        <w:jc w:val="both"/>
      </w:pPr>
      <w:r>
        <w:rPr>
          <w:i/>
          <w:color w:val="222222"/>
        </w:rPr>
        <w:t>Схема: Анализ использования → Выявление избыточных площадей → Оптимизация → Экономия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firstLine="709"/>
        <w:jc w:val="both"/>
      </w:pPr>
      <w:r>
        <w:rPr>
          <w:color w:val="222222"/>
        </w:rPr>
        <w:t>Уровень существенности:</w:t>
      </w:r>
      <w:r>
        <w:rPr>
          <w:b/>
          <w:color w:val="222222"/>
        </w:rPr>
        <w:t xml:space="preserve"> низкий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i/>
          <w:color w:val="222222"/>
        </w:rPr>
        <w:tab/>
      </w:r>
      <w:r>
        <w:rPr>
          <w:color w:val="222222"/>
        </w:rPr>
        <w:t>Аудитор: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</w:t>
      </w:r>
      <w:r>
        <w:rPr>
          <w:color w:val="222222"/>
        </w:rPr>
        <w:t xml:space="preserve">Объект аудита: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Руководитель объекта аудита: </w:t>
      </w:r>
    </w:p>
    <w:p w:rsidR="008E4D70" w:rsidRDefault="008E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>
        <w:rPr>
          <w:b/>
          <w:color w:val="222222"/>
        </w:rPr>
        <w:t xml:space="preserve">          Аудиторская рекомендация: 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color w:val="222222"/>
        </w:rPr>
        <w:t xml:space="preserve">Необходимо провести анализ эффективности использования арендованных площадей. Рекомендуется оптимизировать портфель недвижимости, освободив избыточные площади и </w:t>
      </w:r>
      <w:r>
        <w:rPr>
          <w:color w:val="222222"/>
        </w:rPr>
        <w:t>перераспределив ресурсы.</w:t>
      </w:r>
    </w:p>
    <w:p w:rsidR="008E4D70" w:rsidRDefault="00EA7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</w:pPr>
      <w:r>
        <w:rPr>
          <w:b/>
          <w:color w:val="222222"/>
        </w:rPr>
        <w:t xml:space="preserve">Срок – </w:t>
      </w:r>
    </w:p>
    <w:p w:rsidR="008E4D70" w:rsidRDefault="008E4D70">
      <w:pPr>
        <w:spacing w:after="0" w:line="360" w:lineRule="auto"/>
      </w:pPr>
    </w:p>
    <w:p w:rsidR="008E4D70" w:rsidRDefault="00EA7D96">
      <w:pPr>
        <w:spacing w:before="240" w:line="360" w:lineRule="auto"/>
      </w:pPr>
      <w:bookmarkStart w:id="13" w:name="sec_IV"/>
      <w:r>
        <w:rPr>
          <w:b/>
          <w:color w:val="222222"/>
          <w:sz w:val="32"/>
        </w:rPr>
        <w:t>IV.</w:t>
      </w:r>
      <w:r>
        <w:rPr>
          <w:b/>
          <w:color w:val="222222"/>
          <w:sz w:val="32"/>
        </w:rPr>
        <w:tab/>
        <w:t>Общая информация об аудиторской проверке.</w:t>
      </w:r>
      <w:bookmarkEnd w:id="13"/>
    </w:p>
    <w:p w:rsidR="008E4D70" w:rsidRDefault="00EA7D96">
      <w:pPr>
        <w:spacing w:before="160" w:after="40" w:line="360" w:lineRule="auto"/>
        <w:jc w:val="both"/>
      </w:pPr>
      <w:r>
        <w:rPr>
          <w:b/>
          <w:color w:val="222222"/>
        </w:rPr>
        <w:t>Основание проведения аудита</w:t>
      </w:r>
    </w:p>
    <w:p w:rsidR="008E4D70" w:rsidRDefault="00EA7D96">
      <w:pPr>
        <w:spacing w:after="160" w:line="360" w:lineRule="auto"/>
        <w:jc w:val="both"/>
      </w:pPr>
      <w:r>
        <w:rPr>
          <w:color w:val="222222"/>
        </w:rPr>
        <w:t>уточняется (приказ / план работы службы внутреннего аудита — заполняет аудитор)</w:t>
      </w:r>
    </w:p>
    <w:p w:rsidR="008E4D70" w:rsidRDefault="00EA7D96">
      <w:pPr>
        <w:spacing w:before="160" w:after="40" w:line="360" w:lineRule="auto"/>
        <w:jc w:val="both"/>
      </w:pPr>
      <w:r>
        <w:rPr>
          <w:b/>
          <w:color w:val="222222"/>
        </w:rPr>
        <w:t>Срок проведения</w:t>
      </w:r>
    </w:p>
    <w:p w:rsidR="008E4D70" w:rsidRDefault="00EA7D96">
      <w:pPr>
        <w:spacing w:after="160" w:line="360" w:lineRule="auto"/>
        <w:jc w:val="both"/>
      </w:pPr>
      <w:r>
        <w:rPr>
          <w:color w:val="222222"/>
        </w:rPr>
        <w:t>уточняется</w:t>
      </w:r>
    </w:p>
    <w:p w:rsidR="008E4D70" w:rsidRDefault="00EA7D96">
      <w:pPr>
        <w:spacing w:before="160" w:after="40" w:line="360" w:lineRule="auto"/>
        <w:jc w:val="both"/>
      </w:pPr>
      <w:r>
        <w:rPr>
          <w:b/>
          <w:color w:val="222222"/>
        </w:rPr>
        <w:t>Группа аудиторов</w:t>
      </w:r>
    </w:p>
    <w:p w:rsidR="008E4D70" w:rsidRDefault="00EA7D96">
      <w:pPr>
        <w:spacing w:after="160" w:line="360" w:lineRule="auto"/>
        <w:jc w:val="both"/>
      </w:pPr>
      <w:r>
        <w:rPr>
          <w:color w:val="222222"/>
        </w:rPr>
        <w:t>заполняет аудитор</w:t>
      </w:r>
    </w:p>
    <w:p w:rsidR="008E4D70" w:rsidRDefault="00EA7D96">
      <w:pPr>
        <w:spacing w:before="160" w:after="40" w:line="360" w:lineRule="auto"/>
        <w:jc w:val="both"/>
      </w:pPr>
      <w:r>
        <w:rPr>
          <w:b/>
          <w:color w:val="222222"/>
        </w:rPr>
        <w:t xml:space="preserve">Вид </w:t>
      </w:r>
      <w:r>
        <w:rPr>
          <w:b/>
          <w:color w:val="222222"/>
        </w:rPr>
        <w:t>аудита</w:t>
      </w:r>
    </w:p>
    <w:p w:rsidR="008E4D70" w:rsidRDefault="00EA7D96">
      <w:pPr>
        <w:spacing w:after="160" w:line="360" w:lineRule="auto"/>
        <w:jc w:val="both"/>
      </w:pPr>
      <w:r>
        <w:rPr>
          <w:color w:val="222222"/>
        </w:rPr>
        <w:t>Тематическая аудиторская проверка</w:t>
      </w:r>
    </w:p>
    <w:p w:rsidR="008E4D70" w:rsidRDefault="00EA7D96">
      <w:pPr>
        <w:spacing w:before="160" w:after="40" w:line="360" w:lineRule="auto"/>
        <w:jc w:val="both"/>
      </w:pPr>
      <w:r>
        <w:rPr>
          <w:b/>
          <w:color w:val="222222"/>
        </w:rPr>
        <w:lastRenderedPageBreak/>
        <w:t>Дата составления заключения</w:t>
      </w:r>
    </w:p>
    <w:p w:rsidR="008E4D70" w:rsidRDefault="00EA7D96">
      <w:pPr>
        <w:spacing w:after="160" w:line="360" w:lineRule="auto"/>
        <w:jc w:val="both"/>
      </w:pPr>
      <w:r>
        <w:rPr>
          <w:color w:val="222222"/>
        </w:rPr>
        <w:t>заполняет аудитор</w:t>
      </w:r>
    </w:p>
    <w:sectPr w:rsidR="008E4D70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7D96" w:rsidRDefault="00EA7D96">
      <w:pPr>
        <w:spacing w:after="0" w:line="240" w:lineRule="auto"/>
      </w:pPr>
      <w:r>
        <w:separator/>
      </w:r>
    </w:p>
  </w:endnote>
  <w:endnote w:type="continuationSeparator" w:id="0">
    <w:p w:rsidR="00EA7D96" w:rsidRDefault="00EA7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D70" w:rsidRDefault="00EA7D96">
    <w:pPr>
      <w:pStyle w:val="a7"/>
      <w:tabs>
        <w:tab w:val="right" w:pos="9071"/>
      </w:tabs>
    </w:pPr>
    <w:r>
      <w:rPr>
        <w:i/>
        <w:color w:val="222222"/>
        <w:sz w:val="18"/>
      </w:rPr>
      <w:t>Черновик · Аудиторское заключение (черновик) · Проверка аренды коммерческой недвижимости · кейс 788</w:t>
    </w:r>
    <w:r>
      <w:rPr>
        <w:i/>
        <w:color w:val="222222"/>
        <w:sz w:val="18"/>
      </w:rPr>
      <w:t>99a2d8dab</w:t>
    </w:r>
    <w:r>
      <w:tab/>
    </w:r>
    <w:r>
      <w:rPr>
        <w:color w:val="222222"/>
        <w:sz w:val="18"/>
      </w:rPr>
      <w:fldChar w:fldCharType="begin"/>
    </w:r>
    <w:r>
      <w:rPr>
        <w:color w:val="222222"/>
        <w:sz w:val="18"/>
      </w:rPr>
      <w:instrText xml:space="preserve"> PAGE </w:instrText>
    </w:r>
    <w:r>
      <w:rPr>
        <w:color w:val="222222"/>
        <w:sz w:val="18"/>
      </w:rPr>
      <w:fldChar w:fldCharType="separate"/>
    </w:r>
    <w:r w:rsidR="00635FBF">
      <w:rPr>
        <w:noProof/>
        <w:color w:val="222222"/>
        <w:sz w:val="18"/>
      </w:rPr>
      <w:t>2</w:t>
    </w:r>
    <w:r>
      <w:rPr>
        <w:color w:val="22222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7D96" w:rsidRDefault="00EA7D96">
      <w:pPr>
        <w:spacing w:after="0" w:line="240" w:lineRule="auto"/>
      </w:pPr>
      <w:r>
        <w:separator/>
      </w:r>
    </w:p>
  </w:footnote>
  <w:footnote w:type="continuationSeparator" w:id="0">
    <w:p w:rsidR="00EA7D96" w:rsidRDefault="00EA7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FBF"/>
    <w:rsid w:val="008E4D70"/>
    <w:rsid w:val="00AA1D8D"/>
    <w:rsid w:val="00B47730"/>
    <w:rsid w:val="00CB0664"/>
    <w:rsid w:val="00EA7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D47D7CE-1865-4B5C-9035-337BF5D8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242D78-9D55-4AD7-A7D0-F02B8BB23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2877</Words>
  <Characters>16405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audit</cp:lastModifiedBy>
  <cp:revision>2</cp:revision>
  <dcterms:created xsi:type="dcterms:W3CDTF">2026-08-27T12:43:00Z</dcterms:created>
  <dcterms:modified xsi:type="dcterms:W3CDTF">2026-08-27T12:43:00Z</dcterms:modified>
  <cp:category/>
</cp:coreProperties>
</file>