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222222"/>
          <w:sz w:val="40"/>
        </w:rPr>
        <w:t>Конспект по теме (знания модели)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Проверка аренды коммерческой недвижимости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color w:val="222222"/>
          <w:sz w:val="22"/>
        </w:rPr>
        <w:t>Ключевые слова: Аренда, рб, базовая арендная ставка, взаимоотношения с арендодателями, существенные условия договоров аренды</w:t>
      </w:r>
    </w:p>
    <w:p>
      <w:pPr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/>
          <w:color w:val="222222"/>
          <w:sz w:val="22"/>
        </w:rPr>
        <w:t>Краткий конспект самого важного по теме из знаний языковой модели, без опоры на скачанные акты базы знаний кейса. Номера [n] ведут к списку актов и статей в конце. Редакции и точные формулировки нужно сверять с первоисточником. Это черновик, не аудиторское суждение.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Суть темы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Проверка аренды коммерческой недвижимости в Республике Беларусь направлена на оценку правомерности заключения, исполнения и прекращения договоров аренды, а также на корректность бухгалтерского и налогового учета связанных расходов. Для банка или коммерческой организации критически важно убедиться, что существенные условия договоров соблюдены, базовые арендные ставки (при наличии) учтены, а права на имущество подтверждены надлежащими документами. Невыполнение требований законодательства может привести к признанию расходов не обоснованными для целей налогообложения, штрафным санкциям со стороны контролирующих органов и финансовым потерям из-за недействительности сделок.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Ключевые нормативные акты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Гражданский кодекс Республики Беларусь (ГК РБ) — регулирует общие положения о договоре аренды, существенные условия, права и обязанности сторон, порядок расторжения </w:t>
      </w:r>
      <w:hyperlink w:anchor="cite_1">
        <w:r>
          <w:rPr>
            <w:color w:val="0563C1"/>
            <w:u w:val="single"/>
            <w:sz w:val="24"/>
            <w:rFonts w:ascii="Times New Roman" w:hAnsi="Times New Roman"/>
          </w:rPr>
          <w:t>[1]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Закон Республики Беларусь «О государственной регистрации недвижимого имущества, прав на него и сделок с ним» — устанавливает порядок регистрации прав и сделок, что является ключевым для подтверждения легитимности арендодателя </w:t>
      </w:r>
      <w:hyperlink w:anchor="cite_2">
        <w:r>
          <w:rPr>
            <w:color w:val="0563C1"/>
            <w:u w:val="single"/>
            <w:sz w:val="24"/>
            <w:rFonts w:ascii="Times New Roman" w:hAnsi="Times New Roman"/>
          </w:rPr>
          <w:t>[2]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Налоговый кодекс Республики Беларусь (НК РБ) — определяет порядок учета арендных платежей в расходах, особенности налогообложения операций с недвижимостью, требования к первичным документам </w:t>
      </w:r>
      <w:hyperlink w:anchor="cite_3">
        <w:r>
          <w:rPr>
            <w:color w:val="0563C1"/>
            <w:u w:val="single"/>
            <w:sz w:val="24"/>
            <w:rFonts w:ascii="Times New Roman" w:hAnsi="Times New Roman"/>
          </w:rPr>
          <w:t>[3]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Постановление Совета Министров Республики Беларусь (актуальные редакции) — регулирует вопросы приватизации, передачи государственного имущества в аренду, если арендодателем выступает государство или муниципальное образование </w:t>
      </w:r>
      <w:hyperlink w:anchor="cite_4">
        <w:r>
          <w:rPr>
            <w:color w:val="0563C1"/>
            <w:u w:val="single"/>
            <w:sz w:val="24"/>
            <w:rFonts w:ascii="Times New Roman" w:hAnsi="Times New Roman"/>
          </w:rPr>
          <w:t>[4]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Инструкции и рекомендации Министерства финансов и Министерства по налогам и сборам — разъясняют порядок документального оформления арендных отношений и их отражения в учете </w:t>
      </w:r>
      <w:hyperlink w:anchor="cite_5">
        <w:r>
          <w:rPr>
            <w:color w:val="0563C1"/>
            <w:u w:val="single"/>
            <w:sz w:val="24"/>
            <w:rFonts w:ascii="Times New Roman" w:hAnsi="Times New Roman"/>
          </w:rPr>
          <w:t>[5]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Самое важное по существу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Существенные условия договора: Согласно ст. 410 ГК РБ, договор считается заключенным, если достигнуто соглашение по всем существенным условиям. Для аренды недвижимости к ним относятся: предмет договора (конкретное помещение с адресом, площадью, инвентарным номером), срок аренды, цена (арендная плата) и порядок ее определения </w:t>
      </w:r>
      <w:hyperlink w:anchor="cite_1">
        <w:r>
          <w:rPr>
            <w:color w:val="0563C1"/>
            <w:u w:val="single"/>
            <w:sz w:val="24"/>
            <w:rFonts w:ascii="Times New Roman" w:hAnsi="Times New Roman"/>
          </w:rPr>
          <w:t>[1]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 Отсутствие любого из этих условий может повлечь признание договора незаключенным.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Правомерность арендодателя: Аудитор должен проверить наличие у арендодателя права собственности или иного законного основания (договор субаренды, доверительное управление) для сдачи имущества в аренду. Если имущество находится в государственной собственности, необходимо наличие решения уполномоченного органа о передаче в аренду </w:t>
      </w:r>
      <w:hyperlink w:anchor="cite_2">
        <w:r>
          <w:rPr>
            <w:color w:val="0563C1"/>
            <w:u w:val="single"/>
            <w:sz w:val="24"/>
            <w:rFonts w:ascii="Times New Roman" w:hAnsi="Times New Roman"/>
          </w:rPr>
          <w:t>[2]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Базовая арендная ставка: В случаях аренды государственного или муниципального имущества, а также при приватизации, часто устанавливается базовая арендная ставка. Аудитору необходимо сверить фактическую ставку в договоре с установленной нормативными актами или решением собственника. Занижение ставки может расцениваться как недобросовестное поведение или нарушение условий приватизации/аренды госимущества </w:t>
      </w:r>
      <w:hyperlink w:anchor="cite_4">
        <w:r>
          <w:rPr>
            <w:color w:val="0563C1"/>
            <w:u w:val="single"/>
            <w:sz w:val="24"/>
            <w:rFonts w:ascii="Times New Roman" w:hAnsi="Times New Roman"/>
          </w:rPr>
          <w:t>[4]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Налоговый учет расходов: В соответствии с НК РБ, арендные платежи признаются расходами, уменьшающими налогооблагаемую прибыль, только при наличии надлежаще оформленных документов (договор, акты выполненных работ/оказанных услуг, платежные поручения) и если эти расходы экономически обоснованы </w:t>
      </w:r>
      <w:hyperlink w:anchor="cite_3">
        <w:r>
          <w:rPr>
            <w:color w:val="0563C1"/>
            <w:u w:val="single"/>
            <w:sz w:val="24"/>
            <w:rFonts w:ascii="Times New Roman" w:hAnsi="Times New Roman"/>
          </w:rPr>
          <w:t>[3]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 Расходы по аренде не учитываются, если договор не зарегистрирован в случаях, когда регистрация является обязательной, или если арендодатель не является налоговым резидентом и не соблюдены правила удержания налога у источника.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Регистрация договора: Договор аренды недвижимости, заключенный на срок более одного года, подлежит государственной регистрации в органах юстиции (или уполномоченном органе по регистрации недвижимости). Отсутствие регистрации не влечет недействительности договора между сторонами, но лишает его силы против третьих лиц и может создать риски при спорах </w:t>
      </w:r>
      <w:hyperlink w:anchor="cite_2">
        <w:r>
          <w:rPr>
            <w:color w:val="0563C1"/>
            <w:u w:val="single"/>
            <w:sz w:val="24"/>
            <w:rFonts w:ascii="Times New Roman" w:hAnsi="Times New Roman"/>
          </w:rPr>
          <w:t>[2]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Изменение условий и индексация: Договоры аренды часто содержат clauses об индексации арендной платы. Аудитору важно проверить, соответствует ли порядок индексации условиям договора и законодательству. Одностороннее изменение арендной платы арендодателем без согласия арендатора является нарушением ст. 655 ГК РБ </w:t>
      </w:r>
      <w:hyperlink w:anchor="cite_1">
        <w:r>
          <w:rPr>
            <w:color w:val="0563C1"/>
            <w:u w:val="single"/>
            <w:sz w:val="24"/>
            <w:rFonts w:ascii="Times New Roman" w:hAnsi="Times New Roman"/>
          </w:rPr>
          <w:t>[1]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Субаренда: Если банк или организация выступает субарендатором, необходимо проверить наличие в основном договоре аренды согласия арендодателя на субаренду. Отсутствие такого согласия может привести к расторжению основного договора и, как следствие, потере права пользования имуществом </w:t>
      </w:r>
      <w:hyperlink w:anchor="cite_1">
        <w:r>
          <w:rPr>
            <w:color w:val="0563C1"/>
            <w:u w:val="single"/>
            <w:sz w:val="24"/>
            <w:rFonts w:ascii="Times New Roman" w:hAnsi="Times New Roman"/>
          </w:rPr>
          <w:t>[1]</w:t>
        </w:r>
      </w:hyperlink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На что обратить внимание аудитору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Проверка реестра прав: Запросить выписку из Государственного реестра недвижимого имущества, прав на него и сделок с ним для подтверждения права собственности арендодателя на дату заключения договора и на текущую дату. Обратить внимание на наличие обременений (ипотека, арест), которые могут ограничивать права арендатора.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Анализ существенных условий: Детально изучить текст договора на наличие четкого описания предмета аренды (план помещения, площадь, этажность). Нечеткое описание (например, «часть офиса») является типичным нарушением и риском для признания договора незаключенным.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Контроль базовой ставки: Если арендодатель — государство или муниципальное образование, или если имущество было приватизировано, запросить нормативный акт или решение о передаче в аренду, где указана базовая ставка. Сравнить ее с фактической. Отклонение в меньшую сторону требует обоснования (например, льготный период, состояние помещения).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Налоговые риски: Проверить, удерживается ли налог у источника при аренде у нерезидентов. Убедиться, что акты оказанных услуг (аренды) подписаны обеими сторонами и содержат все необходимые реквизиты. Отсутствие актов является прямым основанием для отказа в признании расходов по НК РБ.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Типичные ошибки: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*   Заключение договора аренды на срок менее года без регистрации, хотя стороны фактически используют помещение дольше (риск переквалификации).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*   Отсутствие согласованного порядка расчетов коммунальных услуг, что приводит к спорам и невозможности корректного учета.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*   Использование устаревших форм договоров, не учитывающих изменения в законодательстве (например, новые требования к электронному документообороту).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*   Несоответствие данных в договоре (ИНН, адрес) данным в учредительных документах арендодателя.</w:t>
      </w:r>
    </w:p>
    <w:p>
      <w:pPr>
        <w:pStyle w:val="ListBullet"/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Запрос документов: Помимо договора, запросить: уставные документы арендодателя, решение о передаче имущества в аренду (для госимущества), выписку из реестра прав, акты сверки взаимных расчетов, первичные документы по оплате аренды, документы, подтверждающие правомерность субаренды (если применимо).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Ограничения конспекта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Данный конспект составлен на основе общих знаний модели о законодательстве Республики Беларусь в сфере гражданского, налогового права и бухгалтерского учета. Он не является юридической консультацией и не заменяет изучение первоисточников. Номера статей, пунктов и редакций нормативных актов могут быть изменены. Перед использованием в аудиторском заключении необходимо сверить все ссылки с актуальными редакциями законов, кодексов и подзаконных актов на официальных порталах правовой информации (pravo.by, pravo.gov.by) и в базе знаний организации. Конспект не учитывает специфические условия конкретного договора аренды или локальные нормативные акты банка, если они не противоречат законодательству РБ.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Источники: акты и статьи</w:t>
      </w:r>
    </w:p>
    <w:p>
      <w:pPr>
        <w:spacing w:after="120" w:before="0" w:line="360" w:lineRule="auto"/>
      </w:pPr>
      <w:r>
        <w:rPr>
          <w:rFonts w:ascii="Times New Roman" w:hAnsi="Times New Roman" w:eastAsia="Times New Roman" w:cs="Times New Roman"/>
          <w:b w:val="0"/>
          <w:i/>
          <w:color w:val="222222"/>
          <w:sz w:val="22"/>
        </w:rPr>
        <w:t>Ссылки [n] в тексте указывают на акт ниже. URL — если модель его помнит; иначе сверяйте на pravo.by / nbrb.by.</w:t>
      </w:r>
    </w:p>
    <w:p>
      <w:bookmarkStart w:id="1" w:name="cite_1"/>
      <w:pPr>
        <w:spacing w:after="120" w:before="0" w:line="360" w:lineRule="auto"/>
      </w:pPr>
      <w:bookmarkEnd w:id="1"/>
      <w:r>
        <w:rPr>
          <w:rFonts w:ascii="Times New Roman" w:hAnsi="Times New Roman" w:eastAsia="Times New Roman" w:cs="Times New Roman"/>
          <w:b/>
          <w:i w:val="0"/>
          <w:color w:val="222222"/>
          <w:sz w:val="24"/>
        </w:rPr>
        <w:t xml:space="preserve">[1]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Гражданский кодекс Республики Беларусь — Часть вторая, Глава 34 «Аренда». </w:t>
      </w:r>
    </w:p>
    <w:p>
      <w:bookmarkStart w:id="2" w:name="cite_2"/>
      <w:pPr>
        <w:spacing w:after="120" w:before="0" w:line="360" w:lineRule="auto"/>
      </w:pPr>
      <w:bookmarkEnd w:id="2"/>
      <w:r>
        <w:rPr>
          <w:rFonts w:ascii="Times New Roman" w:hAnsi="Times New Roman" w:eastAsia="Times New Roman" w:cs="Times New Roman"/>
          <w:b/>
          <w:i w:val="0"/>
          <w:color w:val="222222"/>
          <w:sz w:val="24"/>
        </w:rPr>
        <w:t xml:space="preserve">[2]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Закон Республики Беларусь «О государственной регистрации недвижимого имущества, прав на него и сделок с ним» — URL неизвестен. </w:t>
      </w:r>
    </w:p>
    <w:p>
      <w:bookmarkStart w:id="3" w:name="cite_3"/>
      <w:pPr>
        <w:spacing w:after="120" w:before="0" w:line="360" w:lineRule="auto"/>
      </w:pPr>
      <w:bookmarkEnd w:id="3"/>
      <w:r>
        <w:rPr>
          <w:rFonts w:ascii="Times New Roman" w:hAnsi="Times New Roman" w:eastAsia="Times New Roman" w:cs="Times New Roman"/>
          <w:b/>
          <w:i w:val="0"/>
          <w:color w:val="222222"/>
          <w:sz w:val="24"/>
        </w:rPr>
        <w:t xml:space="preserve">[3]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Налоговый кодекс Республики Беларусь — Глава 21 «Налог на прибыль», Глава 22 «Налог на добавленную стоимость». </w:t>
      </w:r>
    </w:p>
    <w:p>
      <w:bookmarkStart w:id="4" w:name="cite_4"/>
      <w:pPr>
        <w:spacing w:after="120" w:before="0" w:line="360" w:lineRule="auto"/>
      </w:pPr>
      <w:bookmarkEnd w:id="4"/>
      <w:r>
        <w:rPr>
          <w:rFonts w:ascii="Times New Roman" w:hAnsi="Times New Roman" w:eastAsia="Times New Roman" w:cs="Times New Roman"/>
          <w:b/>
          <w:i w:val="0"/>
          <w:color w:val="222222"/>
          <w:sz w:val="24"/>
        </w:rPr>
        <w:t xml:space="preserve">[4]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Постановления Совета Министров Республики Беларусь по вопросам приватизации и аренды государственного имущества — URL неизвестен. </w:t>
      </w:r>
    </w:p>
    <w:p>
      <w:bookmarkStart w:id="5" w:name="cite_5"/>
      <w:pPr>
        <w:spacing w:after="120" w:before="0" w:line="360" w:lineRule="auto"/>
      </w:pPr>
      <w:bookmarkEnd w:id="5"/>
      <w:r>
        <w:rPr>
          <w:rFonts w:ascii="Times New Roman" w:hAnsi="Times New Roman" w:eastAsia="Times New Roman" w:cs="Times New Roman"/>
          <w:b/>
          <w:i w:val="0"/>
          <w:color w:val="222222"/>
          <w:sz w:val="24"/>
        </w:rPr>
        <w:t xml:space="preserve">[5]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Инструкции и рекомендации Министерства финансов и Министерства по налогам и сборам Республики Беларусь — URL неизвестен. 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/>
        <w:color w:val="222222"/>
        <w:sz w:val="18"/>
      </w:rPr>
      <w:t>Саммари total · Проверка аренды коммерческой недвижимости · кейс 78899a2d8dab · знания модели · черновик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