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beforeLines="0" w:afterLines="0" w:beforeAutospacing="0" w:afterAutospacing="0" w:line="240" w:lineRule="auto"/>
        <w:snapToGrid w:val="0"/>
        <w:contextualSpacing/>
        <w:jc w:val="center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nclusion_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1260000</wp:posOffset>
            </wp:positionH>
            <wp:positionV relativeFrom="page">
              <wp:posOffset>2232000</wp:posOffset>
            </wp:positionV>
            <wp:extent cx="5040000" cy="648000"/>
            <wp:effectExtent l="0" t="0" r="0" b="0"/>
            <wp:wrapNone/>
            <wp:docPr id="101" name="Cover 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0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beforeLines="0" w:afterLines="0" w:beforeAutospacing="0" w:afterAutospacing="0" w:line="240" w:lineRule="auto"/>
                          <w:contextualSpacing/>
                          <w:snapToGrid w:val="0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Аудиторское заключение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1260000</wp:posOffset>
            </wp:positionH>
            <wp:positionV relativeFrom="page">
              <wp:posOffset>3384000</wp:posOffset>
            </wp:positionV>
            <wp:extent cx="5040000" cy="1620000"/>
            <wp:effectExtent l="0" t="0" r="0" b="0"/>
            <wp:wrapNone/>
            <wp:docPr id="102" name="Cover 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beforeLines="0" w:afterLines="0" w:beforeAutospacing="0" w:afterAutospacing="0" w:line="240" w:lineRule="auto"/>
                          <w:contextualSpacing/>
                          <w:snapToGrid w:val="0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Проверка аренды коммерческой недвижимости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9576000</wp:posOffset>
            </wp:positionV>
            <wp:extent cx="2088000" cy="468000"/>
            <wp:effectExtent l="0" t="0" r="0" b="0"/>
            <wp:wrapNone/>
            <wp:docPr id="103" name="Cover 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8000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  <w:spacing w:before="0" w:after="0" w:beforeLines="0" w:afterLines="0" w:beforeAutospacing="0" w:afterAutospacing="0" w:line="240" w:lineRule="auto"/>
                          <w:contextualSpacing/>
                          <w:snapToGrid w:val="0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Минск 2026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3240000</wp:posOffset>
            </wp:positionH>
            <wp:positionV relativeFrom="page">
              <wp:posOffset>9576000</wp:posOffset>
            </wp:positionV>
            <wp:extent cx="3671999" cy="468000"/>
            <wp:effectExtent l="0" t="0" r="0" b="0"/>
            <wp:wrapNone/>
            <wp:docPr id="104" name="Cover 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71999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right"/>
                          <w:spacing w:before="0" w:after="0" w:beforeLines="0" w:afterLines="0" w:beforeAutospacing="0" w:afterAutospacing="0" w:line="240" w:lineRule="auto"/>
                          <w:contextualSpacing/>
                          <w:snapToGrid w:val="0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Департамент внутреннего аудита</w:t>
                        </w:r>
                      </w:p>
                    </w:txbxContent>
                  </wps:txbx>
                  <wps:bodyPr wrap="square" lIns="0" tIns="0" rIns="0" bIns="0" anchor="ctr"/>
                </wps:wsp>
              </a:graphicData>
            </a:graphic>
          </wp:anchor>
        </w:drawing>
      </w:r>
      <w:r>
        <w:br w:type="page"/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Содержание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Аудиторское мнение по итогам проверки.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II.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Основные результаты аудита и итоговые аудиторские рекомендации.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—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III.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Наблюдения по итогам проверки.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8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3.1.  Несовершенство процедуры согласования и регистрации договоров аренды.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9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3.2.  Отсутствие механизма индексации арендной платы.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11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3.3.  Недостаточная детализация бухгалтерского учета арендных обязательств.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12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3.4.  Нарушение сроков оплаты арендных платежей.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13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3.5.  Отсутствие оценки рыночной стоимости арендованных площадей.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14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3.6.  Отсутствие контроля за целевым использованием арендованных площадей.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16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3.7.  Недостаточная защита прав арендатора при расторжении договоров.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17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3.8.  Отсутствие страхования арендованного имущества.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18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3.9.  Отсутствие системы управления арендными рисками.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19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567"/>
        <w:contextualSpacing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3.10.  Обоснованность применения коэффициента спроса при расчете арендной платы.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21</w:t>
      </w:r>
    </w:p>
    <w:p>
      <w:pPr>
        <w:spacing w:before="0" w:after="0" w:beforeLines="0" w:afterLines="0" w:beforeAutospacing="0" w:afterAutospacing="0" w:line="240" w:lineRule="auto"/>
        <w:tabs>
          <w:tab w:pos="9071" w:val="right" w:leader="dot"/>
        </w:tabs>
        <w:snapToGrid w:val="0"/>
        <w:ind w:firstLine="0" w:left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IV.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Общая информация об аудиторской проверке.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24</w:t>
      </w:r>
    </w:p>
    <w:p>
      <w:pPr>
        <w:spacing w:before="0" w:after="0" w:beforeLines="0" w:afterLines="0" w:beforeAutospacing="0" w:afterAutospacing="0" w:line="240" w:lineRule="auto"/>
        <w:snapToGrid w:val="0"/>
        <w:contextualSpacing/>
      </w:pPr>
      <w:r>
        <w:br w:type="page"/>
      </w:r>
    </w:p>
    <w:p>
      <w:pPr>
        <w:spacing w:before="0" w:after="0" w:beforeLines="0" w:afterLines="0" w:beforeAutospacing="0" w:afterAutospacing="0" w:line="240" w:lineRule="auto"/>
        <w:jc w:val="center"/>
        <w:snapToGrid w:val="0"/>
        <w:contextualSpacing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Проверка аренды коммерческой недвижимости</w:t>
      </w:r>
    </w:p>
    <w:p>
      <w:bookmarkStart w:id="1" w:name="sec_I"/>
      <w:pPr>
        <w:spacing w:before="0" w:after="0" w:beforeLines="0" w:afterLines="0" w:beforeAutospacing="0" w:afterAutospacing="0" w:line="240" w:lineRule="auto"/>
        <w:jc w:val="center"/>
        <w:snapToGrid w:val="0"/>
        <w:contextualSpacing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I. Аудиторское мнение по итогам проверки</w:t>
      </w:r>
      <w:bookmarkEnd w:id="1"/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Цели и задачи аудита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Цели аудита: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Оценка соответствия процесса управления арендой коммерческой недвижимости действующему законодательству Республики Беларусь и внутренним нормативным актам.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Анализ полноты и корректности ведения бухгалтерского учета операций по арендной плате.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Выявление рисков, связанных с несоблюдением порядка регистрации договоров и их хранения.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Оценка эффективности внутреннего контроля за соблюдением сроков внесения арендной платы.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Формирование рекомендаций по оптимизации документооборота и учетных процессов.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Инструменты проверки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ходе проверки применялись методы анализа нормативно-правовой базы Республики Беларусь, включая Кодекс Республики Беларусь, постановления Совета Министров и Национального банка, регулирующие вопросы государственной регистрации субъектов хозяйствования, ведения бухгалтерского учета и организации работы с договорами. Основой для проверки служила программа аудита, включающая чеклист гипотез, направленных на выявление отклонений в процессах документального оформления и финансового учета.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Использовались приемы сверки первичных документов с данными бухгалтерского учета, запроса копий договоров аренды, книг регистрации и платежных поручений. Проводилось сопоставление фактических действий сотрудников с требованиями внутренних регламентов и методических рекомендаций по ведению учета. Анализ проводился на основе материалов, подтверждающих наличие или отсутствие нарушений в конкретных операциях, что позволило сформировать объективную картину состояния дел в проверяемой сфере.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Аудиторское мнение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По совокупности рассмотренных вопросов и подтвержденных гипотез выявлены существенные недостатки в организации процесса управления арендой коммерческой недвижимости. Аудит показал, что ключевые риски сосредоточены в области документального оформления сделок и корректности отражения операций в бухгалтерском учете.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Было исследовано соответствие порядка ведения и хранения книги регистрации договоров найма жилых помещений государственного и частного жилищных фондов требованиям Постановления Министерства жилищно-коммунального хозяйства Республики Беларусь. Подтверждено, что в отдельных случаях отсутствует системный подход к регистрации договоров, что создает риски потери контроля за сроками действия соглашений и обязанностями сторон. Также проанализирован процесс ведения бухгалтерского учета и составления финансовой отчетности в соответствии с Инструкцией, утвержденной Национальным банком Республики Беларусь. Выявлены случаи, когда операции по арендной плате отражаются в учете с задержкой или без надлежащего документального обоснования, что искажает финансовое положение организации.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Среди позитивных наблюдений можно отметить наличие базовых нормативных документов, регулирующих основные аспекты деятельности. Однако их применение на практике носит фрагментарный характер. Недостатки проявляются в отсутствии единого стандарта обработки входящих и исходящих документов, связанных с арендой. Это приводит к дублированию функций или, напротив, к пробелам в контроле. Риски включают потенциальные финансовые потери из-за просрочки платежей, юридические споры из-за некорректно оформленных договоров и штрафы за нарушение требований законодательства о государственной регистрации и учете.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Для руководства банка это означает необходимость пересмотра внутренних процедур управления недвижимостью. Текущее состояние процессов не обеспечивает достаточного уровня защиты активов и прозрачности финансовой отчетности. Требуется внедрение более жестких контрольных точек на этапах заключения, регистрации и исполнения договоров аренды. Без устранения выявленных недостатков организация подвергается риску системных сбоев в управлении коммерческой недвижимостью, что может негативно сказаться на репутации и финансовых результатах.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Рекомендации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Разработать и утвердить единый регламент ведения книги регистрации договоров аренды, четко определяющий порядок внесения записей и ответственность исполнителей.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Ввести автоматизированный контроль сроков внесения арендной платы с формированием автоматических уведомлений о приближении дедлайнов.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Провести обучение сотрудников бухгалтерии и отдела по работе с недвижимостью требованиям Инструкции об организации ведения бухгалтерского учета.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Усилить внутренний контроль за полнотой и своевременностью отражения операций по аренде в финансовой отчетности.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Пересмотреть должностные инструкции ответственных лиц, включив в них конкретные обязанности по контролю за документооборотом.</w:t>
      </w:r>
    </w:p>
    <w:p>
      <w:pPr>
        <w:spacing w:before="0" w:after="0" w:beforeLines="0" w:afterLines="0" w:beforeAutospacing="0" w:afterAutospacing="0" w:line="240" w:lineRule="auto"/>
        <w:snapToGrid w:val="0"/>
        <w:ind w:left="567"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• Организовать регулярные внутренние ревизии процесса управления арендой для раннего выявления отклонений.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Детализация рекомендаций, включая конкретные сроки внедрения и ответственных лиц, будет представлена в последующих разделах заключения и рабочих документах аудита. Данный раздел является черновиком раздела I, фиксирующим основные выводы и направления улучшений.</w:t>
      </w:r>
    </w:p>
    <w:p>
      <w:pPr>
        <w:spacing w:before="0" w:after="0" w:beforeLines="0" w:afterLines="0" w:beforeAutospacing="0" w:afterAutospacing="0" w:line="240" w:lineRule="auto"/>
        <w:snapToGrid w:val="0"/>
        <w:contextualSpacing/>
      </w:pPr>
      <w:r>
        <w:br w:type="page"/>
      </w:r>
    </w:p>
    <w:p>
      <w:bookmarkStart w:id="2" w:name="sec_III"/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III.</w:t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ab/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Наблюдения по итогам проверки.</w:t>
      </w:r>
      <w:bookmarkEnd w:id="2"/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рамках тематической аудиторской проверки «Проверка аренды коммерческой недвижимости» были проанализированы ключевые аспекты управления арендными обязательствами, включая корректность оформления договоров, соответствие условий нормативным требованиям, а также адекватность отражения операций в бухгалтерском учете. Аудиторская команда сосредоточилась на контроле за соблюдением процедур согласования, оценке рисков, связанных с изменением рыночной конъюнктуры, и проверке полноты документального подтверждения расходов.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Основанием для проведения проверки послужила программа внутреннего аудита, включающая пункты по оценке эффективности использования арендованных площадей и соблюдению финансовой дисциплины. В ходе работы были изучены договоры аренды, акты сверки, платежные документы, а также нормативные правовые акты Республики Беларусь, регулирующие отношения в сфере найма жилых и нежилых помещений, включая Постановление Министерства жилищно-коммунального хозяйства Республики Беларусь от 14 марта 2006 г. №10 [24] и Постановление Совета Министров Республики Беларусь от 31 августа 2011 г. №1164 [22].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Анализ выявленных фактов свидетельствует о наличии системных отклонений в процессах управления арендными отношениями. В частности, зафиксированы случаи несвоевременного оформления документов, отсутствия актуализации условий договоров при изменении рыночных ставок, а также недостаточной детализации учетных записей, что затрудняет контроль за целевым использованием бюджетных средств. Ниже представлены детальные наблюдения по каждой из подтвержденных гипотез.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3" w:name="obs_3_1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3.1. </w:t>
            </w:r>
            <w:bookmarkEnd w:id="3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Несовершенство процедуры согласования и регистрации договоров аренды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ходе проверки установлено, что в организации отсутствует единый регламентированный порядок предварительного согласования проектов договоров аренды коммерческой недвижимости с юридической и финансовой службами до момента их подписания. Это приводит к принятию на себя обязательств, условия которых могут быть экономически невыгодными или юридически рискованными. Согласно нормам, закрепленным в Постановлении Совета Министров Республики Беларусь от 31 августа 2011 г. №1164 [22], субъекты хозяйствования обязаны обеспечивать надлежащий контроль за заключением договоров, что подразумевает наличие внутренних процедур проверки их соответствия законодательству.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Отсутствие централизованного реестра договоров аренды, учитывающего сроки действия, размеры платежей и условия индексации, создает риск потери контроля над обязательствами. Аудитором выявлены случаи, когда договоры заключались без приложения необходимых приложений (схем помещений, актов приема-передачи), что затрудняет последующую сверку фактического использования площадей с договорными условиями.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222222"/>
                <w:sz w:val="24"/>
              </w:rPr>
              <w:t>Элемент контроля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222222"/>
                <w:sz w:val="24"/>
              </w:rPr>
              <w:t>Требование / критерий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222222"/>
                <w:sz w:val="24"/>
              </w:rPr>
              <w:t>Риск при отсутствии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Предварительное согласование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Обязательная виза юриста и финансиста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Заключение невыгодных условий, юридические споры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Реестр договоров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Ведение единого реестра с ключевыми параметрами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Потеря контроля над сроками и платежами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Приложения к договору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Наличие схем и актов приема-передачи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Невозможность верификации площади и состояния объекта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/>
          <w:color w:val="222222"/>
          <w:sz w:val="28"/>
        </w:rPr>
        <w:t>Схема: Проект договора → Юридическая экспертиза → Финансовое обоснование → Подписание → Регистрация в реестре → Хранение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высокий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Необходимо разработать и утвердить Положение о порядке заключения и исполнения договоров аренды, закрепив обязательность предварительного согласования. Следует внедрить электронный реестр договоров с автоматическим уведомлением о приближении сроков окончания действия и индексации ставок.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4" w:name="obs_3_2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3.2. </w:t>
            </w:r>
            <w:bookmarkEnd w:id="4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Отсутствие механизма индексации арендной платы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Анализ договоров аренды показал, что в значительном количестве случаев отсутствуют четкие формулы или порядок индексации арендной платы, привязанные к официальным индикаторам (индекс потребительских цен, курс валюты). Это создает неопределенность в планировании бюджетных расходов и может привести к резкому увеличению финансовой нагрузки на организацию в случае изменения макроэкономических показателей. В соответствии с общими принципами договорного права и нормами, изложенными в Постановлении Министерства жилищно-коммунального хозяйства Республики Беларусь от 14 марта 2006 г. №10 [24], условия договора должны быть определенными и исполнимыми.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Отсутствие согласованного порядка пересмотра ставок вынуждает организацию принимать решения о повышении арендной платы в одностороннем порядке или вступать в длительные переговоры, что нарушает ритмичность расчетов. Аудитором отмечено, что в некоторых договорах предусмотрена возможность изменения ставки по усмотрению арендодателя, что является существенным риском для финансовой устойчивости арендатора.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средний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Рекомендуется при заключении новых договоров и при продлении действующих включать прозрачные формулы индексации, привязанные к официальным статистическим данным. Необходимо провести ревизию действующих договоров и при возможности согласовать фиксированные ставки на период не менее одного года.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5" w:name="obs_3_3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3.3. </w:t>
            </w:r>
            <w:bookmarkEnd w:id="5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Недостаточная детализация бухгалтерского учета арендных обязательств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высокий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6" w:name="obs_3_4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3.4. </w:t>
            </w:r>
            <w:bookmarkEnd w:id="6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Нарушение сроков оплаты арендных платежей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ходе сверки платежных документов с условиями договоров аренды установлено, что в ряде случаев оплата производится с нарушением установленных договором сроков. Это свидетельствует о недостаточной эффективности календарного планирования денежных потоков и отсутствии контроля за своевременностью исполнения обязательств. Просрочка платежей может привести к начислению неустоек, ухудшению деловой репутации организации и возникновению споров с контрагентами.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Аудитором выявлено, что отсутствие автоматизированного напоминания о предстоящих платежах и отсутствие контроля со стороны финансового отдела за статусом платежей являются основными причинами нарушений. В некоторых случаях платежи задерживались из-за отсутствия согласованных лимитов на текущие расходы, что противоречит принципам финансовой дисциплины.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/>
          <w:color w:val="222222"/>
          <w:sz w:val="28"/>
        </w:rPr>
        <w:t>Схема: Установление даты платежа → Формирование платежного календаря → Контроль остатка на счете → Исполнение платежа → Подтверждение оплаты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средний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Необходимо внедрить систему автоматического формирования календаря платежей по аренде и интеграции ее с системой бухгалтерского учета. Следует установить внутренний контроль за наличием достаточных средств на счете за 5 рабочих дней до даты платежа.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7" w:name="obs_3_5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3.5. </w:t>
            </w:r>
            <w:bookmarkEnd w:id="7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Отсутствие оценки рыночной стоимости арендованных площадей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Проверка показала, что организация не проводит регулярную оценку рыночной стоимости арендованных коммерческих площадей. Это лишает руководство объективной информации о том, являются ли текущие арендные ставки экономически обоснованными. В условиях динамично меняющегося рынка недвижимости отсутствие такого контроля может приводить к переплате за аренду, что снижает общую эффективность бизнеса.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Согласно общим принципам управления активами и обязательствами, организация должна стремиться к минимизации издержек. Отсутствие процедуры бенчмаркинга арендных ставок с рыночными показателями является упущением в системе управления затратами. Аудитором рекомендовано использовать данные независимых оценочных компаний или аналитических отчетов по рынку коммерческой недвижимости для сравнения.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низкий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Рекомендуется ежегодно проводить оценку рыночной стоимости арендованных площадей с привлечением независимых экспертов или на основе открытых рыночных данных. Результаты оценки должны использоваться при переговорах с арендодателями о продлении или заключении новых договоров.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8" w:name="obs_3_6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3.6. </w:t>
            </w:r>
            <w:bookmarkEnd w:id="8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Отсутствие контроля за целевым использованием арендованных площадей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Проверка показала, что организация не проводит регулярный мониторинг фактического использования арендованных площадей. В результате часть помещений может простаивать или использоваться не по целевому назначению, что приводит к неэффективным затратам. Отсутствие анализа загрузки площадей лишает руководства возможности оптимизировать структуру арендных обязательств и сократить расходы.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Согласно принципам эффективного управления ресурсами, организация должна обеспечивать рациональное использование всех активов, включая арендованные. Отсутствие системы отчетности по использованию площадей является упущением в системе внутреннего контроля. Аудитором рекомендовано внедрить систему учета загрузки помещений и анализа их эффективности.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низкий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Необходимо внедрить систему мониторинга использования арендованных площадей с ежеквартальной отчетностью. Результаты анализа должны использоваться при принятии решений о расширении, сокращении или перепрофилировании арендованных помещений.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9" w:name="obs_3_7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3.7. </w:t>
            </w:r>
            <w:bookmarkEnd w:id="9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Недостаточная защита прав арендатора при расторжении договоров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Анализ договоров аренды выявил, что в них отсутствуют или недостаточно детализированы условия, регулирующие порядок расторжения договора по инициативе одной из сторон. Это создает юридические риски для организации в случае необходимости досрочного прекращения аренды. Отсутствие четких процедур уведомления, расчета компенсаций и передачи помещений может привести к длительным спорам и финансовым потерям.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соответствии с нормами гражданского законодательства, условия расторжения договора должны быть четко определены. Отсутствие таких условий в договорах аренды коммерческой недвижимости является существенным недостатком, который может быть использован арендодателем для извлечения необоснованных выгод. Аудитором отмечено, что в некоторых договорах предусмотрена возможность одностороннего расторжения арендодателем без компенсации затрат арендатора на ремонт и оборудование.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средний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Рекомендуется при заключении новых договоров включать детальные условия о порядке расторжения, сроках уведомления и порядке расчета компенсаций. Необходимо провести ревизию действующих договоров и при возможности согласовать дополнительные соглашения, защищающие интересы арендатора.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10" w:name="obs_3_8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3.8. </w:t>
            </w:r>
            <w:bookmarkEnd w:id="10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Отсутствие страхования арендованного имущества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Проверка показала, что организация не страхует имущество, находящееся в арендованных помещениях, от рисков повреждения, уничтожения или кражи. Это создает существенный финансовый риск, так как в случае наступления страхового случая организация понесет прямые убытки, которые могут быть значительными. Отсутствие страхования является нарушением принципов риск-менеджмента и финансовой устойчивости.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Согласно общим принципам управления рисками, организация должна принимать меры по минимизации потенциальных убытков. Отсутствие страхования арендованного имущества является упущением в системе управления рисками. Аудитором рекомендовано провести оценку рисков и заключить договоры страхования имущества.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низкий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Необходимо провести оценку рисков, связанных с хранением имущества в арендованных помещениях, и заключить договоры страхования. Следует включить стоимость страховых премий в бюджет расходов на аренду.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11" w:name="obs_3_9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3.9. </w:t>
            </w:r>
            <w:bookmarkEnd w:id="11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Отсутствие системы управления арендными рисками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Комплексный анализ выявил, что в организации отсутствует целостная система управления арендными рисками. Риски, связанные с изменением рыночной конъюнктуры, действиями арендодателя, изменениями законодательства, не идентифицируются системно и не оцениваются. Это приводит к реактивному, а не проактивному управлению арендными обязательствами.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Согласно принципам корпоративного управления, организация должна иметь систему управления рисками, охватывающую все ключевые области деятельности. Отсутствие такой системы в сфере аренды коммерческой недвижимости является существенным недостатком. Аудитором рекомендовано разработать политику управления арендными рисками и внедрить соответствующие процедуры.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/>
          <w:color w:val="222222"/>
          <w:sz w:val="28"/>
        </w:rPr>
        <w:t>Схема: Идентификация рисков → Оценка вероятности и воздействия → Разработка мер митигации → Мониторинг и пересмотр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средний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Необходимо разработать и утвердить Политику управления арендными рисками, включающую процедуры идентификации, оценки и митигации рисков. Следует назначить ответственных лиц за управление арендными рисками и обеспечить их обучение.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tbl>
      <w:tblPr>
        <w:tblW w:type="dxa" w:w="9921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70"/>
      </w:tblGrid>
      <w:tr>
        <w:trPr>
          <w:trHeight w:val="795"/>
        </w:trPr>
        <w:tc>
          <w:tcPr>
            <w:tcW w:type="dxa" w:w="2551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bookmarkStart w:id="12" w:name="obs_3_10"/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8"/>
              </w:rPr>
              <w:t xml:space="preserve">Наблюдение 3.10. </w:t>
            </w:r>
            <w:bookmarkEnd w:id="12"/>
          </w:p>
        </w:tc>
        <w:tc>
          <w:tcPr>
            <w:tcW w:type="dxa" w:w="73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both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222222"/>
                <w:sz w:val="28"/>
                <w:u w:val="single"/>
              </w:rPr>
              <w:t>Обоснованность применения коэффициента спроса при расчете арендной платы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В рамках проверки корректности определения размера арендной платы за недвижимое имущество, находящееся в государственной собственности, аудитом рассматривалась гипотеза о возможном установлении коэффициента спроса вне допустимых пределов или без надлежащего обоснования техническим состоянием объекта. Данный вопрос является критическим для обеспечения справедливости ценообразования и предотвращения рисков искажения оценки стоимости актива, что может повлечь за собой аудиторские оговорки в отношении достоверности финансовой отчетности и соблюдения бюджетного законодательства.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Согласно материалам проверки, коэффициент спроса должен отражать реальную коммерческую выгоду и фактическое состояние объекта аренды. Его некорректное применение, в частности, выход за установленные нормативными актами границы (от 0,3 до 3,0) или отсутствие документального подтверждения технических характеристик, ведет к несправедливому ценообразованию. Это создает риск необоснованного завышения или занижения доходов от аренды, что противоречит принципам осмотрительности и правдивости бухгалтерского учета, закрепленным в Законе Республики Беларусь «О бухгалтерском учете и отчетности» [18].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Нормативной основой для проверки служит Программа проверки (Вопрос 3), которая требует сверки расчетов арендной платы с формулой, установленной соответствующим Положением, с учетом базовой ставки, коэффициентов местонахождения, спроса и дополнительных коэффициентов. Критерием оценки выступает требование об установлении коэффициента спроса в пределах от 0,3 до 3 и его обосновании техническим состоянием объекта и коммерческой выгодой [36]. Аудитором были запрошены документы, подтверждающие техническое состояние объекта, а также решения об установлении конкретных значений коэффициентов.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Анализ выявленных рисков показывает, что при отсутствии четкой методологии определения коэффициента спроса и его привязки к объективным показателям (износ, наличие коммуникаций, локация) банк может нести финансовые потери либо, напротив, создавать необоснованные преимущества для отдельных арендаторов. Это нарушает принцип нейтральности и экономическую обоснованность налогообложения, поскольку арендная плата является объектом налогообложения и источником доходов бюджета [16].</w:t>
      </w:r>
    </w:p>
    <w:tbl>
      <w:tblPr>
        <w:tblW w:type="dxa" w:w="9354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222222"/>
                <w:sz w:val="24"/>
              </w:rPr>
              <w:t>Элемент контроля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222222"/>
                <w:sz w:val="24"/>
              </w:rPr>
              <w:t>Требование нормы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222222"/>
                <w:sz w:val="24"/>
              </w:rPr>
              <w:t>Риск при отсутствии контроля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Диапазон коэффициента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Значение в пределах 0.3 – 3.0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Искажение рыночной стоимости актива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Обоснование значения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Акт технического состояния, коммерческая выгода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Субъективное ценообразование, претензии арендаторов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Решение об установлении коэффициента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beforeLines="0" w:afterLines="0" w:beforeAutospacing="0" w:afterAutospacing="0" w:line="240" w:lineRule="auto"/>
              <w:jc w:val="left"/>
              <w:snapToGrid w:val="0"/>
              <w:contextualSpacing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4"/>
              </w:rPr>
              <w:t>Невозможность верификации расчетов при проверках</w:t>
            </w:r>
          </w:p>
        </w:tc>
      </w:tr>
    </w:tbl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Для минимизации указанных рисков необходимо обеспечить прозрачность процесса формирования арендной платы. Отсутствие документального подтверждения обоснованности коэффициента спроса затрудняет защиту позиции банка при возможных спорах с арендаторами или контрольными органами.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Уровень существенности:</w:t>
      </w: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средний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/>
          <w:color w:val="222222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Аудитор: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</w:t>
      </w: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Объект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 xml:space="preserve">Руководитель объекта аудита: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          Аудиторская рекомендация: 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Обеспечить формирование и хранение в составе договорного дела документов, подтверждающих техническое состояние объекта аренды на дату заключения договора или пересмотра условий. Разработать внутреннюю методику или регламент, фиксирующий порядок определения коэффициента спроса с обязательной ссылкой на конкретные технические параметры объекта и рыночные условия, что позволит обосновать выбранное значение в пределах допустимого диапазона.</w:t>
      </w:r>
    </w:p>
    <w:p>
      <w:pPr>
        <w:spacing w:before="0" w:after="0" w:beforeLines="0" w:afterLines="0" w:beforeAutospacing="0" w:afterAutospacing="0" w:line="240" w:lineRule="auto"/>
        <w:snapToGrid w:val="0"/>
        <w:ind w:firstLine="709"/>
        <w:contextualSpacing/>
        <w:jc w:val="bot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 xml:space="preserve">Срок – </w:t>
      </w:r>
    </w:p>
    <w:p>
      <w:bookmarkStart w:id="13" w:name="sec_IV"/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left"/>
      </w:pP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IV.</w:t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ab/>
      </w:r>
      <w:r>
        <w:rPr>
          <w:rFonts w:ascii="Times New Roman" w:hAnsi="Times New Roman" w:eastAsia="Times New Roman" w:cs="Times New Roman"/>
          <w:b/>
          <w:i w:val="0"/>
          <w:color w:val="222222"/>
          <w:sz w:val="32"/>
        </w:rPr>
        <w:t>Общая информация об аудиторской проверке.</w:t>
      </w:r>
      <w:bookmarkEnd w:id="13"/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Основание проведения аудита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уточняется (приказ / план работы службы внутреннего аудита — заполняет аудитор)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Срок проведения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уточняется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Группа аудиторов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заполняет аудитор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Вид аудита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Тематическая аудиторская проверка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/>
          <w:i w:val="0"/>
          <w:color w:val="222222"/>
          <w:sz w:val="28"/>
        </w:rPr>
        <w:t>Дата составления заключения</w:t>
      </w:r>
    </w:p>
    <w:p>
      <w:pPr>
        <w:spacing w:before="0" w:after="0" w:beforeLines="0" w:afterLines="0" w:beforeAutospacing="0" w:afterAutospacing="0" w:line="240" w:lineRule="auto"/>
        <w:snapToGrid w:val="0"/>
        <w:ind w:firstLine="0"/>
        <w:contextualSpacing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8"/>
        </w:rPr>
        <w:t>заполняет аудитор</w:t>
      </w:r>
    </w:p>
    <w:sectPr w:rsidR="00FC693F" w:rsidRPr="0006063C" w:rsidSect="00034616">
      <w:footerReference w:type="default" r:id="rId9"/>
      <w:footerReference w:type="first" r:id="rId11"/>
      <w:pgSz w:w="11906" w:h="16838"/>
      <w:pgMar w:top="1134" w:right="850" w:bottom="1134" w:left="170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spacing w:before="0" w:after="0" w:beforeLines="0" w:afterLines="0" w:beforeAutospacing="0" w:afterAutospacing="0" w:line="240" w:lineRule="auto"/>
      <w:jc w:val="left"/>
      <w:snapToGrid w:val="0"/>
      <w:contextualSpacing/>
    </w:pPr>
    <w:r>
      <w:rPr>
        <w:rFonts w:ascii="Times New Roman" w:hAnsi="Times New Roman" w:eastAsia="Times New Roman" w:cs="Times New Roman"/>
        <w:b w:val="0"/>
        <w:i/>
        <w:color w:val="222222"/>
        <w:sz w:val="18"/>
      </w:rPr>
      <w:t>Черновик · Аудиторское заключение (черновик) · Проверка аренды коммерческой недвижимости · кейс 78899a2d8dab</w:t>
    </w:r>
    <w:r>
      <w:tab/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t>2</w:t>
    </w:r>
    <w:r>
      <w:rPr>
        <w:rFonts w:ascii="Times New Roman" w:hAnsi="Times New Roman" w:eastAsia="Times New Roman" w:cs="Times New Roman"/>
        <w:b w:val="0"/>
        <w:i w:val="0"/>
        <w:color w:val="222222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beforeLines="0" w:afterLines="0" w:beforeAutospacing="0" w:afterAutospacing="0" w:line="240" w:lineRule="auto"/>
      <w:snapToGrid w:val="0"/>
      <w:contextualSpacing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doNotUseHTMLParagraphAutoSpacing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0" w:after="0" w:beforeLines="0" w:afterLines="0" w:beforeAutospacing="0" w:afterAutospacing="0" w:line="240" w:lineRule="auto"/>
        <w:snapToGrid w:val="0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before="0" w:after="0" w:beforeLines="0" w:afterLines="0" w:beforeAutospacing="0" w:afterAutospacing="0" w:line="240" w:lineRule="auto"/>
      <w:snapToGrid w:val="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before="0" w:after="0" w:beforeLines="0" w:afterLines="0" w:beforeAutospacing="0" w:afterAutospacing="0" w:line="240" w:lineRule="auto"/>
      <w:snapToGrid w:val="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0"/>
      <w:snapToGrid w:val="0"/>
      <w:contextualSpacing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1"/>
      <w:snapToGrid w:val="0"/>
      <w:contextualSpacing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2"/>
      <w:snapToGrid w:val="0"/>
      <w:contextualSpacing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3"/>
      <w:snapToGrid w:val="0"/>
      <w:contextualSpacing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4"/>
      <w:snapToGrid w:val="0"/>
      <w:contextualSpacing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5"/>
      <w:snapToGrid w:val="0"/>
      <w:contextualSpacing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6"/>
      <w:snapToGrid w:val="0"/>
      <w:contextualSpacing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7"/>
      <w:snapToGrid w:val="0"/>
      <w:contextualSpacing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beforeLines="0" w:afterLines="0" w:beforeAutospacing="0" w:afterAutospacing="0" w:line="240" w:lineRule="auto"/>
      <w:outlineLvl w:val="8"/>
      <w:snapToGrid w:val="0"/>
      <w:contextualSpacing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before="0" w:after="0" w:beforeLines="0" w:afterLines="0" w:beforeAutospacing="0" w:afterAutospacing="0" w:line="240" w:lineRule="auto"/>
      <w:snapToGrid w:val="0"/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before="0" w:after="0" w:beforeLines="0" w:afterLines="0" w:beforeAutospacing="0" w:afterAutospacing="0" w:line="240" w:lineRule="auto"/>
      <w:snapToGrid w:val="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0" w:after="0" w:beforeLines="0" w:afterLines="0" w:beforeAutospacing="0" w:afterAutospacing="0" w:line="240" w:lineRule="auto"/>
      <w:contextualSpacing/>
      <w:snapToGrid w:val="0"/>
    </w:pPr>
    <w:rPr>
      <w:rFonts w:asciiTheme="majorHAnsi" w:eastAsiaTheme="majorEastAsia" w:hAnsiTheme="majorHAnsi" w:cstheme="majorBidi"/>
      <w:color w:val="17365D" w:themeColor="text2" w:themeShade="BF"/>
      <w:spacing w:before="0" w:after="0" w:beforeLines="0" w:afterLines="0" w:beforeAutospacing="0" w:afterAutospacing="0" w:line="240" w:lineRule="auto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before="0" w:after="0" w:beforeLines="0" w:afterLines="0" w:beforeAutospacing="0" w:afterAutospacing="0" w:line="240" w:lineRule="auto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i/>
      <w:iCs/>
      <w:color w:val="4F81BD" w:themeColor="accent1"/>
      <w:spacing w:before="0" w:after="0" w:beforeLines="0" w:afterLines="0" w:beforeAutospacing="0" w:afterAutospacing="0" w:line="240" w:lineRule="auto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before="0" w:after="0" w:beforeLines="0" w:afterLines="0" w:beforeAutospacing="0" w:afterAutospacing="0" w:line="240" w:lineRule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beforeLines="0" w:afterLines="0" w:beforeAutospacing="0" w:afterAutospacing="0" w:line="240" w:lineRule="auto"/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0" w:beforeLines="0" w:afterLines="0" w:beforeAutospacing="0" w:afterAutospacing="0" w:line="240" w:lineRule="auto"/>
      <w:snapToGrid w:val="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before="0" w:after="0" w:beforeLines="0" w:afterLines="0" w:beforeAutospacing="0" w:afterAutospacing="0" w:line="240" w:lineRule="auto"/>
      <w:snapToGrid w:val="0"/>
      <w:contextualSpacing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0" w:beforeLines="0" w:afterLines="0" w:beforeAutospacing="0" w:afterAutospacing="0" w:line="240" w:lineRule="auto"/>
      <w:snapToGrid w:val="0"/>
      <w:contextualSpacing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beforeLines="0" w:afterLines="0" w:beforeAutospacing="0" w:afterAutospacing="0" w:line="240" w:lineRule="auto"/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beforeLines="0" w:afterLines="0" w:beforeAutospacing="0" w:afterAutospacing="0" w:line="240" w:lineRule="auto"/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beforeLines="0" w:afterLines="0" w:beforeAutospacing="0" w:afterAutospacing="0" w:line="240" w:lineRule="auto"/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beforeLines="0" w:afterLines="0" w:beforeAutospacing="0" w:afterAutospacing="0" w:line="240" w:lineRule="auto"/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beforeLines="0" w:afterLines="0" w:beforeAutospacing="0" w:afterAutospacing="0" w:line="240" w:lineRule="auto"/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beforeLines="0" w:afterLines="0" w:beforeAutospacing="0" w:afterAutospacing="0" w:line="240" w:lineRule="auto"/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beforeLines="0" w:afterLines="0" w:beforeAutospacing="0" w:afterAutospacing="0" w:line="240" w:lineRule="auto"/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beforeLines="0" w:afterLines="0" w:beforeAutospacing="0" w:afterAutospacing="0" w:line="240" w:lineRule="auto"/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beforeLines="0" w:afterLines="0" w:beforeAutospacing="0" w:afterAutospacing="0" w:line="240" w:lineRule="auto"/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before="0" w:after="0" w:beforeLines="0" w:afterLines="0" w:beforeAutospacing="0" w:afterAutospacing="0" w:line="240" w:lineRule="auto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0" w:beforeLines="0" w:afterLines="0" w:beforeAutospacing="0" w:afterAutospacing="0" w:line="240" w:lineRule="auto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0" w:beforeLines="0" w:afterLines="0" w:beforeAutospacing="0" w:afterAutospacing="0" w:line="240" w:lineRule="auto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beforeLines="0" w:afterLines="0" w:beforeAutospacing="0" w:afterAutospacing="0" w:line="240" w:lineRule="auto"/>
      <w:snapToGrid w:val="0"/>
      <w:contextualSpacing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beforeLines="0" w:afterLines="0" w:beforeAutospacing="0" w:afterAutospacing="0" w:line="240" w:lineRule="auto"/>
      <w:ind w:left="936" w:right="936"/>
      <w:snapToGrid w:val="0"/>
      <w:contextualSpacing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before="0" w:after="0" w:beforeLines="0" w:afterLines="0" w:beforeAutospacing="0" w:afterAutospacing="0" w:line="240" w:lineRule="auto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before="0" w:after="0" w:beforeLines="0" w:afterLines="0" w:beforeAutospacing="0" w:afterAutospacing="0" w:line="240" w:lineRule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beforeLines="0" w:afterLines="0" w:beforeAutospacing="0" w:afterAutospacing="0" w:line="240" w:lineRule="auto"/>
      <w:outlineLvl w:val="9"/>
      <w:snapToGrid w:val="0"/>
      <w:contextualSpacing/>
    </w:pPr>
  </w:style>
  <w:style w:type="table" w:styleId="TableGrid">
    <w:name w:val="Table Grid"/>
    <w:basedOn w:val="TableNormal"/>
    <w:uiPriority w:val="59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beforeLines="0" w:afterLines="0" w:beforeAutospacing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beforeLines="0" w:afterLines="0" w:beforeAutospacing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before="0" w:after="0" w:beforeLines="0" w:afterLines="0" w:beforeAutospacing="0" w:afterAutospacing="0" w:line="240" w:lineRule="auto"/>
      <w:snapToGrid w:val="0"/>
      <w:contextualSpacing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