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 w:beforeLines="0" w:afterLines="0"/>
        <w:snapToGrid w:val="0"/>
        <w:contextualSpacing/>
        <w:jc w:val="center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nclusion_cov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1260000</wp:posOffset>
            </wp:positionH>
            <wp:positionV relativeFrom="page">
              <wp:posOffset>2232000</wp:posOffset>
            </wp:positionV>
            <wp:extent cx="5040000" cy="648000"/>
            <wp:effectExtent l="0" t="0" r="0" b="0"/>
            <wp:wrapNone/>
            <wp:docPr id="101" name="Cover 1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40000" cy="6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  <w:t>Аудиторское заключение</w:t>
                        </w:r>
                      </w:p>
                    </w:txbxContent>
                  </wps:txbx>
                  <wps:bodyPr wrap="square" lIns="0" tIns="0" rIns="0" bIns="0" anchor="ctr"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1260000</wp:posOffset>
            </wp:positionH>
            <wp:positionV relativeFrom="page">
              <wp:posOffset>3384000</wp:posOffset>
            </wp:positionV>
            <wp:extent cx="5040000" cy="1620000"/>
            <wp:effectExtent l="0" t="0" r="0" b="0"/>
            <wp:wrapNone/>
            <wp:docPr id="102" name="Cover 1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40000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Проверка аренды коммерческой недвижимости</w:t>
                        </w:r>
                      </w:p>
                    </w:txbxContent>
                  </wps:txbx>
                  <wps:bodyPr wrap="square" lIns="0" tIns="0" rIns="0" bIns="0" anchor="ctr"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1080000</wp:posOffset>
            </wp:positionH>
            <wp:positionV relativeFrom="page">
              <wp:posOffset>9576000</wp:posOffset>
            </wp:positionV>
            <wp:extent cx="2088000" cy="468000"/>
            <wp:effectExtent l="0" t="0" r="0" b="0"/>
            <wp:wrapNone/>
            <wp:docPr id="103" name="Cover 1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88000" cy="4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>Минск 2026</w:t>
                        </w:r>
                      </w:p>
                    </w:txbxContent>
                  </wps:txbx>
                  <wps:bodyPr wrap="square" lIns="0" tIns="0" rIns="0" bIns="0" anchor="ctr"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3240000</wp:posOffset>
            </wp:positionH>
            <wp:positionV relativeFrom="page">
              <wp:posOffset>9576000</wp:posOffset>
            </wp:positionV>
            <wp:extent cx="3671999" cy="468000"/>
            <wp:effectExtent l="0" t="0" r="0" b="0"/>
            <wp:wrapNone/>
            <wp:docPr id="104" name="Cover 1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71999" cy="4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right"/>
                          <w:spacing w:before="0" w:after="0" w:line="240" w:lineRule="auto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>Департамент внутреннего аудита</w:t>
                        </w:r>
                      </w:p>
                    </w:txbxContent>
                  </wps:txbx>
                  <wps:bodyPr wrap="square" lIns="0" tIns="0" rIns="0" bIns="0" anchor="ctr"/>
                </wps:wsp>
              </a:graphicData>
            </a:graphic>
          </wp:anchor>
        </w:drawing>
      </w:r>
      <w:r>
        <w:br w:type="page"/>
      </w:r>
    </w:p>
    <w:p>
      <w:pPr>
        <w:spacing w:before="0" w:after="0" w:line="240" w:lineRule="auto" w:beforeLines="0" w:afterLines="0"/>
        <w:snapToGrid w:val="0"/>
        <w:ind w:firstLine="0"/>
        <w:contextualSpacing/>
        <w:jc w:val="left"/>
      </w:pPr>
      <w:r>
        <w:rPr>
          <w:rFonts w:ascii="Times New Roman" w:hAnsi="Times New Roman" w:eastAsia="Times New Roman" w:cs="Times New Roman"/>
          <w:b/>
          <w:i w:val="0"/>
          <w:color w:val="222222"/>
          <w:sz w:val="32"/>
        </w:rPr>
        <w:t>Содержание</w:t>
      </w:r>
    </w:p>
    <w:p>
      <w:pPr>
        <w:spacing w:before="0" w:after="0" w:line="240" w:lineRule="auto" w:beforeLines="0" w:afterLines="0"/>
        <w:tabs>
          <w:tab w:pos="9071" w:val="right" w:leader="dot"/>
        </w:tabs>
        <w:snapToGrid w:val="0"/>
        <w:ind w:firstLine="0" w:left="0"/>
        <w:contextualSpacing/>
        <w:jc w:val="left"/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>I.</w:t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 xml:space="preserve">  </w:t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Аудиторское мнение по итогам проверки.</w:t>
      </w:r>
      <w:r>
        <w:tab/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3</w:t>
      </w:r>
    </w:p>
    <w:p>
      <w:pPr>
        <w:spacing w:before="0" w:after="0" w:line="240" w:lineRule="auto" w:beforeLines="0" w:afterLines="0"/>
        <w:tabs>
          <w:tab w:pos="9071" w:val="right" w:leader="dot"/>
        </w:tabs>
        <w:snapToGrid w:val="0"/>
        <w:ind w:firstLine="0" w:left="0"/>
        <w:contextualSpacing/>
        <w:jc w:val="left"/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>II.</w:t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 xml:space="preserve">  </w:t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Основные результаты аудита и итоговые аудиторские рекомендации.</w:t>
      </w:r>
      <w:r>
        <w:tab/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—</w:t>
      </w:r>
    </w:p>
    <w:p>
      <w:pPr>
        <w:spacing w:before="0" w:after="0" w:line="240" w:lineRule="auto" w:beforeLines="0" w:afterLines="0"/>
        <w:tabs>
          <w:tab w:pos="9071" w:val="right" w:leader="dot"/>
        </w:tabs>
        <w:snapToGrid w:val="0"/>
        <w:ind w:firstLine="0" w:left="0"/>
        <w:contextualSpacing/>
        <w:jc w:val="left"/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>III.</w:t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 xml:space="preserve">  </w:t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Учёт аренды и сверка договоров.</w:t>
      </w:r>
      <w:r>
        <w:tab/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4</w:t>
      </w:r>
    </w:p>
    <w:p>
      <w:pPr>
        <w:spacing w:before="0" w:after="0" w:line="240" w:lineRule="auto" w:beforeLines="0" w:afterLines="0"/>
        <w:tabs>
          <w:tab w:pos="9071" w:val="right" w:leader="dot"/>
        </w:tabs>
        <w:snapToGrid w:val="0"/>
        <w:ind w:firstLine="0" w:left="567"/>
        <w:contextualSpacing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3.1.  Неполная сверка договоров аренды.</w:t>
      </w:r>
      <w:r>
        <w:tab/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4</w:t>
      </w:r>
    </w:p>
    <w:p>
      <w:pPr>
        <w:spacing w:before="0" w:after="0" w:line="240" w:lineRule="auto" w:beforeLines="0" w:afterLines="0"/>
        <w:tabs>
          <w:tab w:pos="9071" w:val="right" w:leader="dot"/>
        </w:tabs>
        <w:snapToGrid w:val="0"/>
        <w:ind w:firstLine="0" w:left="567"/>
        <w:contextualSpacing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3.2.  Своевременность отражения НДС.</w:t>
      </w:r>
      <w:r>
        <w:tab/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4</w:t>
      </w:r>
    </w:p>
    <w:p>
      <w:pPr>
        <w:spacing w:before="0" w:after="0" w:line="240" w:lineRule="auto" w:beforeLines="0" w:afterLines="0"/>
        <w:tabs>
          <w:tab w:pos="9071" w:val="right" w:leader="dot"/>
        </w:tabs>
        <w:snapToGrid w:val="0"/>
        <w:ind w:firstLine="0" w:left="0"/>
        <w:contextualSpacing/>
        <w:jc w:val="left"/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>IV.</w:t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 xml:space="preserve">  </w:t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Общая информация об аудиторской проверке.</w:t>
      </w:r>
      <w:r>
        <w:tab/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5</w:t>
      </w:r>
    </w:p>
    <w:p>
      <w:pPr>
        <w:spacing w:before="0" w:after="0" w:line="240" w:lineRule="auto" w:beforeLines="0" w:afterLines="0"/>
        <w:snapToGrid w:val="0"/>
        <w:contextualSpacing/>
      </w:pPr>
      <w:r>
        <w:br w:type="page"/>
      </w:r>
    </w:p>
    <w:p>
      <w:pPr>
        <w:spacing w:before="0" w:after="0" w:line="240" w:lineRule="auto" w:beforeLines="0" w:afterLines="0"/>
        <w:jc w:val="center"/>
        <w:snapToGrid w:val="0"/>
        <w:contextualSpacing/>
      </w:pPr>
      <w:r>
        <w:rPr>
          <w:rFonts w:ascii="Times New Roman" w:hAnsi="Times New Roman" w:eastAsia="Times New Roman" w:cs="Times New Roman"/>
          <w:b/>
          <w:i w:val="0"/>
          <w:color w:val="222222"/>
          <w:sz w:val="32"/>
        </w:rPr>
        <w:t>Проверка аренды коммерческой недвижимости</w:t>
      </w:r>
    </w:p>
    <w:p>
      <w:bookmarkStart w:id="1" w:name="sec_I"/>
      <w:pPr>
        <w:spacing w:before="0" w:after="0" w:line="240" w:lineRule="auto" w:beforeLines="0" w:afterLines="0"/>
        <w:jc w:val="center"/>
        <w:snapToGrid w:val="0"/>
        <w:contextualSpacing/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>I. Аудиторское мнение по итогам проверки</w:t>
      </w:r>
      <w:bookmarkEnd w:id="1"/>
    </w:p>
    <w:p>
      <w:pPr>
        <w:spacing w:before="0" w:after="0" w:line="240" w:lineRule="auto" w:beforeLines="0" w:afterLines="0"/>
        <w:snapToGrid w:val="0"/>
        <w:ind w:firstLine="0"/>
        <w:contextualSpacing/>
        <w:jc w:val="left"/>
      </w:pPr>
      <w:r>
        <w:rPr>
          <w:rFonts w:ascii="Times New Roman" w:hAnsi="Times New Roman" w:eastAsia="Times New Roman" w:cs="Times New Roman"/>
          <w:b/>
          <w:i w:val="0"/>
          <w:color w:val="222222"/>
          <w:sz w:val="32"/>
        </w:rPr>
        <w:t>Аудиторское мнение</w:t>
      </w:r>
    </w:p>
    <w:p>
      <w:pPr>
        <w:spacing w:before="0" w:after="0" w:line="240" w:lineRule="auto" w:beforeLines="0" w:afterLines="0"/>
        <w:snapToGrid w:val="0"/>
        <w:ind w:firstLine="709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По подтверждённым гипотезам отмечается риск учёта аренды.</w:t>
      </w:r>
    </w:p>
    <w:p>
      <w:pPr>
        <w:spacing w:before="0" w:after="0" w:line="240" w:lineRule="auto" w:beforeLines="0" w:afterLines="0"/>
        <w:snapToGrid w:val="0"/>
        <w:contextualSpacing/>
      </w:pPr>
      <w:r>
        <w:br w:type="page"/>
      </w:r>
    </w:p>
    <w:p>
      <w:bookmarkStart w:id="2" w:name="sec_III"/>
      <w:pPr>
        <w:spacing w:before="0" w:after="0" w:line="240" w:lineRule="auto" w:beforeLines="0" w:afterLines="0"/>
        <w:snapToGrid w:val="0"/>
        <w:ind w:firstLine="0"/>
        <w:contextualSpacing/>
        <w:jc w:val="left"/>
      </w:pPr>
      <w:r>
        <w:rPr>
          <w:rFonts w:ascii="Times New Roman" w:hAnsi="Times New Roman" w:eastAsia="Times New Roman" w:cs="Times New Roman"/>
          <w:b/>
          <w:i w:val="0"/>
          <w:color w:val="222222"/>
          <w:sz w:val="32"/>
        </w:rPr>
        <w:t>III.</w:t>
      </w:r>
      <w:r>
        <w:rPr>
          <w:rFonts w:ascii="Times New Roman" w:hAnsi="Times New Roman" w:eastAsia="Times New Roman" w:cs="Times New Roman"/>
          <w:b/>
          <w:i w:val="0"/>
          <w:color w:val="222222"/>
          <w:sz w:val="32"/>
        </w:rPr>
        <w:tab/>
      </w:r>
      <w:r>
        <w:rPr>
          <w:rFonts w:ascii="Times New Roman" w:hAnsi="Times New Roman" w:eastAsia="Times New Roman" w:cs="Times New Roman"/>
          <w:b/>
          <w:i w:val="0"/>
          <w:color w:val="222222"/>
          <w:sz w:val="32"/>
        </w:rPr>
        <w:t>Учёт аренды и сверка договоров.</w:t>
      </w:r>
      <w:bookmarkEnd w:id="2"/>
    </w:p>
    <w:p>
      <w:pPr>
        <w:spacing w:before="0" w:after="0" w:line="240" w:lineRule="auto" w:beforeLines="0" w:afterLines="0"/>
        <w:snapToGrid w:val="0"/>
        <w:ind w:firstLine="709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В ходе проверки рассмотрены вопросы отражения арендных платежей.</w:t>
      </w:r>
    </w:p>
    <w:tbl>
      <w:tblPr>
        <w:tblW w:type="dxa" w:w="9921"/>
        <w:tblLook w:firstColumn="1" w:firstRow="1" w:lastColumn="0" w:lastRow="0" w:noHBand="0" w:noVBand="1" w:val="04A0"/>
        <w:tblLayout w:type="fixed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51"/>
        <w:gridCol w:w="7370"/>
      </w:tblGrid>
      <w:tr>
        <w:trPr>
          <w:trHeight w:val="795"/>
        </w:trPr>
        <w:tc>
          <w:tcPr>
            <w:tcW w:type="dxa" w:w="2551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bookmarkStart w:id="3" w:name="obs_3_1"/>
            <w:pPr>
              <w:spacing w:before="0" w:after="0" w:line="240" w:lineRule="auto" w:beforeLines="0" w:afterLines="0"/>
              <w:jc w:val="left"/>
              <w:snapToGrid w:val="0"/>
              <w:contextualSpacing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8"/>
              </w:rPr>
              <w:t xml:space="preserve">Наблюдение 3.1. </w:t>
            </w:r>
            <w:bookmarkEnd w:id="3"/>
          </w:p>
        </w:tc>
        <w:tc>
          <w:tcPr>
            <w:tcW w:type="dxa" w:w="7370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 w:beforeLines="0" w:afterLines="0"/>
              <w:jc w:val="both"/>
              <w:snapToGrid w:val="0"/>
              <w:contextualSpacing/>
            </w:pPr>
            <w:r>
              <w:rPr>
                <w:rFonts w:ascii="Times New Roman" w:hAnsi="Times New Roman" w:eastAsia="Times New Roman" w:cs="Times New Roman"/>
                <w:b w:val="0"/>
                <w:i/>
                <w:color w:val="222222"/>
                <w:sz w:val="28"/>
                <w:u w:val="single"/>
              </w:rPr>
              <w:t>Неполная сверка договоров аренды</w:t>
            </w:r>
          </w:p>
        </w:tc>
      </w:tr>
    </w:tbl>
    <w:p>
      <w:pPr>
        <w:spacing w:before="0" w:after="0" w:line="240" w:lineRule="auto" w:beforeLines="0" w:afterLines="0"/>
        <w:snapToGrid w:val="0"/>
        <w:ind w:firstLine="709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По подтверждённой гипотезе отмечается риск неполного отражения платежей по договорам аренды.</w:t>
      </w:r>
    </w:p>
    <w:p>
      <w:pPr>
        <w:spacing w:before="0" w:after="0" w:line="240" w:lineRule="auto" w:beforeLines="0" w:afterLines="0"/>
        <w:snapToGrid w:val="0"/>
        <w:ind w:firstLine="709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Контроль сверки регистров с договорами требует усиления.</w:t>
      </w:r>
    </w:p>
    <w:p>
      <w:pPr>
        <w:spacing w:before="0" w:after="0" w:line="240" w:lineRule="auto" w:beforeLines="0" w:afterLines="0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Уровень существенности:</w:t>
      </w: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 xml:space="preserve"> высокий</w:t>
      </w:r>
    </w:p>
    <w:p>
      <w:pPr>
        <w:spacing w:before="0" w:after="0" w:line="240" w:lineRule="auto" w:beforeLines="0" w:afterLines="0"/>
        <w:snapToGrid w:val="0"/>
        <w:ind w:firstLine="0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/>
          <w:i/>
          <w:color w:val="222222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Аудитор:</w:t>
      </w:r>
    </w:p>
    <w:p>
      <w:pPr>
        <w:spacing w:before="0" w:after="0" w:line="240" w:lineRule="auto" w:beforeLines="0" w:afterLines="0"/>
        <w:snapToGrid w:val="0"/>
        <w:ind w:firstLine="0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 xml:space="preserve">          </w:t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 xml:space="preserve">Объект аудита: </w:t>
      </w:r>
    </w:p>
    <w:p>
      <w:pPr>
        <w:spacing w:before="0" w:after="0" w:line="240" w:lineRule="auto" w:beforeLines="0" w:afterLines="0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 xml:space="preserve">Руководитель объекта аудита: </w:t>
      </w:r>
    </w:p>
    <w:p>
      <w:pPr>
        <w:spacing w:before="0" w:after="0" w:line="240" w:lineRule="auto" w:beforeLines="0" w:afterLines="0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>
      <w:pPr>
        <w:spacing w:before="0" w:after="0" w:line="240" w:lineRule="auto" w:beforeLines="0" w:afterLines="0"/>
        <w:snapToGrid w:val="0"/>
        <w:ind w:firstLine="0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 xml:space="preserve">          Аудиторская рекомендация: </w:t>
      </w:r>
    </w:p>
    <w:p>
      <w:pPr>
        <w:spacing w:before="0" w:after="0" w:line="240" w:lineRule="auto" w:beforeLines="0" w:afterLines="0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Обеспечить регулярную сверку регистров аренды с действующими договорами.</w:t>
      </w:r>
    </w:p>
    <w:p>
      <w:pPr>
        <w:spacing w:before="0" w:after="0" w:line="240" w:lineRule="auto" w:beforeLines="0" w:afterLines="0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 xml:space="preserve">Срок – </w:t>
      </w:r>
    </w:p>
    <w:tbl>
      <w:tblPr>
        <w:tblW w:type="dxa" w:w="9921"/>
        <w:tblLook w:firstColumn="1" w:firstRow="1" w:lastColumn="0" w:lastRow="0" w:noHBand="0" w:noVBand="1" w:val="04A0"/>
        <w:tblLayout w:type="fixed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51"/>
        <w:gridCol w:w="7370"/>
      </w:tblGrid>
      <w:tr>
        <w:trPr>
          <w:trHeight w:val="795"/>
        </w:trPr>
        <w:tc>
          <w:tcPr>
            <w:tcW w:type="dxa" w:w="2551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bookmarkStart w:id="4" w:name="obs_3_2"/>
            <w:pPr>
              <w:spacing w:before="0" w:after="0" w:line="240" w:lineRule="auto" w:beforeLines="0" w:afterLines="0"/>
              <w:jc w:val="left"/>
              <w:snapToGrid w:val="0"/>
              <w:contextualSpacing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8"/>
              </w:rPr>
              <w:t xml:space="preserve">Наблюдение 3.2. </w:t>
            </w:r>
            <w:bookmarkEnd w:id="4"/>
          </w:p>
        </w:tc>
        <w:tc>
          <w:tcPr>
            <w:tcW w:type="dxa" w:w="7370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 w:beforeLines="0" w:afterLines="0"/>
              <w:jc w:val="both"/>
              <w:snapToGrid w:val="0"/>
              <w:contextualSpacing/>
            </w:pPr>
            <w:r>
              <w:rPr>
                <w:rFonts w:ascii="Times New Roman" w:hAnsi="Times New Roman" w:eastAsia="Times New Roman" w:cs="Times New Roman"/>
                <w:b w:val="0"/>
                <w:i/>
                <w:color w:val="222222"/>
                <w:sz w:val="28"/>
                <w:u w:val="single"/>
              </w:rPr>
              <w:t>Своевременность отражения НДС</w:t>
            </w:r>
          </w:p>
        </w:tc>
      </w:tr>
    </w:tbl>
    <w:p>
      <w:pPr>
        <w:spacing w:before="0" w:after="0" w:line="240" w:lineRule="auto" w:beforeLines="0" w:afterLines="0"/>
        <w:snapToGrid w:val="0"/>
        <w:ind w:firstLine="709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Отмечается риск несвоевременного отражения НДС по арендным операциям.</w:t>
      </w:r>
    </w:p>
    <w:p>
      <w:pPr>
        <w:spacing w:before="0" w:after="0" w:line="240" w:lineRule="auto" w:beforeLines="0" w:afterLines="0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Уровень существенности:</w:t>
      </w: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 xml:space="preserve"> средний</w:t>
      </w:r>
    </w:p>
    <w:p>
      <w:pPr>
        <w:spacing w:before="0" w:after="0" w:line="240" w:lineRule="auto" w:beforeLines="0" w:afterLines="0"/>
        <w:snapToGrid w:val="0"/>
        <w:ind w:firstLine="0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/>
          <w:i/>
          <w:color w:val="222222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Аудитор:</w:t>
      </w:r>
    </w:p>
    <w:p>
      <w:pPr>
        <w:spacing w:before="0" w:after="0" w:line="240" w:lineRule="auto" w:beforeLines="0" w:afterLines="0"/>
        <w:snapToGrid w:val="0"/>
        <w:ind w:firstLine="0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 xml:space="preserve">          </w:t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 xml:space="preserve">Объект аудита: </w:t>
      </w:r>
    </w:p>
    <w:p>
      <w:pPr>
        <w:spacing w:before="0" w:after="0" w:line="240" w:lineRule="auto" w:beforeLines="0" w:afterLines="0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 xml:space="preserve">Руководитель объекта аудита: </w:t>
      </w:r>
    </w:p>
    <w:p>
      <w:pPr>
        <w:spacing w:before="0" w:after="0" w:line="240" w:lineRule="auto" w:beforeLines="0" w:afterLines="0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>
      <w:pPr>
        <w:spacing w:before="0" w:after="0" w:line="240" w:lineRule="auto" w:beforeLines="0" w:afterLines="0"/>
        <w:snapToGrid w:val="0"/>
        <w:ind w:firstLine="0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 xml:space="preserve">          Аудиторская рекомендация: </w:t>
      </w:r>
    </w:p>
    <w:p>
      <w:pPr>
        <w:spacing w:before="0" w:after="0" w:line="240" w:lineRule="auto" w:beforeLines="0" w:afterLines="0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Актуализировать контрольные процедуры по срокам отражения НДС.</w:t>
      </w:r>
    </w:p>
    <w:p>
      <w:pPr>
        <w:spacing w:before="0" w:after="0" w:line="240" w:lineRule="auto" w:beforeLines="0" w:afterLines="0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 xml:space="preserve">Срок – </w:t>
      </w:r>
    </w:p>
    <w:p>
      <w:bookmarkStart w:id="5" w:name="sec_IV"/>
      <w:pPr>
        <w:spacing w:before="0" w:after="0" w:line="240" w:lineRule="auto" w:beforeLines="0" w:afterLines="0"/>
        <w:snapToGrid w:val="0"/>
        <w:ind w:firstLine="0"/>
        <w:contextualSpacing/>
        <w:jc w:val="left"/>
      </w:pPr>
      <w:r>
        <w:rPr>
          <w:rFonts w:ascii="Times New Roman" w:hAnsi="Times New Roman" w:eastAsia="Times New Roman" w:cs="Times New Roman"/>
          <w:b/>
          <w:i w:val="0"/>
          <w:color w:val="222222"/>
          <w:sz w:val="32"/>
        </w:rPr>
        <w:t>IV.</w:t>
      </w:r>
      <w:r>
        <w:rPr>
          <w:rFonts w:ascii="Times New Roman" w:hAnsi="Times New Roman" w:eastAsia="Times New Roman" w:cs="Times New Roman"/>
          <w:b/>
          <w:i w:val="0"/>
          <w:color w:val="222222"/>
          <w:sz w:val="32"/>
        </w:rPr>
        <w:tab/>
      </w:r>
      <w:r>
        <w:rPr>
          <w:rFonts w:ascii="Times New Roman" w:hAnsi="Times New Roman" w:eastAsia="Times New Roman" w:cs="Times New Roman"/>
          <w:b/>
          <w:i w:val="0"/>
          <w:color w:val="222222"/>
          <w:sz w:val="32"/>
        </w:rPr>
        <w:t>Общая информация об аудиторской проверке.</w:t>
      </w:r>
      <w:bookmarkEnd w:id="5"/>
    </w:p>
    <w:p>
      <w:pPr>
        <w:spacing w:before="0" w:after="0" w:line="240" w:lineRule="auto" w:beforeLines="0" w:afterLines="0"/>
        <w:snapToGrid w:val="0"/>
        <w:ind w:firstLine="0"/>
        <w:contextualSpacing/>
        <w:jc w:val="both"/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>Вид аудита</w:t>
      </w:r>
    </w:p>
    <w:p>
      <w:pPr>
        <w:spacing w:before="0" w:after="0" w:line="240" w:lineRule="auto" w:beforeLines="0" w:afterLines="0"/>
        <w:snapToGrid w:val="0"/>
        <w:ind w:firstLine="0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Тематическая аудиторская проверка</w:t>
      </w:r>
    </w:p>
    <w:p>
      <w:pPr>
        <w:spacing w:before="0" w:after="0" w:line="240" w:lineRule="auto" w:beforeLines="0" w:afterLines="0"/>
        <w:snapToGrid w:val="0"/>
        <w:ind w:firstLine="0"/>
        <w:contextualSpacing/>
        <w:jc w:val="both"/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>Основание проведения аудита</w:t>
      </w:r>
    </w:p>
    <w:p>
      <w:pPr>
        <w:spacing w:before="0" w:after="0" w:line="240" w:lineRule="auto" w:beforeLines="0" w:afterLines="0"/>
        <w:snapToGrid w:val="0"/>
        <w:ind w:firstLine="0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уточняется (приказ / план работы службы внутреннего аудита — заполняет аудитор)</w:t>
      </w:r>
    </w:p>
    <w:p>
      <w:pPr>
        <w:spacing w:before="0" w:after="0" w:line="240" w:lineRule="auto" w:beforeLines="0" w:afterLines="0"/>
        <w:snapToGrid w:val="0"/>
        <w:ind w:firstLine="0"/>
        <w:contextualSpacing/>
        <w:jc w:val="both"/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>Срок проведения</w:t>
      </w:r>
    </w:p>
    <w:p>
      <w:pPr>
        <w:spacing w:before="0" w:after="0" w:line="240" w:lineRule="auto" w:beforeLines="0" w:afterLines="0"/>
        <w:snapToGrid w:val="0"/>
        <w:ind w:firstLine="0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уточняется</w:t>
      </w:r>
    </w:p>
    <w:p>
      <w:pPr>
        <w:spacing w:before="0" w:after="0" w:line="240" w:lineRule="auto" w:beforeLines="0" w:afterLines="0"/>
        <w:snapToGrid w:val="0"/>
        <w:ind w:firstLine="0"/>
        <w:contextualSpacing/>
        <w:jc w:val="both"/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>Группа аудиторов</w:t>
      </w:r>
    </w:p>
    <w:p>
      <w:pPr>
        <w:spacing w:before="0" w:after="0" w:line="240" w:lineRule="auto" w:beforeLines="0" w:afterLines="0"/>
        <w:snapToGrid w:val="0"/>
        <w:ind w:firstLine="0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заполняет аудитор</w:t>
      </w:r>
    </w:p>
    <w:p>
      <w:pPr>
        <w:spacing w:before="0" w:after="0" w:line="240" w:lineRule="auto" w:beforeLines="0" w:afterLines="0"/>
        <w:snapToGrid w:val="0"/>
        <w:ind w:firstLine="0"/>
        <w:contextualSpacing/>
        <w:jc w:val="both"/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>Дата составления заключения</w:t>
      </w:r>
    </w:p>
    <w:p>
      <w:pPr>
        <w:spacing w:before="0" w:after="0" w:line="240" w:lineRule="auto" w:beforeLines="0" w:afterLines="0"/>
        <w:snapToGrid w:val="0"/>
        <w:ind w:firstLine="0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заполняет аудитор</w:t>
      </w:r>
    </w:p>
    <w:sectPr w:rsidR="00FC693F" w:rsidRPr="0006063C" w:rsidSect="00034616">
      <w:footerReference w:type="default" r:id="rId9"/>
      <w:footerReference w:type="first" r:id="rId11"/>
      <w:pgSz w:w="11906" w:h="16838"/>
      <w:pgMar w:top="1134" w:right="850" w:bottom="1134" w:left="1701" w:header="720" w:footer="72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spacing w:before="0" w:after="0" w:line="240" w:lineRule="auto" w:beforeLines="0" w:afterLines="0"/>
      <w:jc w:val="left"/>
      <w:snapToGrid w:val="0"/>
      <w:contextualSpacing/>
    </w:pPr>
    <w:r>
      <w:rPr>
        <w:rFonts w:ascii="Times New Roman" w:hAnsi="Times New Roman" w:eastAsia="Times New Roman" w:cs="Times New Roman"/>
        <w:b w:val="0"/>
        <w:i/>
        <w:color w:val="222222"/>
        <w:sz w:val="18"/>
      </w:rPr>
      <w:t>Черновик · Аудиторское заключение (черновик) · Проверка аренды коммерческой недвижимости · кейс check</w:t>
    </w:r>
    <w:r>
      <w:tab/>
    </w:r>
    <w:r>
      <w:rPr>
        <w:rFonts w:ascii="Times New Roman" w:hAnsi="Times New Roman" w:eastAsia="Times New Roman" w:cs="Times New Roman"/>
        <w:b w:val="0"/>
        <w:i w:val="0"/>
        <w:color w:val="222222"/>
        <w:sz w:val="18"/>
      </w:rPr>
      <w:fldChar w:fldCharType="begin"/>
    </w:r>
    <w:r>
      <w:rPr>
        <w:rFonts w:ascii="Times New Roman" w:hAnsi="Times New Roman" w:eastAsia="Times New Roman" w:cs="Times New Roman"/>
        <w:b w:val="0"/>
        <w:i w:val="0"/>
        <w:color w:val="222222"/>
        <w:sz w:val="18"/>
      </w:rPr>
      <w:instrText xml:space="preserve"> PAGE </w:instrText>
    </w:r>
    <w:r>
      <w:rPr>
        <w:rFonts w:ascii="Times New Roman" w:hAnsi="Times New Roman" w:eastAsia="Times New Roman" w:cs="Times New Roman"/>
        <w:b w:val="0"/>
        <w:i w:val="0"/>
        <w:color w:val="222222"/>
        <w:sz w:val="18"/>
      </w:rPr>
      <w:fldChar w:fldCharType="separate"/>
    </w:r>
    <w:r>
      <w:rPr>
        <w:rFonts w:ascii="Times New Roman" w:hAnsi="Times New Roman" w:eastAsia="Times New Roman" w:cs="Times New Roman"/>
        <w:b w:val="0"/>
        <w:i w:val="0"/>
        <w:color w:val="222222"/>
        <w:sz w:val="18"/>
      </w:rPr>
      <w:t>2</w:t>
    </w:r>
    <w:r>
      <w:rPr>
        <w:rFonts w:ascii="Times New Roman" w:hAnsi="Times New Roman" w:eastAsia="Times New Roman" w:cs="Times New Roman"/>
        <w:b w:val="0"/>
        <w:i w:val="0"/>
        <w:color w:val="222222"/>
        <w:sz w:val="18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 w:beforeLines="0" w:afterLines="0"/>
      <w:snapToGrid w:val="0"/>
      <w:contextualSpacing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0" w:line="240" w:lineRule="auto" w:before="0" w:beforeLines="0" w:afterLines="0"/>
        <w:snapToGrid w:val="0"/>
        <w:contextualSpacing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 w:beforeLines="0" w:afterLines="0"/>
      <w:snapToGrid w:val="0"/>
      <w:contextualSpacing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 w:beforeLines="0" w:afterLines="0"/>
      <w:snapToGrid w:val="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 w:beforeLines="0" w:afterLines="0"/>
      <w:snapToGrid w:val="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 w:beforeLines="0" w:afterLines="0"/>
      <w:outlineLvl w:val="0"/>
      <w:snapToGrid w:val="0"/>
      <w:contextualSpacing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 w:beforeLines="0" w:afterLines="0"/>
      <w:outlineLvl w:val="1"/>
      <w:snapToGrid w:val="0"/>
      <w:contextualSpacing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40" w:lineRule="auto" w:beforeLines="0" w:afterLines="0"/>
      <w:outlineLvl w:val="2"/>
      <w:snapToGrid w:val="0"/>
      <w:contextualSpacing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line="240" w:lineRule="auto" w:beforeLines="0" w:afterLines="0"/>
      <w:outlineLvl w:val="3"/>
      <w:snapToGrid w:val="0"/>
      <w:contextualSpacing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0" w:line="240" w:lineRule="auto" w:beforeLines="0" w:afterLines="0"/>
      <w:outlineLvl w:val="4"/>
      <w:snapToGrid w:val="0"/>
      <w:contextualSpacing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0" w:after="0" w:line="240" w:lineRule="auto" w:beforeLines="0" w:afterLines="0"/>
      <w:outlineLvl w:val="5"/>
      <w:snapToGrid w:val="0"/>
      <w:contextualSpacing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0" w:after="0" w:line="240" w:lineRule="auto" w:beforeLines="0" w:afterLines="0"/>
      <w:outlineLvl w:val="6"/>
      <w:snapToGrid w:val="0"/>
      <w:contextualSpacing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0" w:after="0" w:line="240" w:lineRule="auto" w:beforeLines="0" w:afterLines="0"/>
      <w:outlineLvl w:val="7"/>
      <w:snapToGrid w:val="0"/>
      <w:contextualSpacing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0" w:after="0" w:line="240" w:lineRule="auto" w:beforeLines="0" w:afterLines="0"/>
      <w:outlineLvl w:val="8"/>
      <w:snapToGrid w:val="0"/>
      <w:contextualSpacing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pPr>
      <w:spacing w:before="0" w:after="0" w:line="240" w:lineRule="auto" w:beforeLines="0" w:afterLines="0"/>
      <w:snapToGrid w:val="0"/>
      <w:contextualSpacing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 w:before="0" w:beforeLines="0" w:afterLines="0"/>
      <w:snapToGrid w:val="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 w:before="0" w:beforeLines="0" w:afterLines="0"/>
      <w:contextualSpacing/>
      <w:snapToGrid w:val="0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0" w:line="240" w:lineRule="auto" w:beforeLines="0" w:afterLines="0"/>
      <w:snapToGrid w:val="0"/>
      <w:contextualSpacing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 w:line="240" w:lineRule="auto" w:beforeLines="0" w:afterLines="0"/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240" w:lineRule="auto" w:beforeLines="0" w:afterLines="0"/>
      <w:snapToGrid w:val="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0" w:line="240" w:lineRule="auto" w:before="0" w:beforeLines="0" w:afterLines="0"/>
      <w:snapToGrid w:val="0"/>
      <w:contextualSpacing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0" w:before="0" w:line="240" w:lineRule="auto" w:beforeLines="0" w:afterLines="0"/>
      <w:snapToGrid w:val="0"/>
      <w:contextualSpacing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before="0" w:after="0" w:line="240" w:lineRule="auto" w:beforeLines="0" w:afterLines="0"/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spacing w:before="0" w:after="0" w:line="240" w:lineRule="auto" w:beforeLines="0" w:afterLines="0"/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spacing w:before="0" w:after="0" w:line="240" w:lineRule="auto" w:beforeLines="0" w:afterLines="0"/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 w:line="240" w:lineRule="auto" w:beforeLines="0" w:afterLines="0"/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0" w:line="240" w:lineRule="auto" w:beforeLines="0" w:afterLines="0"/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before="0" w:after="0" w:line="240" w:lineRule="auto" w:beforeLines="0" w:afterLines="0"/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0" w:line="240" w:lineRule="auto" w:beforeLines="0" w:afterLines="0"/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before="0" w:after="0" w:line="240" w:lineRule="auto" w:beforeLines="0" w:afterLines="0"/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before="0" w:after="0" w:line="240" w:lineRule="auto" w:beforeLines="0" w:afterLines="0"/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0" w:before="0" w:line="240" w:lineRule="auto" w:beforeLines="0" w:afterLines="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0" w:before="0" w:line="240" w:lineRule="auto" w:beforeLines="0" w:afterLines="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0" w:before="0" w:line="240" w:lineRule="auto" w:beforeLines="0" w:afterLines="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before="0" w:after="0" w:line="240" w:lineRule="auto" w:beforeLines="0" w:afterLines="0"/>
      <w:snapToGrid w:val="0"/>
      <w:contextualSpacing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0" w:after="0" w:line="240" w:lineRule="auto" w:beforeLines="0" w:afterLines="0"/>
      <w:snapToGrid w:val="0"/>
      <w:contextualSpacing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0" w:beforeLines="0" w:afterLines="0"/>
      <w:snapToGrid w:val="0"/>
      <w:contextualSpacing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0" w:after="0" w:line="240" w:lineRule="auto" w:beforeLines="0" w:afterLines="0"/>
      <w:ind w:left="936" w:right="936"/>
      <w:snapToGrid w:val="0"/>
      <w:contextualSpacing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0" w:after="0" w:line="240" w:lineRule="auto" w:beforeLines="0" w:afterLines="0"/>
      <w:outlineLvl w:val="9"/>
      <w:snapToGrid w:val="0"/>
      <w:contextualSpacing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 w:before="0" w:beforeLines="0" w:afterLines="0"/>
      <w:snapToGrid w:val="0"/>
      <w:contextualSpacing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 w:before="0" w:beforeLines="0" w:afterLines="0"/>
      <w:snapToGrid w:val="0"/>
      <w:contextualSpacing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 w:before="0" w:beforeLines="0" w:afterLines="0"/>
      <w:snapToGrid w:val="0"/>
      <w:contextualSpacing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 w:before="0" w:beforeLines="0" w:afterLines="0"/>
      <w:snapToGrid w:val="0"/>
      <w:contextualSpacing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 w:before="0" w:beforeLines="0" w:afterLines="0"/>
      <w:snapToGrid w:val="0"/>
      <w:contextualSpacing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 w:before="0" w:beforeLines="0" w:afterLines="0"/>
      <w:snapToGrid w:val="0"/>
      <w:contextualSpacing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 w:before="0" w:beforeLines="0" w:afterLines="0"/>
      <w:snapToGrid w:val="0"/>
      <w:contextualSpacing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 w:before="0" w:beforeLines="0" w:afterLines="0"/>
      <w:snapToGrid w:val="0"/>
      <w:contextualSpacing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 w:before="0" w:beforeLines="0" w:afterLines="0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 w:before="0" w:beforeLines="0" w:afterLines="0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 w:before="0" w:beforeLines="0" w:afterLines="0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 w:before="0" w:beforeLines="0" w:afterLines="0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 w:before="0" w:beforeLines="0" w:afterLines="0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 w:before="0" w:beforeLines="0" w:afterLines="0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 w:before="0" w:beforeLines="0" w:afterLines="0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 w:before="0" w:beforeLines="0" w:afterLines="0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 w:before="0" w:beforeLines="0" w:afterLines="0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 w:before="0" w:beforeLines="0" w:afterLines="0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 w:before="0" w:beforeLines="0" w:afterLines="0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 w:before="0" w:beforeLines="0" w:afterLines="0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 w:before="0" w:beforeLines="0" w:afterLines="0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 w:before="0" w:beforeLines="0" w:afterLines="0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 w:before="0" w:beforeLines="0" w:afterLines="0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 w:before="0" w:beforeLines="0" w:afterLines="0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 w:before="0" w:beforeLines="0" w:afterLines="0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 w:before="0" w:beforeLines="0" w:afterLines="0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 w:before="0" w:beforeLines="0" w:afterLines="0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 w:before="0" w:beforeLines="0" w:afterLines="0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 w:before="0" w:beforeLines="0" w:afterLines="0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 w:before="0" w:beforeLines="0" w:afterLines="0"/>
      <w:snapToGrid w:val="0"/>
      <w:contextualSpacing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 w:before="0" w:beforeLines="0" w:afterLines="0"/>
      <w:snapToGrid w:val="0"/>
      <w:contextualSpacing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 w:before="0" w:beforeLines="0" w:afterLines="0"/>
      <w:snapToGrid w:val="0"/>
      <w:contextualSpacing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 w:before="0" w:beforeLines="0" w:afterLines="0"/>
      <w:snapToGrid w:val="0"/>
      <w:contextualSpacing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 w:before="0" w:beforeLines="0" w:afterLines="0"/>
      <w:snapToGrid w:val="0"/>
      <w:contextualSpacing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 w:before="0" w:beforeLines="0" w:afterLines="0"/>
      <w:snapToGrid w:val="0"/>
      <w:contextualSpacing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 w:before="0" w:beforeLines="0" w:afterLines="0"/>
      <w:snapToGrid w:val="0"/>
      <w:contextualSpacing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 w:before="0" w:beforeLines="0" w:afterLines="0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 w:before="0" w:beforeLines="0" w:afterLines="0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 w:before="0" w:beforeLines="0" w:afterLines="0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 w:before="0" w:beforeLines="0" w:afterLines="0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 w:before="0" w:beforeLines="0" w:afterLines="0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 w:before="0" w:beforeLines="0" w:afterLines="0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 w:before="0" w:beforeLines="0" w:afterLines="0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 w:before="0" w:beforeLines="0" w:afterLines="0"/>
      <w:snapToGrid w:val="0"/>
      <w:contextualSpacing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 w:before="0" w:beforeLines="0" w:afterLines="0"/>
      <w:snapToGrid w:val="0"/>
      <w:contextualSpacing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 w:before="0" w:beforeLines="0" w:afterLines="0"/>
      <w:snapToGrid w:val="0"/>
      <w:contextualSpacing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 w:before="0" w:beforeLines="0" w:afterLines="0"/>
      <w:snapToGrid w:val="0"/>
      <w:contextualSpacing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 w:before="0" w:beforeLines="0" w:afterLines="0"/>
      <w:snapToGrid w:val="0"/>
      <w:contextualSpacing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 w:before="0" w:beforeLines="0" w:afterLines="0"/>
      <w:snapToGrid w:val="0"/>
      <w:contextualSpacing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 w:before="0" w:beforeLines="0" w:afterLines="0"/>
      <w:snapToGrid w:val="0"/>
      <w:contextualSpacing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 w:before="0" w:beforeLines="0" w:afterLines="0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 w:before="0" w:beforeLines="0" w:afterLines="0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 w:before="0" w:beforeLines="0" w:afterLines="0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 w:before="0" w:beforeLines="0" w:afterLines="0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 w:before="0" w:beforeLines="0" w:afterLines="0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 w:before="0" w:beforeLines="0" w:afterLines="0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 w:before="0" w:beforeLines="0" w:afterLines="0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 w:before="0" w:beforeLines="0" w:afterLines="0"/>
      <w:snapToGrid w:val="0"/>
      <w:contextualSpacing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 w:before="0" w:beforeLines="0" w:afterLines="0"/>
      <w:snapToGrid w:val="0"/>
      <w:contextualSpacing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 w:before="0" w:beforeLines="0" w:afterLines="0"/>
      <w:snapToGrid w:val="0"/>
      <w:contextualSpacing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 w:before="0" w:beforeLines="0" w:afterLines="0"/>
      <w:snapToGrid w:val="0"/>
      <w:contextualSpacing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 w:before="0" w:beforeLines="0" w:afterLines="0"/>
      <w:snapToGrid w:val="0"/>
      <w:contextualSpacing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 w:before="0" w:beforeLines="0" w:afterLines="0"/>
      <w:snapToGrid w:val="0"/>
      <w:contextualSpacing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 w:before="0" w:beforeLines="0" w:afterLines="0"/>
      <w:snapToGrid w:val="0"/>
      <w:contextualSpacing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 w:before="0" w:beforeLines="0" w:afterLines="0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 w:before="0" w:beforeLines="0" w:afterLines="0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 w:before="0" w:beforeLines="0" w:afterLines="0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 w:before="0" w:beforeLines="0" w:afterLines="0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 w:before="0" w:beforeLines="0" w:afterLines="0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 w:before="0" w:beforeLines="0" w:afterLines="0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 w:before="0" w:beforeLines="0" w:afterLines="0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 w:before="0" w:beforeLines="0" w:afterLines="0"/>
      <w:snapToGrid w:val="0"/>
      <w:contextualSpacing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 w:before="0" w:beforeLines="0" w:afterLines="0"/>
      <w:snapToGrid w:val="0"/>
      <w:contextualSpacing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 w:before="0" w:beforeLines="0" w:afterLines="0"/>
      <w:snapToGrid w:val="0"/>
      <w:contextualSpacing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 w:before="0" w:beforeLines="0" w:afterLines="0"/>
      <w:snapToGrid w:val="0"/>
      <w:contextualSpacing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 w:before="0" w:beforeLines="0" w:afterLines="0"/>
      <w:snapToGrid w:val="0"/>
      <w:contextualSpacing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 w:before="0" w:beforeLines="0" w:afterLines="0"/>
      <w:snapToGrid w:val="0"/>
      <w:contextualSpacing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 w:before="0" w:beforeLines="0" w:afterLines="0"/>
      <w:snapToGrid w:val="0"/>
      <w:contextualSpacing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 w:before="0" w:beforeLines="0" w:afterLines="0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 w:before="0" w:beforeLines="0" w:afterLines="0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 w:before="0" w:beforeLines="0" w:afterLines="0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 w:before="0" w:beforeLines="0" w:afterLines="0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 w:before="0" w:beforeLines="0" w:afterLines="0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 w:before="0" w:beforeLines="0" w:afterLines="0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 w:before="0" w:beforeLines="0" w:afterLines="0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 w:before="0" w:beforeLines="0" w:afterLines="0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 w:before="0" w:beforeLines="0" w:afterLines="0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 w:before="0" w:beforeLines="0" w:afterLines="0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 w:before="0" w:beforeLines="0" w:afterLines="0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 w:before="0" w:beforeLines="0" w:afterLines="0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 w:before="0" w:beforeLines="0" w:afterLines="0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 w:before="0" w:beforeLines="0" w:afterLines="0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 w:before="0" w:beforeLines="0" w:afterLines="0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 w:before="0" w:beforeLines="0" w:afterLines="0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 w:before="0" w:beforeLines="0" w:afterLines="0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 w:before="0" w:beforeLines="0" w:afterLines="0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 w:before="0" w:beforeLines="0" w:afterLines="0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 w:before="0" w:beforeLines="0" w:afterLines="0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 w:before="0" w:beforeLines="0" w:afterLines="0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