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6B4F"/>
        </w:rPr>
        <w:t>Environmental Impact Assessment</w:t>
      </w:r>
    </w:p>
    <w:p>
      <w:pPr>
        <w:pStyle w:val="Heading1"/>
      </w:pPr>
      <w:r>
        <w:rPr>
          <w:color w:val="333333"/>
        </w:rPr>
        <w:t>Verdyn Agritech</w:t>
      </w:r>
    </w:p>
    <w:p>
      <w:r>
        <w:rPr>
          <w:i/>
          <w:color w:val="5A6B62"/>
          <w:sz w:val="19"/>
        </w:rPr>
        <w:t>Assessment version 1  ·  Generated 2026-08-21  ·  Development stage: Early commercialization  ·  Sector: AgTech / precision agriculture</w:t>
      </w:r>
    </w:p>
    <w:p>
      <w:pPr>
        <w:ind w:left="360"/>
      </w:pPr>
      <w:r>
        <w:rPr>
          <w:i/>
        </w:rPr>
        <w:t>A precision-application platform for arable farms. Field sensors and satellite imagery produce zone-level pesticide maps, so growers treat only the parts of a field that need it instead of spraying the whole area.</w:t>
      </w:r>
    </w:p>
    <w:p/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“Update Field”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ListBullet"/>
      </w:pPr>
      <w:r>
        <w:t>Classification: Enabling Startup</w:t>
      </w:r>
    </w:p>
    <w:p>
      <w:pPr>
        <w:pStyle w:val="ListBullet"/>
      </w:pPr>
      <w:r>
        <w:t>Primary unit of analysis: The adoption pathway</w:t>
      </w:r>
    </w:p>
    <w:p>
      <w:pPr>
        <w:pStyle w:val="ListBullet"/>
      </w:pPr>
      <w:r>
        <w:t>Core indicator set: 3 indicator(s) — Avoided emissions vs. conventional reference technology; Avoided physical harm per unit of adoption (domain-specific); Number / type of customers or partners using the solution for environmental purposes</w:t>
      </w:r>
    </w:p>
    <w:p>
      <w:pPr>
        <w:pStyle w:val="ListBullet"/>
      </w:pPr>
      <w:r>
        <w:t>Evidence base: 2 measured, 2 modelled, 2 projected</w:t>
      </w:r>
    </w:p>
    <w:p>
      <w:pPr>
        <w:pStyle w:val="ListBullet"/>
      </w:pPr>
      <w:r>
        <w:t>Integrity checks: 0 warning(s)</w:t>
      </w:r>
    </w:p>
    <w:p>
      <w:pPr>
        <w:pStyle w:val="ListBullet"/>
      </w:pPr>
      <w:r>
        <w:t>Next scheduled review: First significant commercial scale</w:t>
      </w:r>
    </w:p>
    <w:p>
      <w:pPr>
        <w:pStyle w:val="Heading1"/>
      </w:pPr>
      <w:r>
        <w:t>1. Startup Profiling &amp; Type Classification</w:t>
      </w:r>
    </w:p>
    <w:p>
      <w:pPr>
        <w:pStyle w:val="ListBullet"/>
      </w:pPr>
      <w:r>
        <w:t>Impact mechanism: Enabling</w:t>
      </w:r>
    </w:p>
    <w:p>
      <w:pPr>
        <w:pStyle w:val="ListBullet"/>
      </w:pPr>
      <w:r>
        <w:t>Value proposition orientation: Primary</w:t>
      </w:r>
    </w:p>
    <w:p>
      <w:pPr>
        <w:pStyle w:val="ListBullet"/>
      </w:pPr>
      <w:r>
        <w:t>Resulting type: Enabling Startup</w:t>
      </w:r>
    </w:p>
    <w:p>
      <w:pPr>
        <w:ind w:left="200"/>
      </w:pPr>
      <w:r>
        <w:t>The startup is not itself environmental technology, but allows other actors to reduce their environmental impact. The benefit depends on adoption and behavior change by customers or partners.</w:t>
      </w:r>
    </w:p>
    <w:p>
      <w:r>
        <w:rPr>
          <w:i/>
          <w:color w:val="5A6B62"/>
          <w:sz w:val="19"/>
        </w:rPr>
        <w:t>Stage guidance (Early commercialization): Module 3 becomes the central activity as first operational data becomes available. Move indicators from modelled toward measured where data systems allow.</w:t>
      </w:r>
    </w:p>
    <w:p>
      <w:pPr>
        <w:pStyle w:val="Heading1"/>
      </w:pPr>
      <w:r>
        <w:t>2. Impact Pathway (Theory of Change)</w:t>
      </w:r>
    </w:p>
    <w:p>
      <w:pPr>
        <w:pStyle w:val="Heading2"/>
      </w:pPr>
      <w:r>
        <w:t>Adoption chain</w:t>
      </w:r>
    </w:p>
    <w:p>
      <w:pPr>
        <w:pStyle w:val="Heading3"/>
      </w:pPr>
      <w:r>
        <w:t>Activities: product features / service delivered</w:t>
      </w:r>
    </w:p>
    <w:p>
      <w:pPr>
        <w:pStyle w:val="ListBullet"/>
      </w:pPr>
      <w:r>
        <w:t>Description: A field-sensor and satellite platform that tells arable growers which sub-field zones actually need pesticide, replacing blanket spraying with zone-specific application maps sent straight to the sprayer.</w:t>
      </w:r>
    </w:p>
    <w:p>
      <w:pPr>
        <w:pStyle w:val="ListBullet"/>
      </w:pPr>
      <w:r>
        <w:t>Underlying assumption: Growers trust a zone map enough to spray less than their habitual full-field rate.</w:t>
      </w:r>
    </w:p>
    <w:p>
      <w:pPr>
        <w:pStyle w:val="ListBullet"/>
      </w:pPr>
      <w:r>
        <w:t>Evidence strength: Moderate (some evidence)</w:t>
      </w:r>
    </w:p>
    <w:p>
      <w:pPr>
        <w:pStyle w:val="Heading3"/>
      </w:pPr>
      <w:r>
        <w:t>Outputs: customer adoption</w:t>
      </w:r>
    </w:p>
    <w:p>
      <w:pPr>
        <w:pStyle w:val="ListBullet"/>
      </w:pPr>
      <w:r>
        <w:t>Description: 412 farms across 3 countries on paid subscriptions, covering 68,000 hectares. Adoption is evidenced by billing records and by sprayer telemetry confirming the maps were actually loaded.</w:t>
      </w:r>
    </w:p>
    <w:p>
      <w:pPr>
        <w:pStyle w:val="ListBullet"/>
      </w:pPr>
      <w:r>
        <w:t>Underlying assumption: Subscribed hectares are genuinely farmed under the platform rather than signed up and left unused.</w:t>
      </w:r>
    </w:p>
    <w:p>
      <w:pPr>
        <w:pStyle w:val="ListBullet"/>
      </w:pPr>
      <w:r>
        <w:t>Evidence strength: Strong (verified data)</w:t>
      </w:r>
    </w:p>
    <w:p>
      <w:pPr>
        <w:pStyle w:val="Heading3"/>
      </w:pPr>
      <w:r>
        <w:t>Outcomes: customer behavior change</w:t>
      </w:r>
    </w:p>
    <w:p>
      <w:pPr>
        <w:pStyle w:val="ListBullet"/>
      </w:pPr>
      <w:r>
        <w:t>Description: Growers apply pesticide to a mean 61% of field area instead of 100%. Sprayer telemetry gives applied litres per hectare before and after onboarding for 289 of the 412 farms.</w:t>
      </w:r>
    </w:p>
    <w:p>
      <w:pPr>
        <w:pStyle w:val="ListBullet"/>
      </w:pPr>
      <w:r>
        <w:t>Underlying assumption: The reduction persists beyond the first season and is not offset by growers re-treating zones later in the year.</w:t>
      </w:r>
    </w:p>
    <w:p>
      <w:pPr>
        <w:pStyle w:val="ListBullet"/>
      </w:pPr>
      <w:r>
        <w:t>Evidence strength: Moderate (some evidence)</w:t>
      </w:r>
    </w:p>
    <w:p>
      <w:pPr>
        <w:pStyle w:val="Heading3"/>
      </w:pPr>
      <w:r>
        <w:t>Impact: avoided environmental harm</w:t>
      </w:r>
    </w:p>
    <w:p>
      <w:pPr>
        <w:pStyle w:val="ListBullet"/>
      </w:pPr>
      <w:r>
        <w:t>Description: Lower pesticide load reaching soil and watercourses, plus lower upstream manufacturing emissions per hectare farmed. The baseline is the grower's own prior-season application record.</w:t>
      </w:r>
    </w:p>
    <w:p>
      <w:pPr>
        <w:pStyle w:val="ListBullet"/>
      </w:pPr>
      <w:r>
        <w:t>Underlying assumption: Avoided application translates into proportionally avoided ecotoxicity, which the platform does not measure directly.</w:t>
      </w:r>
    </w:p>
    <w:p>
      <w:pPr>
        <w:pStyle w:val="ListBullet"/>
      </w:pPr>
      <w:r>
        <w:t>Evidence strength: Weak (assumption only)</w:t>
      </w:r>
    </w:p>
    <w:p>
      <w:r>
        <w:rPr>
          <w:b/>
          <w:color w:val="AA3333"/>
        </w:rPr>
        <w:t>Weakest link(s) in the chain: The step from reduced application to avoided ecotoxicity is the weakest link: it is inferred, not measured. The platform evidences litres not applied and treats avoided harm as proportional to that. Persistence of the behaviour change beyond a single season is also not yet evidenced.</w:t>
      </w:r>
    </w:p>
    <w:p>
      <w:pPr>
        <w:pStyle w:val="Heading1"/>
      </w:pPr>
      <w:r>
        <w:t>3. Indicator Set (Feasibility–Relevance Scoring)</w:t>
      </w:r>
    </w:p>
    <w:p>
      <w:pPr>
        <w:pStyle w:val="Heading2"/>
      </w:pPr>
      <w:r>
        <w:t>Core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Avoided emissions vs. conventional reference technology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Product-Level Performance &amp; Avoided Impact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t CO₂e avoided / yr; Freq.: Annually; Source: Scenario-based calculation, contribution analysis; Evidences: Adoption chain -&gt; Outcomes: customer behavior change</w:t>
            </w:r>
          </w:p>
        </w:tc>
      </w:tr>
      <w:tr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Avoided physical harm per unit of adoption (domain-specific)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Product-Level Performance &amp; Avoided Impact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Unit: domain-specific (e.g. kg pesticide avoided / ha); Freq.: Annually; Source: Operational data + contribution analysis; Evidences: Adoption chain -&gt; Outcomes: customer behavior change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Number / type of customers or partners using the solution for environmental purposes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Systemic &amp; Enabling Contribution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count + segmentation; Freq.: Annually; Source: CRM / sales data; Evidences: Adoption chain -&gt; Outcomes: customer behavior change</w:t>
            </w:r>
          </w:p>
        </w:tc>
      </w:tr>
    </w:tbl>
    <w:p/>
    <w:p>
      <w:pPr>
        <w:pStyle w:val="Heading2"/>
      </w:pPr>
      <w:r>
        <w:t>Aspirational (future indicator)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Scope 3 value-chain emissions (screening level)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Emissions &amp; Waste Output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t CO₂e / yr; Current: 1240; Freq.: Annually; Source: Spend data × generic factors; supplier data; Evidences: Adoption chain -&gt; Impact: avoided environmental harm</w:t>
            </w:r>
          </w:p>
        </w:tc>
      </w:tr>
    </w:tbl>
    <w:p/>
    <w:p>
      <w:pPr>
        <w:pStyle w:val="Heading2"/>
      </w:pPr>
      <w:r>
        <w:t>Supplementary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Feas.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Rel.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Scope 2 indirect emissions (purchased electricity &amp; heat)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Emissions &amp; Waste Output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Unit: t CO₂e / yr; Current: 31; Freq.: Annually; Source: Utility invoices × emission factors; Evidences: Adoption chain -&gt; Impact: avoided environmental harm</w:t>
            </w:r>
          </w:p>
        </w:tc>
      </w:tr>
      <w:tr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Total energy use over a defined period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Resource &amp; Energy Input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1728"/>
            <w:shd w:val="clear" w:fill="EAF2ED"/>
          </w:tcPr>
          <w:p>
            <w:r>
              <w:rPr>
                <w:sz w:val="19"/>
              </w:rPr>
              <w:t>Unit: kWh / period; Current: 112000; Freq.: Annually; Source: Utility invoices, production records</w:t>
            </w:r>
          </w:p>
        </w:tc>
      </w:tr>
    </w:tbl>
    <w:p/>
    <w:p>
      <w:pPr>
        <w:pStyle w:val="Heading1"/>
      </w:pPr>
      <w:r>
        <w:t>4. Uncertainty Acknowledgement</w:t>
      </w:r>
    </w:p>
    <w:p>
      <w:pPr>
        <w:pStyle w:val="Heading3"/>
      </w:pPr>
      <w:r>
        <w:t>Scope 2 indirect emissions (purchased electricity &amp; heat)</w:t>
      </w:r>
      <w:r>
        <w:rPr>
          <w:b/>
          <w:color w:val="2E6B4F"/>
        </w:rPr>
        <w:t xml:space="preserve">  [MEASURED]</w:t>
      </w:r>
    </w:p>
    <w:p>
      <w:r>
        <w:rPr>
          <w:b/>
        </w:rPr>
        <w:t xml:space="preserve">Claim as stated: </w:t>
      </w:r>
      <w:r>
        <w:t>Verdyn customers applied 39% less pesticide per hectare in the 2025 season than in their own prior season.</w:t>
      </w:r>
    </w:p>
    <w:p>
      <w:r>
        <w:rPr>
          <w:b/>
        </w:rPr>
        <w:t xml:space="preserve">Assumptions &amp; data sources: </w:t>
      </w:r>
      <w:r>
        <w:t>Sprayer telemetry from 289 farms and prior-season application records supplied by the grower. Emission factors are EU-average rather than country-specific.</w:t>
      </w:r>
    </w:p>
    <w:p>
      <w:r>
        <w:rPr>
          <w:b/>
        </w:rPr>
        <w:t xml:space="preserve">Conditions that could change the estimate: </w:t>
      </w:r>
      <w:r>
        <w:t>A wet season raising disease pressure, or a change in residue regulation, could push growers back toward full-field application regardless of the zone map.</w:t>
      </w:r>
    </w:p>
    <w:p>
      <w:pPr>
        <w:pStyle w:val="Heading3"/>
      </w:pPr>
      <w:r>
        <w:t>Scope 3 value-chain emissions (screening level)</w:t>
      </w:r>
      <w:r>
        <w:rPr>
          <w:b/>
          <w:color w:val="B8860B"/>
        </w:rPr>
        <w:t xml:space="preserve">  [MODELLED]</w:t>
      </w:r>
    </w:p>
    <w:p>
      <w:r>
        <w:rPr>
          <w:b/>
        </w:rPr>
        <w:t xml:space="preserve">Claim as stated: </w:t>
      </w:r>
      <w:r>
        <w:t>Reduced application avoids an estimated 1.2 t CO2e per 1,000 hectares under management.</w:t>
      </w:r>
    </w:p>
    <w:p>
      <w:r>
        <w:rPr>
          <w:b/>
        </w:rPr>
        <w:t xml:space="preserve">Assumptions &amp; data sources: </w:t>
      </w:r>
      <w:r>
        <w:t>Sprayer telemetry from 289 farms and prior-season application records supplied by the grower. Emission factors are EU-average rather than country-specific.</w:t>
      </w:r>
    </w:p>
    <w:p>
      <w:r>
        <w:rPr>
          <w:b/>
        </w:rPr>
        <w:t xml:space="preserve">Conditions that could change the estimate: </w:t>
      </w:r>
      <w:r>
        <w:t>A wet season raising disease pressure, or a change in residue regulation, could push growers back toward full-field application regardless of the zone map.</w:t>
      </w:r>
    </w:p>
    <w:p>
      <w:pPr>
        <w:pStyle w:val="Heading3"/>
      </w:pPr>
      <w:r>
        <w:t>Total energy use over a defined period</w:t>
      </w:r>
      <w:r>
        <w:rPr>
          <w:b/>
          <w:color w:val="8A5A9E"/>
        </w:rPr>
        <w:t xml:space="preserve">  [PROJECTED]</w:t>
      </w:r>
    </w:p>
    <w:p>
      <w:r>
        <w:rPr>
          <w:b/>
        </w:rPr>
        <w:t xml:space="preserve">Claim as stated: </w:t>
      </w:r>
      <w:r>
        <w:t>At 250,000 hectares under management the same behaviour change would avoid roughly 300 t CO2e per year.</w:t>
      </w:r>
    </w:p>
    <w:p>
      <w:r>
        <w:rPr>
          <w:b/>
        </w:rPr>
        <w:t xml:space="preserve">Assumptions &amp; data sources: </w:t>
      </w:r>
      <w:r>
        <w:t>Sprayer telemetry from 289 farms and prior-season application records supplied by the grower. Emission factors are EU-average rather than country-specific.</w:t>
      </w:r>
    </w:p>
    <w:p>
      <w:r>
        <w:rPr>
          <w:b/>
        </w:rPr>
        <w:t xml:space="preserve">Conditions that could change the estimate: </w:t>
      </w:r>
      <w:r>
        <w:t>A wet season raising disease pressure, or a change in residue regulation, could push growers back toward full-field application regardless of the zone map.</w:t>
      </w:r>
    </w:p>
    <w:p>
      <w:pPr>
        <w:pStyle w:val="Heading3"/>
      </w:pPr>
      <w:r>
        <w:t>Avoided emissions vs. conventional reference technology</w:t>
      </w:r>
      <w:r>
        <w:rPr>
          <w:b/>
          <w:color w:val="2E6B4F"/>
        </w:rPr>
        <w:t xml:space="preserve">  [MEASURED]</w:t>
      </w:r>
    </w:p>
    <w:p>
      <w:r>
        <w:rPr>
          <w:b/>
        </w:rPr>
        <w:t xml:space="preserve">Claim as stated: </w:t>
      </w:r>
      <w:r>
        <w:t>Verdyn customers applied 39% less pesticide per hectare in the 2025 season than in their own prior season.</w:t>
      </w:r>
    </w:p>
    <w:p>
      <w:r>
        <w:rPr>
          <w:b/>
        </w:rPr>
        <w:t xml:space="preserve">Assumptions &amp; data sources: </w:t>
      </w:r>
      <w:r>
        <w:t>Sprayer telemetry from 289 farms and prior-season application records supplied by the grower. Emission factors are EU-average rather than country-specific.</w:t>
      </w:r>
    </w:p>
    <w:p>
      <w:r>
        <w:rPr>
          <w:b/>
        </w:rPr>
        <w:t xml:space="preserve">Conditions that could change the estimate: </w:t>
      </w:r>
      <w:r>
        <w:t>A wet season raising disease pressure, or a change in residue regulation, could push growers back toward full-field application regardless of the zone map.</w:t>
      </w:r>
    </w:p>
    <w:p>
      <w:pPr>
        <w:pStyle w:val="Heading3"/>
      </w:pPr>
      <w:r>
        <w:t>Avoided physical harm per unit of adoption (domain-specific)</w:t>
      </w:r>
      <w:r>
        <w:rPr>
          <w:b/>
          <w:color w:val="B8860B"/>
        </w:rPr>
        <w:t xml:space="preserve">  [MODELLED]</w:t>
      </w:r>
    </w:p>
    <w:p>
      <w:r>
        <w:rPr>
          <w:b/>
        </w:rPr>
        <w:t xml:space="preserve">Claim as stated: </w:t>
      </w:r>
      <w:r>
        <w:t>Reduced application avoids an estimated 1.2 t CO2e per 1,000 hectares under management.</w:t>
      </w:r>
    </w:p>
    <w:p>
      <w:r>
        <w:rPr>
          <w:b/>
        </w:rPr>
        <w:t xml:space="preserve">Assumptions &amp; data sources: </w:t>
      </w:r>
      <w:r>
        <w:t>Sprayer telemetry from 289 farms and prior-season application records supplied by the grower. Emission factors are EU-average rather than country-specific.</w:t>
      </w:r>
    </w:p>
    <w:p>
      <w:r>
        <w:rPr>
          <w:b/>
        </w:rPr>
        <w:t xml:space="preserve">Conditions that could change the estimate: </w:t>
      </w:r>
      <w:r>
        <w:t>A wet season raising disease pressure, or a change in residue regulation, could push growers back toward full-field application regardless of the zone map.</w:t>
      </w:r>
    </w:p>
    <w:p>
      <w:pPr>
        <w:pStyle w:val="Heading3"/>
      </w:pPr>
      <w:r>
        <w:t>Number / type of customers or partners using the solution for environmental purposes</w:t>
      </w:r>
      <w:r>
        <w:rPr>
          <w:b/>
          <w:color w:val="8A5A9E"/>
        </w:rPr>
        <w:t xml:space="preserve">  [PROJECTED]</w:t>
      </w:r>
    </w:p>
    <w:p>
      <w:r>
        <w:rPr>
          <w:b/>
        </w:rPr>
        <w:t xml:space="preserve">Claim as stated: </w:t>
      </w:r>
      <w:r>
        <w:t>At 250,000 hectares under management the same behaviour change would avoid roughly 300 t CO2e per year.</w:t>
      </w:r>
    </w:p>
    <w:p>
      <w:r>
        <w:rPr>
          <w:b/>
        </w:rPr>
        <w:t xml:space="preserve">Assumptions &amp; data sources: </w:t>
      </w:r>
      <w:r>
        <w:t>Sprayer telemetry from 289 farms and prior-season application records supplied by the grower. Emission factors are EU-average rather than country-specific.</w:t>
      </w:r>
    </w:p>
    <w:p>
      <w:r>
        <w:rPr>
          <w:b/>
        </w:rPr>
        <w:t xml:space="preserve">Conditions that could change the estimate: </w:t>
      </w:r>
      <w:r>
        <w:t>A wet season raising disease pressure, or a change in residue regulation, could push growers back toward full-field application regardless of the zone map.</w:t>
      </w:r>
    </w:p>
    <w:p>
      <w:pPr>
        <w:pStyle w:val="Heading1"/>
      </w:pPr>
      <w:r>
        <w:t>5. Integrity Checks</w:t>
      </w:r>
    </w:p>
    <w:p>
      <w:pPr>
        <w:pStyle w:val="ListBullet"/>
      </w:pPr>
      <w:r>
        <w:rPr>
          <w:color w:val="2E6B4F"/>
        </w:rPr>
        <w:t>✓  Core set size (3) is within the recommended 3–5 range.</w:t>
      </w:r>
    </w:p>
    <w:p>
      <w:pPr>
        <w:pStyle w:val="ListBullet"/>
      </w:pPr>
      <w:r>
        <w:rPr>
          <w:color w:val="2E6B4F"/>
        </w:rPr>
        <w:t>✓  No vanity metrics (high feasibility / low relevance) in the selection.</w:t>
      </w:r>
    </w:p>
    <w:p>
      <w:pPr>
        <w:pStyle w:val="ListBullet"/>
      </w:pPr>
      <w:r>
        <w:rPr>
          <w:color w:val="34608A"/>
        </w:rPr>
        <w:t>ℹ  Projected claims in the core set: Number / type of customers or partners using the solution for environmental purposes. Report these in the narrative, clearly separated from measured/modelled evidence.</w:t>
      </w:r>
    </w:p>
    <w:p>
      <w:pPr>
        <w:pStyle w:val="ListBullet"/>
      </w:pPr>
      <w:r>
        <w:rPr>
          <w:color w:val="2E6B4F"/>
        </w:rPr>
        <w:t>✓  All core indicators are linked to an impact-pathway stage.</w:t>
      </w:r>
    </w:p>
    <w:p>
      <w:pPr>
        <w:pStyle w:val="Heading1"/>
      </w:pPr>
      <w:r>
        <w:t>6. Review &amp; Updating Plan</w:t>
      </w:r>
    </w:p>
    <w:p>
      <w:r>
        <w:t>This assessment is designed for updating, not for completion: it should be revisited at defined milestones rather than filed as a one-time exercise.</w:t>
      </w:r>
    </w:p>
    <w:p>
      <w:pPr>
        <w:pStyle w:val="ListBullet"/>
      </w:pPr>
      <w:r>
        <w:t>Next review milestone: First significant commercial scale</w:t>
      </w:r>
    </w:p>
    <w:p>
      <w:pPr>
        <w:pStyle w:val="ListBullet"/>
      </w:pPr>
      <w:r>
        <w:t>Notes: Revisit once telemetry covers two full seasons, which would move the persistence assumption from Projected to Measured. Replace EU-average emission factors with national factors before publishing any CO2e figure.</w:t>
      </w:r>
    </w:p>
    <w:p>
      <w:pPr>
        <w:pStyle w:val="Heading1"/>
      </w:pPr>
      <w:r>
        <w:t>Methodology</w:t>
      </w:r>
    </w:p>
    <w:p>
      <w:r>
        <w:t>This assessment follows a four-module framework for environmental impact assessment in early-stage startups: (1) startup profiling and type classification; (2) impact pathway mapping grounded in theory-of-change / logic-model reasoning (Weiss 1995; Mayne 2008; W.K. Kellogg Foundation 2004; McLaughlin &amp; Jordan 2015); (3) indicator selection via two-dimensional feasibility–relevance scoring; and (4) uncertainty acknowledgement using three levels of evidential confidence (measured, modelled, projected). The framework is governed by four principles: proportionality, type-differentiation, transparency over precision, and design for updating rather than completion. It is a screening-level instrument: it does not replace full LCA (ISO 14040/44), comprehensive GHG Protocol reporting, or regulatory compliance assessment, and it does not produce a composite score.</w:t>
      </w:r>
    </w:p>
    <w:p>
      <w:pPr>
        <w:pStyle w:val="Heading1"/>
      </w:pPr>
      <w:r>
        <w:t>References</w:t>
      </w:r>
    </w:p>
    <w:p>
      <w:pPr>
        <w:pStyle w:val="ListBullet"/>
      </w:pPr>
      <w:r>
        <w:t>World Resources Institute &amp; WBCSD (2013). The Greenhouse Gas Protocol: A Corporate Accounting and Reporting Standard.</w:t>
      </w:r>
    </w:p>
    <w:p>
      <w:pPr>
        <w:pStyle w:val="ListBullet"/>
      </w:pPr>
      <w:r>
        <w:t>Goyal, S. &amp; Mahmoudzadeh, A. (2024). [Product-level performance and avoided impact assessment for cleantech startups].</w:t>
      </w:r>
    </w:p>
    <w:p>
      <w:pPr>
        <w:pStyle w:val="ListBullet"/>
      </w:pPr>
      <w:r>
        <w:t>ISO (2015). ISO 14031: Environmental management — Environmental performance evaluation.</w:t>
      </w:r>
    </w:p>
    <w:p>
      <w:pPr>
        <w:pStyle w:val="ListBullet"/>
      </w:pPr>
      <w:r>
        <w:t>W.K. Kellogg Foundation (2004). Logic Model Development Guide.</w:t>
      </w:r>
    </w:p>
    <w:p>
      <w:pPr>
        <w:pStyle w:val="ListBullet"/>
      </w:pPr>
      <w:r>
        <w:t>Li, X. &amp; Lin, Y. (2025). [Relevance criteria for environmental indicators].</w:t>
      </w:r>
    </w:p>
    <w:p>
      <w:pPr>
        <w:pStyle w:val="ListBullet"/>
      </w:pPr>
      <w:r>
        <w:t>Markard, J., Raven, R. &amp; Truffer, B. (2012). Sustainability transitions: An emerging field of research and its prospects. Research Policy 41(6).</w:t>
      </w:r>
    </w:p>
    <w:p>
      <w:pPr>
        <w:pStyle w:val="ListBullet"/>
      </w:pPr>
      <w:r>
        <w:t>Mayne, J. (2008). Contribution analysis: An approach to exploring cause and effect. ILAC Brief 16.</w:t>
      </w:r>
    </w:p>
    <w:p>
      <w:pPr>
        <w:pStyle w:val="ListBullet"/>
      </w:pPr>
      <w:r>
        <w:t>McLaughlin, J.A. &amp; Jordan, G.B. (2015). Using logic models. In Handbook of Practical Program Evaluation.</w:t>
      </w:r>
    </w:p>
    <w:p>
      <w:pPr>
        <w:pStyle w:val="ListBullet"/>
      </w:pPr>
      <w:r>
        <w:t>Neumann, T. (2023). [Environmental performance indicators for young ventures].</w:t>
      </w:r>
    </w:p>
    <w:p>
      <w:pPr>
        <w:pStyle w:val="ListBullet"/>
      </w:pPr>
      <w:r>
        <w:t>Roomi, M.A. et al. (2021). [Indicator sets for sustainable entrepreneurship].</w:t>
      </w:r>
    </w:p>
    <w:p>
      <w:pPr>
        <w:pStyle w:val="ListBullet"/>
      </w:pPr>
      <w:r>
        <w:t>Sahili, Z. &amp; Barrales-Molina, V. (2024). [Lean environmental assessment in young firms].</w:t>
      </w:r>
    </w:p>
    <w:p>
      <w:pPr>
        <w:pStyle w:val="ListBullet"/>
      </w:pPr>
      <w:r>
        <w:t>Weidema, B.P. et al. (2018). [Progressive data collection and hybrid assessment].</w:t>
      </w:r>
    </w:p>
    <w:p>
      <w:pPr>
        <w:pStyle w:val="ListBullet"/>
      </w:pPr>
      <w:r>
        <w:t>Weiss, C.H. (1995). Nothing as practical as good theory. In New Approaches to Evaluating Community Initiatives.</w:t>
      </w:r>
    </w:p>
    <w:p>
      <w:r>
        <w:rPr>
          <w:i/>
          <w:color w:val="5A6B62"/>
          <w:sz w:val="17"/>
        </w:rPr>
        <w:t>Generated with the four-module Environmental Impact Assessment tool, based on “A Proposed Framework for Environmental Impact Assessment in Early-Stage Startups”. Screening-level instrument — does not replace full LCA or GHG Protocol reporting.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fldSimple w:instr="PAGE"/>
    <w:r>
      <w:rPr>
        <w:sz w:val="17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