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Next steps: 3 recommended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segment: </w:t>
      </w:r>
      <w:r>
        <w:t xml:space="preserve">B2B</w:t>
      </w:r>
    </w:p>
    <w:p>
      <w:pPr>
        <w:pStyle w:val="ListParagraph"/>
        <w:numPr>
          <w:ilvl w:val="0"/>
          <w:numId w:val="1"/>
        </w:numPr>
      </w:pPr>
      <w:r>
        <w:rPr>
          <w:b/>
          <w:bCs/>
        </w:rPr>
        <w:t xml:space="preserve">Revenue model: </w:t>
      </w:r>
      <w:r>
        <w:t xml:space="preserve">Device or equipment plus a subscription</w:t>
      </w:r>
    </w:p>
    <w:p>
      <w:pPr>
        <w:pStyle w:val="ListParagraph"/>
        <w:numPr>
          <w:ilvl w:val="0"/>
          <w:numId w:val="1"/>
        </w:numPr>
      </w:pPr>
      <w:r>
        <w:rPr>
          <w:b/>
          <w:bCs/>
        </w:rPr>
        <w:t xml:space="preserve">Buyer (decides and pays): </w:t>
      </w:r>
      <w:r>
        <w:t xml:space="preserve">Owners of small and mid-size vegetable and orchard farms (20–500 ha) in dry regions that irrigate from metered wells or paid water sources.</w:t>
      </w:r>
    </w:p>
    <w:p>
      <w:pPr>
        <w:pStyle w:val="ListParagraph"/>
        <w:numPr>
          <w:ilvl w:val="0"/>
          <w:numId w:val="1"/>
        </w:numPr>
      </w:pPr>
      <w:r>
        <w:rPr>
          <w:b/>
          <w:bCs/>
        </w:rPr>
        <w:t xml:space="preserve">User (day to day): </w:t>
      </w:r>
      <w:r>
        <w:t xml:space="preserve">Farm managers and irrigation staff who check the app and run the irrigation system.</w:t>
      </w:r>
    </w:p>
    <w:p>
      <w:pPr>
        <w:pStyle w:val="ListParagraph"/>
        <w:numPr>
          <w:ilvl w:val="0"/>
          <w:numId w:val="1"/>
        </w:numPr>
      </w:pPr>
      <w:r>
        <w:rPr>
          <w:b/>
          <w:bCs/>
        </w:rPr>
        <w:t xml:space="preserve">Whose behaviour must change: </w:t>
      </w:r>
      <w:r>
        <w:t xml:space="preserve">Whoever decides when and how much to irrigate on the farm (usually the farm manager, not the owner).</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pct" w:w="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pct" w:w="1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Uncertainty Acknowledgement</w:t>
      </w:r>
    </w:p>
    <w:p>
      <w:pPr>
        <w:pStyle w:val="Heading3"/>
      </w:pPr>
      <w:r>
        <w:t xml:space="preserve">Adoption rate of the solution</w:t>
      </w:r>
      <w:r>
        <w:rPr>
          <w:b/>
          <w:bCs/>
          <w:color w:val="2E6B4F"/>
        </w:rPr>
        <w:t xml:space="preserve">  [MEASURED]</w:t>
      </w:r>
    </w:p>
    <w:p>
      <w:r>
        <w:rPr>
          <w:b/>
          <w:bCs/>
        </w:rPr>
        <w:t xml:space="preserve">Claim as stated: </w:t>
      </w:r>
      <w:r>
        <w:t xml:space="preserve">62 enrolled farms covering approximately 410 hectares as of this month.</w:t>
      </w:r>
    </w:p>
    <w:p>
      <w:r>
        <w:rPr>
          <w:b/>
          <w:bCs/>
        </w:rPr>
        <w:t xml:space="preserve">Assumptions &amp; data sources: </w:t>
      </w:r>
      <w:r>
        <w:t xml:space="preserve">CRM enrollment and onboarding records.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p>
    <w:p>
      <w:r>
        <w:rPr>
          <w:b/>
          <w:bCs/>
        </w:rPr>
        <w:t xml:space="preserve">Claim as stated: </w:t>
      </w:r>
      <w:r>
        <w:t xml:space="preserve">71% of surveyed farmers self-report reduced irrigation frequency.</w:t>
      </w:r>
    </w:p>
    <w:p>
      <w:r>
        <w:rPr>
          <w:b/>
          <w:bCs/>
        </w:rPr>
        <w:t xml:space="preserve">Assumptions &amp; data sources: </w:t>
      </w:r>
      <w:r>
        <w:t xml:space="preserve">Self-reported survey of 22 of 62 enrolled farms; social-desirability bias likely inflates positive responses somewhat.</w:t>
      </w:r>
    </w:p>
    <w:p>
      <w:r>
        <w:rPr>
          <w:b/>
          <w:bCs/>
        </w:rPr>
        <w:t xml:space="preserve">Conditions that could change the estimate: </w:t>
      </w:r>
      <w:r>
        <w:t xml:space="preserve">Would look different with a larger, randomly sampled survey, or with metered verification instead of self-report.</w:t>
      </w:r>
    </w:p>
    <w:p>
      <w:pPr>
        <w:pStyle w:val="Heading3"/>
      </w:pPr>
      <w:r>
        <w:t xml:space="preserve">Avoided physical harm per unit of adoption (domain-specific)</w:t>
      </w:r>
      <w:r>
        <w:rPr>
          <w:b/>
          <w:bCs/>
          <w:color w:val="8A5A9E"/>
        </w:rPr>
        <w:t xml:space="preserve">  [PROJECTED]</w:t>
      </w:r>
    </w:p>
    <w:p>
      <w:r>
        <w:rPr>
          <w:b/>
          <w:bCs/>
        </w:rPr>
        <w:t xml:space="preserve">Claim as stated: </w:t>
      </w:r>
      <w:r>
        <w:t xml:space="preserve">We estimate an approximate 18% reduction in water withdrawal per irrigated hectare versus the regional baseline.</w:t>
      </w:r>
    </w:p>
    <w:p>
      <w:r>
        <w:rPr>
          <w:b/>
          <w:bCs/>
        </w:rPr>
        <w:t xml:space="preserve">Assumptions &amp; data sources: </w:t>
      </w:r>
      <w:r>
        <w:t xml:space="preserve">Based on published agronomic studies of comparable sensor-guided irrigation systems elsewhere — not yet based on FieldSense's own metered data.</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2E6B4F"/>
        </w:rPr>
        <w:t xml:space="preserve">✓  All core indicators are linked to an impact-pathway stage.</w:t>
      </w:r>
    </w:p>
    <w:p>
      <w:pPr>
        <w:pStyle w:val="Heading1"/>
      </w:pPr>
      <w:r>
        <w:t xml:space="preserve">6. Next Steps &amp; Points to Consider</w:t>
      </w:r>
    </w:p>
    <w:p>
      <w:pPr>
        <w:pStyle w:val="Heading2"/>
      </w:pPr>
      <w:r>
        <w:t xml:space="preserve">Recommended next steps</w:t>
      </w:r>
    </w:p>
    <w:p>
      <w:pPr>
        <w:ind w:left="360" w:hanging="360"/>
      </w:pPr>
      <w:r>
        <w:rPr>
          <w:b/>
          <w:bCs/>
          <w:color w:val="2E6B4F"/>
        </w:rPr>
        <w:t xml:space="preserve">1.  Test the weakest link. </w:t>
      </w:r>
      <w:r>
        <w:t xml:space="preserve">“Outcomes: customer behavior change” currently rests on an assumption only (“App engagement actually translates into reduced water applied, not just reduced perceived need to water.”). Design one small, cheap test that would confirm or refute it before you build further claims on it. For an adoption-driven pathway, compare usage logs or meter readings for a few pilot customers before and after they adopt.</w:t>
      </w:r>
    </w:p>
    <w:p>
      <w:pPr>
        <w:ind w:left="360" w:hanging="360"/>
      </w:pPr>
      <w:r>
        <w:rPr>
          <w:b/>
          <w:bCs/>
          <w:color w:val="2E6B4F"/>
        </w:rPr>
        <w:t xml:space="preserve">2.  Test the weakest link. </w:t>
      </w:r>
      <w:r>
        <w:t xml:space="preserve">“Activities: product features / service delivered” currently rests on an assumption only (“Recommendations are accurate and trustworthy enough that farmers follow them instead of habitual watering schedules.”). Design one small, cheap test that would confirm or refute it before you build further claims on it.</w:t>
      </w:r>
    </w:p>
    <w:p>
      <w:pPr>
        <w:ind w:left="360" w:hanging="360"/>
      </w:pPr>
      <w:r>
        <w:rPr>
          <w:b/>
          <w:bCs/>
          <w:color w:val="2E6B4F"/>
        </w:rPr>
        <w:t xml:space="preserve">3.  Plan your future indicators. </w:t>
      </w:r>
      <w:r>
        <w:t xml:space="preserve">“Avoided physical harm per unit of adoption (domain-specific)” is relevant but not yet measurable. Note what would make it measurable (a tool, a partner, budget, a pilot customer sharing data) and at which milestone you expect it.</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p>
    <w:p>
      <w:pPr>
        <w:pStyle w:val="ListParagraph"/>
        <w:numPr>
          <w:ilvl w:val="0"/>
          <w:numId w:val="1"/>
        </w:numPr>
      </w:pPr>
      <w:r>
        <w:rPr>
          <w:b/>
          <w:bCs/>
        </w:rPr>
        <w:t xml:space="preserve">Is your evidence about the right people?  </w:t>
      </w:r>
      <w:r>
        <w:t xml:space="preserve">The buyer (Owners of small and mid-size vegetable and orchard farms…) is not the one whose behaviour must change (Whoever decides when and how much to irrigate on the…). Have you considered how you will show that those people actually change what they do? A signed contract or a sold licence is evidence of purchase, not of behaviour change.</w:t>
      </w:r>
    </w:p>
    <w:p>
      <w:pPr>
        <w:pStyle w:val="ListParagraph"/>
        <w:numPr>
          <w:ilvl w:val="0"/>
          <w:numId w:val="1"/>
        </w:numPr>
      </w:pPr>
      <w:r>
        <w:rPr>
          <w:b/>
          <w:bCs/>
        </w:rPr>
        <w:t xml:space="preserve">Does churn also cut your impact?  </w:t>
      </w:r>
      <w:r>
        <w:t xml:space="preserve">With a subscription, a customer who cancels stops producing impact. Have you considered reporting active, retained customers rather than total sign-ups? Your retention figure then doubles as adoption evidence.</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p>
    <w:p>
      <w:pPr>
        <w:pStyle w:val="Heading1"/>
      </w:pPr>
      <w:r>
        <w:t xml:space="preserve">7.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2026-10-17T12:41:26.297Z</dcterms:created>
  <dcterms:modified xsi:type="dcterms:W3CDTF">2026-10-17T12:41:26.297Z</dcterms:modified>
</cp:coreProperties>
</file>

<file path=docProps/custom.xml><?xml version="1.0" encoding="utf-8"?>
<Properties xmlns="http://schemas.openxmlformats.org/officeDocument/2006/custom-properties" xmlns:vt="http://schemas.openxmlformats.org/officeDocument/2006/docPropsVTypes"/>
</file>