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type: </w:t>
      </w:r>
      <w:r>
        <w:t xml:space="preserve">B2B</w:t>
      </w:r>
    </w:p>
    <w:p>
      <w:pPr>
        <w:pStyle w:val="ListParagraph"/>
        <w:numPr>
          <w:ilvl w:val="0"/>
          <w:numId w:val="1"/>
        </w:numPr>
      </w:pPr>
      <w:r>
        <w:rPr>
          <w:b/>
          <w:bCs/>
        </w:rPr>
        <w:t xml:space="preserve">Ideal customer profile: </w:t>
      </w:r>
      <w:r>
        <w:t xml:space="preserve">Small and mid-size vegetable and orchard farms (20–500 ha) in dry regions that irrigate from metered wells or paid water sources. The farmer or farm manager decides on irrigation and pays for the subscription.</w:t>
      </w:r>
    </w:p>
    <w:p>
      <w:pPr>
        <w:pStyle w:val="ListParagraph"/>
        <w:numPr>
          <w:ilvl w:val="0"/>
          <w:numId w:val="1"/>
        </w:numPr>
      </w:pPr>
      <w:r>
        <w:rPr>
          <w:b/>
          <w:bCs/>
        </w:rPr>
        <w:t xml:space="preserve">Why they pay: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pct" w:w="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pct" w:w="1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Uncertainty Acknowledgement</w:t>
      </w:r>
    </w:p>
    <w:p>
      <w:pPr>
        <w:pStyle w:val="Heading3"/>
      </w:pPr>
      <w:r>
        <w:t xml:space="preserve">Adoption rate of the solution</w:t>
      </w:r>
      <w:r>
        <w:rPr>
          <w:b/>
          <w:bCs/>
          <w:color w:val="2E6B4F"/>
        </w:rPr>
        <w:t xml:space="preserve">  [MEASURED]</w:t>
      </w:r>
    </w:p>
    <w:p>
      <w:r>
        <w:rPr>
          <w:b/>
          <w:bCs/>
        </w:rPr>
        <w:t xml:space="preserve">Claim as stated: </w:t>
      </w:r>
      <w:r>
        <w:t xml:space="preserve">62 enrolled farms covering approximately 410 hectares as of this month.</w:t>
      </w:r>
    </w:p>
    <w:p>
      <w:r>
        <w:rPr>
          <w:b/>
          <w:bCs/>
        </w:rPr>
        <w:t xml:space="preserve">Assumptions &amp; data sources: </w:t>
      </w:r>
      <w:r>
        <w:t xml:space="preserve">CRM enrollment and onboarding records.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p>
    <w:p>
      <w:r>
        <w:rPr>
          <w:b/>
          <w:bCs/>
        </w:rPr>
        <w:t xml:space="preserve">Claim as stated: </w:t>
      </w:r>
      <w:r>
        <w:t xml:space="preserve">71% of surveyed farmers self-report reduced irrigation frequency.</w:t>
      </w:r>
    </w:p>
    <w:p>
      <w:r>
        <w:rPr>
          <w:b/>
          <w:bCs/>
        </w:rPr>
        <w:t xml:space="preserve">Assumptions &amp; data sources: </w:t>
      </w:r>
      <w:r>
        <w:t xml:space="preserve">Self-reported survey of 22 of 62 enrolled farms; social-desirability bias likely inflates positive responses somewhat.</w:t>
      </w:r>
    </w:p>
    <w:p>
      <w:r>
        <w:rPr>
          <w:b/>
          <w:bCs/>
        </w:rPr>
        <w:t xml:space="preserve">Conditions that could change the estimate: </w:t>
      </w:r>
      <w:r>
        <w:t xml:space="preserve">Would look different with a larger, randomly sampled survey, or with metered verification instead of self-report.</w:t>
      </w:r>
    </w:p>
    <w:p>
      <w:pPr>
        <w:pStyle w:val="Heading3"/>
      </w:pPr>
      <w:r>
        <w:t xml:space="preserve">Avoided physical harm per unit of adoption (domain-specific)</w:t>
      </w:r>
      <w:r>
        <w:rPr>
          <w:b/>
          <w:bCs/>
          <w:color w:val="8A5A9E"/>
        </w:rPr>
        <w:t xml:space="preserve">  [PROJECTED]</w:t>
      </w:r>
    </w:p>
    <w:p>
      <w:r>
        <w:rPr>
          <w:b/>
          <w:bCs/>
        </w:rPr>
        <w:t xml:space="preserve">Claim as stated: </w:t>
      </w:r>
      <w:r>
        <w:t xml:space="preserve">We estimate an approximate 18% reduction in water withdrawal per irrigated hectare versus the regional baseline.</w:t>
      </w:r>
    </w:p>
    <w:p>
      <w:r>
        <w:rPr>
          <w:b/>
          <w:bCs/>
        </w:rPr>
        <w:t xml:space="preserve">Assumptions &amp; data sources: </w:t>
      </w:r>
      <w:r>
        <w:t xml:space="preserve">Based on published agronomic studies of comparable sensor-guided irrigation systems elsewhere — not yet based on FieldSense's own metered data.</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2E6B4F"/>
        </w:rPr>
        <w:t xml:space="preserve">✓  All core indicators are linked to an impact-pathway stage.</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the user the same person as the payer?  </w:t>
      </w:r>
      <w:r>
        <w:t xml:space="preserve">Have you considered who actually has to change their behaviour: the person who buys the product, or someone else (an employee, a tenant, an end user)? If they differ, your adoption evidence has to come from the user, not from the sale.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2026-10-17T12:25:04.653Z</dcterms:created>
  <dcterms:modified xsi:type="dcterms:W3CDTF">2026-10-17T12:25:04.654Z</dcterms:modified>
</cp:coreProperties>
</file>

<file path=docProps/custom.xml><?xml version="1.0" encoding="utf-8"?>
<Properties xmlns="http://schemas.openxmlformats.org/officeDocument/2006/custom-properties" xmlns:vt="http://schemas.openxmlformats.org/officeDocument/2006/docPropsVTypes"/>
</file>