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6B4F"/>
        </w:rPr>
        <w:t>Environmental Impact Assessment</w:t>
      </w:r>
    </w:p>
    <w:p>
      <w:pPr>
        <w:pStyle w:val="Heading1"/>
      </w:pPr>
      <w:r>
        <w:rPr>
          <w:color w:val="333333"/>
        </w:rPr>
        <w:t>FieldSense</w:t>
      </w:r>
    </w:p>
    <w:p>
      <w:r>
        <w:rPr>
          <w:i/>
          <w:color w:val="5A6B62"/>
          <w:sz w:val="19"/>
        </w:rPr>
        <w:t>Assessment version 1  ·  Generated 2026-08-04  ·  Development stage: Validation / MVP  ·  Sector: AgTech / precision irrigation</w:t>
      </w:r>
    </w:p>
    <w:p>
      <w:pPr>
        <w:ind w:left="360"/>
      </w:pPr>
      <w:r>
        <w:rPr>
          <w:i/>
        </w:rPr>
        <w:t>FieldSense sells wireless soil-moisture sensors and a mobile irrigation scheduling app that helps small and mid-size farms cut water use without losing yield.</w:t>
      </w:r>
    </w:p>
    <w:p/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here and choose “Update Field” to generate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</w:pPr>
      <w:r>
        <w:t>Classification: Enabling Startup</w:t>
      </w:r>
    </w:p>
    <w:p>
      <w:pPr>
        <w:pStyle w:val="ListBullet"/>
      </w:pPr>
      <w:r>
        <w:t>Primary unit of analysis: The adoption pathway</w:t>
      </w:r>
    </w:p>
    <w:p>
      <w:pPr>
        <w:pStyle w:val="ListBullet"/>
      </w:pPr>
      <w:r>
        <w:t>Core indicator set: 2 indicator(s) — Adoption rate of the solution; Quality / reliability of adoption evidence</w:t>
      </w:r>
    </w:p>
    <w:p>
      <w:pPr>
        <w:pStyle w:val="ListBullet"/>
      </w:pPr>
      <w:r>
        <w:t>Evidence base: 1 measured, 1 modelled, 1 projected</w:t>
      </w:r>
    </w:p>
    <w:p>
      <w:pPr>
        <w:pStyle w:val="ListBullet"/>
      </w:pPr>
      <w:r>
        <w:t>Integrity checks: 0 warning(s)</w:t>
      </w:r>
    </w:p>
    <w:p>
      <w:pPr>
        <w:pStyle w:val="ListBullet"/>
      </w:pPr>
      <w:r>
        <w:t>Next scheduled review: Product launch</w:t>
      </w:r>
    </w:p>
    <w:p>
      <w:pPr>
        <w:pStyle w:val="Heading1"/>
      </w:pPr>
      <w:r>
        <w:t>1. Startup Profiling &amp; Type Classification</w:t>
      </w:r>
    </w:p>
    <w:p>
      <w:pPr>
        <w:pStyle w:val="ListBullet"/>
      </w:pPr>
      <w:r>
        <w:t>Impact mechanism: Enabling</w:t>
      </w:r>
    </w:p>
    <w:p>
      <w:pPr>
        <w:pStyle w:val="ListBullet"/>
      </w:pPr>
      <w:r>
        <w:t>Value proposition orientation: Primary</w:t>
      </w:r>
    </w:p>
    <w:p>
      <w:pPr>
        <w:pStyle w:val="ListBullet"/>
      </w:pPr>
      <w:r>
        <w:t>Resulting type: Enabling Startup</w:t>
      </w:r>
    </w:p>
    <w:p>
      <w:pPr>
        <w:ind w:left="200"/>
      </w:pPr>
      <w:r>
        <w:t>The startup is not itself environmental technology, but allows other actors to reduce their environmental impact. The benefit depends on adoption and behavior change by customers or partners.</w:t>
      </w:r>
    </w:p>
    <w:p>
      <w:r>
        <w:rPr>
          <w:i/>
          <w:color w:val="5A6B62"/>
          <w:sz w:val="19"/>
        </w:rPr>
        <w:t>Stage guidance (Validation / MVP): Refine the impact pathway with first evidence from pilots. Begin populating the most feasible indicators; expect most claims to be modelled or projected.</w:t>
      </w:r>
    </w:p>
    <w:p>
      <w:pPr>
        <w:pStyle w:val="Heading1"/>
      </w:pPr>
      <w:r>
        <w:t>2. Impact Pathway (Theory of Change)</w:t>
      </w:r>
    </w:p>
    <w:p>
      <w:pPr>
        <w:pStyle w:val="Heading2"/>
      </w:pPr>
      <w:r>
        <w:t>Adoption chain</w:t>
      </w:r>
    </w:p>
    <w:p>
      <w:pPr>
        <w:pStyle w:val="Heading3"/>
      </w:pPr>
      <w:r>
        <w:t>Activities: product features / service delivered</w:t>
      </w:r>
    </w:p>
    <w:p>
      <w:pPr>
        <w:pStyle w:val="ListBullet"/>
      </w:pPr>
      <w:r>
        <w:t>Description: Wireless soil-moisture sensors feed a mobile app that generates daily irrigation recommendations calibrated to crop type and soil profile.</w:t>
      </w:r>
    </w:p>
    <w:p>
      <w:pPr>
        <w:pStyle w:val="ListBullet"/>
      </w:pPr>
      <w:r>
        <w:t>Underlying assumption: Recommendations are accurate and trustworthy enough that farmers follow them instead of habitual watering schedules.</w:t>
      </w:r>
    </w:p>
    <w:p>
      <w:pPr>
        <w:pStyle w:val="ListBullet"/>
      </w:pPr>
      <w:r>
        <w:t>Evidence strength: Weak (assumption only)</w:t>
      </w:r>
    </w:p>
    <w:p>
      <w:pPr>
        <w:pStyle w:val="Heading3"/>
      </w:pPr>
      <w:r>
        <w:t>Outputs: customer adoption</w:t>
      </w:r>
    </w:p>
    <w:p>
      <w:pPr>
        <w:pStyle w:val="ListBullet"/>
      </w:pPr>
      <w:r>
        <w:t>Description: 62 farms enrolled across the pilot region (up from 40 six months ago), averaging 3.2 sensors per farm.</w:t>
      </w:r>
    </w:p>
    <w:p>
      <w:pPr>
        <w:pStyle w:val="ListBullet"/>
      </w:pPr>
      <w:r>
        <w:t>Underlying assumption: Enrolled farms are reasonably representative of typical smallholder operations in the region, not just early-adopter outliers.</w:t>
      </w:r>
    </w:p>
    <w:p>
      <w:pPr>
        <w:pStyle w:val="ListBullet"/>
      </w:pPr>
      <w:r>
        <w:t>Evidence strength: Moderate (some evidence)</w:t>
      </w:r>
    </w:p>
    <w:p>
      <w:pPr>
        <w:pStyle w:val="Heading3"/>
      </w:pPr>
      <w:r>
        <w:t>Outcomes: customer behavior change</w:t>
      </w:r>
    </w:p>
    <w:p>
      <w:pPr>
        <w:pStyle w:val="ListBullet"/>
      </w:pPr>
      <w:r>
        <w:t>Description: Pilot farmers report checking the app before irrigating and anecdotally watering less often.</w:t>
      </w:r>
    </w:p>
    <w:p>
      <w:pPr>
        <w:pStyle w:val="ListBullet"/>
      </w:pPr>
      <w:r>
        <w:t>Underlying assumption: App engagement actually translates into reduced water applied, not just reduced perceived need to water.</w:t>
      </w:r>
    </w:p>
    <w:p>
      <w:pPr>
        <w:pStyle w:val="ListBullet"/>
      </w:pPr>
      <w:r>
        <w:t>Evidence strength: Weak (assumption only)</w:t>
      </w:r>
    </w:p>
    <w:p>
      <w:pPr>
        <w:pStyle w:val="Heading3"/>
      </w:pPr>
      <w:r>
        <w:t>Impact: avoided environmental harm</w:t>
      </w:r>
    </w:p>
    <w:p>
      <w:pPr>
        <w:pStyle w:val="ListBullet"/>
      </w:pPr>
      <w:r>
        <w:t>Description: Reduced groundwater and surface-water withdrawal per irrigated hectare.</w:t>
      </w:r>
    </w:p>
    <w:p>
      <w:pPr>
        <w:pStyle w:val="ListBullet"/>
      </w:pPr>
      <w:r>
        <w:t>Underlying assumption: Water savings are not offset by farmers expanding their irrigated area with the water they save (rebound effect).</w:t>
      </w:r>
    </w:p>
    <w:p>
      <w:pPr>
        <w:pStyle w:val="ListBullet"/>
      </w:pPr>
      <w:r>
        <w:t>Evidence strength: Not rated</w:t>
      </w:r>
    </w:p>
    <w:p>
      <w:r>
        <w:rPr>
          <w:b/>
          <w:color w:val="AA3333"/>
        </w:rPr>
        <w:t>Weakest link(s) in the chain: The behavior-change assumption is the weakest link in the chain. We have solid enrollment numbers, but no water-meter data yet confirming that farmers actually reduce withdrawal rather than just feeling more informed — and we don't yet track whether saved water gets used to expand irrigated area instead.</w:t>
      </w:r>
    </w:p>
    <w:p>
      <w:pPr>
        <w:pStyle w:val="Heading1"/>
      </w:pPr>
      <w:r>
        <w:t>3. Indicator Set (Feasibility–Relevance Scoring)</w:t>
      </w:r>
    </w:p>
    <w:p>
      <w:pPr>
        <w:pStyle w:val="Heading2"/>
      </w:pPr>
      <w:r>
        <w:t>Core 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Indicator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Feas.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Rel.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Adoption rate of the solution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Systemic &amp; Enabling Contribution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Unit: farms enrolled / hectares covered; Current: 62 farms, ~410 hectares; Target: 150 farms by end of season; Freq.: Monthly; Source: CRM enrollment records; Evidences: Adoption chain → Outputs: customer adoption</w:t>
            </w:r>
          </w:p>
        </w:tc>
      </w:tr>
      <w:tr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Quality / reliability of adoption evidence</w:t>
            </w:r>
          </w:p>
        </w:tc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Systemic &amp; Enabling Contribution</w:t>
            </w:r>
          </w:p>
        </w:tc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Unit: qualitative rating + evidence description; Current: Self-reported survey (n=22 of 62): 71% report reduced irrigation frequency; no independent verification yet; Target: Move to metered verification on a subset of farms; Freq.: Quarterly; Source: Farmer survey (self-report); Evidences: Adoption chain → Outcomes: customer behavior change</w:t>
            </w:r>
          </w:p>
        </w:tc>
      </w:tr>
    </w:tbl>
    <w:p/>
    <w:p>
      <w:pPr>
        <w:pStyle w:val="Heading2"/>
      </w:pPr>
      <w:r>
        <w:t>Aspirational (future indicator)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Indicator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Feas.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Rel.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Avoided physical harm per unit of adoption (domain-specific)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Product-Level Performance &amp; Avoided Impact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Unit: % reduction in water withdrawal / hectare; Target: Install water-flow meters on pilot farms' pumps; Freq.: Annually; Source: Not yet metered — currently estimated from published agronomic studies; Evidences: Adoption chain → Impact: avoided environmental harm</w:t>
            </w:r>
          </w:p>
        </w:tc>
      </w:tr>
    </w:tbl>
    <w:p/>
    <w:p>
      <w:pPr>
        <w:pStyle w:val="Heading1"/>
      </w:pPr>
      <w:r>
        <w:t>4. Uncertainty Acknowledgement</w:t>
      </w:r>
    </w:p>
    <w:p>
      <w:pPr>
        <w:pStyle w:val="Heading3"/>
      </w:pPr>
      <w:r>
        <w:t>Adoption rate of the solution</w:t>
      </w:r>
      <w:r>
        <w:rPr>
          <w:b/>
          <w:color w:val="2E6B4F"/>
        </w:rPr>
        <w:t xml:space="preserve">  [MEASURED]</w:t>
      </w:r>
    </w:p>
    <w:p>
      <w:r>
        <w:rPr>
          <w:b/>
        </w:rPr>
        <w:t xml:space="preserve">Claim as stated: </w:t>
      </w:r>
      <w:r>
        <w:t>62 enrolled farms covering approximately 410 hectares as of this month.</w:t>
      </w:r>
    </w:p>
    <w:p>
      <w:r>
        <w:rPr>
          <w:b/>
        </w:rPr>
        <w:t xml:space="preserve">Assumptions &amp; data sources: </w:t>
      </w:r>
      <w:r>
        <w:t>CRM enrollment and onboarding records.</w:t>
      </w:r>
    </w:p>
    <w:p>
      <w:r>
        <w:rPr>
          <w:b/>
        </w:rPr>
        <w:t xml:space="preserve">Conditions that could change the estimate: </w:t>
      </w:r>
      <w:r>
        <w:t>(not filled in)</w:t>
      </w:r>
    </w:p>
    <w:p>
      <w:pPr>
        <w:pStyle w:val="Heading3"/>
      </w:pPr>
      <w:r>
        <w:t>Quality / reliability of adoption evidence</w:t>
      </w:r>
      <w:r>
        <w:rPr>
          <w:b/>
          <w:color w:val="B8860B"/>
        </w:rPr>
        <w:t xml:space="preserve">  [MODELLED]</w:t>
      </w:r>
    </w:p>
    <w:p>
      <w:r>
        <w:rPr>
          <w:b/>
        </w:rPr>
        <w:t xml:space="preserve">Claim as stated: </w:t>
      </w:r>
      <w:r>
        <w:t>71% of surveyed farmers self-report reduced irrigation frequency.</w:t>
      </w:r>
    </w:p>
    <w:p>
      <w:r>
        <w:rPr>
          <w:b/>
        </w:rPr>
        <w:t xml:space="preserve">Assumptions &amp; data sources: </w:t>
      </w:r>
      <w:r>
        <w:t>Self-reported survey of 22 of 62 enrolled farms; social-desirability bias likely inflates positive responses somewhat.</w:t>
      </w:r>
    </w:p>
    <w:p>
      <w:r>
        <w:rPr>
          <w:b/>
        </w:rPr>
        <w:t xml:space="preserve">Conditions that could change the estimate: </w:t>
      </w:r>
      <w:r>
        <w:t>Would look different with a larger, randomly sampled survey, or with metered verification instead of self-report.</w:t>
      </w:r>
    </w:p>
    <w:p>
      <w:pPr>
        <w:pStyle w:val="Heading3"/>
      </w:pPr>
      <w:r>
        <w:t>Avoided physical harm per unit of adoption (domain-specific)</w:t>
      </w:r>
      <w:r>
        <w:rPr>
          <w:b/>
          <w:color w:val="8A5A9E"/>
        </w:rPr>
        <w:t xml:space="preserve">  [PROJECTED]</w:t>
      </w:r>
    </w:p>
    <w:p>
      <w:r>
        <w:rPr>
          <w:b/>
        </w:rPr>
        <w:t xml:space="preserve">Claim as stated: </w:t>
      </w:r>
      <w:r>
        <w:t>We estimate an approximate 18% reduction in water withdrawal per irrigated hectare versus the regional baseline.</w:t>
      </w:r>
    </w:p>
    <w:p>
      <w:r>
        <w:rPr>
          <w:b/>
        </w:rPr>
        <w:t xml:space="preserve">Assumptions &amp; data sources: </w:t>
      </w:r>
      <w:r>
        <w:t>Based on published agronomic studies of comparable sensor-guided irrigation systems elsewhere — not yet based on FieldSense's own metered data.</w:t>
      </w:r>
    </w:p>
    <w:p>
      <w:r>
        <w:rPr>
          <w:b/>
        </w:rPr>
        <w:t xml:space="preserve">Conditions that could change the estimate: </w:t>
      </w:r>
      <w:r>
        <w:t>Actual savings could be considerably lower if farmers under-trust recommendations during high-risk growth stages (e.g. flowering) and over-water as a precaution.</w:t>
      </w:r>
    </w:p>
    <w:p>
      <w:pPr>
        <w:pStyle w:val="Heading1"/>
      </w:pPr>
      <w:r>
        <w:t>5. Integrity Checks</w:t>
      </w:r>
    </w:p>
    <w:p>
      <w:pPr>
        <w:pStyle w:val="ListBullet"/>
      </w:pPr>
      <w:r>
        <w:rPr>
          <w:color w:val="2E6B4F"/>
        </w:rPr>
        <w:t>✓  Core set size (2) is within the recommended 3–5 range.</w:t>
      </w:r>
    </w:p>
    <w:p>
      <w:pPr>
        <w:pStyle w:val="ListBullet"/>
      </w:pPr>
      <w:r>
        <w:rPr>
          <w:color w:val="2E6B4F"/>
        </w:rPr>
        <w:t>✓  No vanity metrics (high feasibility / low relevance) in the selection.</w:t>
      </w:r>
    </w:p>
    <w:p>
      <w:pPr>
        <w:pStyle w:val="ListBullet"/>
      </w:pPr>
      <w:r>
        <w:rPr>
          <w:color w:val="2E6B4F"/>
        </w:rPr>
        <w:t>✓  All core indicators are linked to an impact-pathway stage.</w:t>
      </w:r>
    </w:p>
    <w:p>
      <w:pPr>
        <w:pStyle w:val="Heading1"/>
      </w:pPr>
      <w:r>
        <w:t>6. Review &amp; Updating Plan</w:t>
      </w:r>
    </w:p>
    <w:p>
      <w:r>
        <w:t>This assessment is designed for updating, not for completion: it should be revisited at defined milestones rather than filed as a one-time exercise.</w:t>
      </w:r>
    </w:p>
    <w:p>
      <w:pPr>
        <w:pStyle w:val="ListBullet"/>
      </w:pPr>
      <w:r>
        <w:t>Next review milestone: Product launch</w:t>
      </w:r>
    </w:p>
    <w:p>
      <w:pPr>
        <w:pStyle w:val="ListBullet"/>
      </w:pPr>
      <w:r>
        <w:t>Notes: Install water-flow meters on at least 10 pilot farms before the next review, to convert the core avoided-harm claim from projected to measured.</w:t>
      </w:r>
    </w:p>
    <w:p>
      <w:pPr>
        <w:pStyle w:val="Heading1"/>
      </w:pPr>
      <w:r>
        <w:t>Methodology</w:t>
      </w:r>
    </w:p>
    <w:p>
      <w:r>
        <w:t>This assessment follows a four-module framework for environmental impact assessment in early-stage startups: (1) startup profiling and type classification; (2) impact pathway mapping grounded in theory-of-change / logic-model reasoning (Weiss 1995; Mayne 2008; W.K. Kellogg Foundation 2004; McLaughlin &amp; Jordan 2015); (3) indicator selection via two-dimensional feasibility–relevance scoring; and (4) uncertainty acknowledgement using three levels of evidential confidence (measured, modelled, projected). The framework is governed by four principles: proportionality, type-differentiation, transparency over precision, and design for updating rather than completion. It is a screening-level instrument: it does not replace full LCA (ISO 14040/44), comprehensive GHG Protocol reporting, or regulatory compliance assessment, and it does not produce a composite score.</w:t>
      </w:r>
    </w:p>
    <w:p>
      <w:pPr>
        <w:pStyle w:val="Heading1"/>
      </w:pPr>
      <w:r>
        <w:t>References</w:t>
      </w:r>
    </w:p>
    <w:p>
      <w:pPr>
        <w:pStyle w:val="ListBullet"/>
      </w:pPr>
      <w:r>
        <w:t>ISO (2015). ISO 14031: Environmental management — Environmental performance evaluation.</w:t>
      </w:r>
    </w:p>
    <w:p>
      <w:pPr>
        <w:pStyle w:val="ListBullet"/>
      </w:pPr>
      <w:r>
        <w:t>W.K. Kellogg Foundation (2004). Logic Model Development Guide.</w:t>
      </w:r>
    </w:p>
    <w:p>
      <w:pPr>
        <w:pStyle w:val="ListBullet"/>
      </w:pPr>
      <w:r>
        <w:t>Li, X. &amp; Lin, Y. (2025). [Relevance criteria for environmental indicators].</w:t>
      </w:r>
    </w:p>
    <w:p>
      <w:pPr>
        <w:pStyle w:val="ListBullet"/>
      </w:pPr>
      <w:r>
        <w:t>Mayne, J. (2008). Contribution analysis: An approach to exploring cause and effect. ILAC Brief 16.</w:t>
      </w:r>
    </w:p>
    <w:p>
      <w:pPr>
        <w:pStyle w:val="ListBullet"/>
      </w:pPr>
      <w:r>
        <w:t>McLaughlin, J.A. &amp; Jordan, G.B. (2015). Using logic models. In Handbook of Practical Program Evaluation.</w:t>
      </w:r>
    </w:p>
    <w:p>
      <w:pPr>
        <w:pStyle w:val="ListBullet"/>
      </w:pPr>
      <w:r>
        <w:t>Roomi, M.A. et al. (2021). [Indicator sets for sustainable entrepreneurship].</w:t>
      </w:r>
    </w:p>
    <w:p>
      <w:pPr>
        <w:pStyle w:val="ListBullet"/>
      </w:pPr>
      <w:r>
        <w:t>Sahili, Z. &amp; Barrales-Molina, V. (2024). [Lean environmental assessment in young firms].</w:t>
      </w:r>
    </w:p>
    <w:p>
      <w:pPr>
        <w:pStyle w:val="ListBullet"/>
      </w:pPr>
      <w:r>
        <w:t>Weidema, B.P. et al. (2018). [Progressive data collection and hybrid assessment].</w:t>
      </w:r>
    </w:p>
    <w:p>
      <w:pPr>
        <w:pStyle w:val="ListBullet"/>
      </w:pPr>
      <w:r>
        <w:t>Weiss, C.H. (1995). Nothing as practical as good theory. In New Approaches to Evaluating Community Initiatives.</w:t>
      </w:r>
    </w:p>
    <w:p>
      <w:r>
        <w:rPr>
          <w:i/>
          <w:color w:val="5A6B62"/>
          <w:sz w:val="17"/>
        </w:rPr>
        <w:t>Generated with the four-module Environmental Impact Assessment tool, based on “A Proposed Framework for Environmental Impact Assessment in Early-Stage Startups”. Screening-level instrument — does not replace full LCA or GHG Protocol reporting.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Page </w:t>
    </w:r>
    <w:fldSimple w:instr="PAGE"/>
    <w:r>
      <w:rPr>
        <w:sz w:val="17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