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pPr>
      <w:r>
        <w:rPr>
          <w:color w:val="2E6B4F"/>
        </w:rPr>
        <w:t xml:space="preserve">Environmental Impact Assessment</w:t>
      </w:r>
    </w:p>
    <w:p>
      <w:pPr>
        <w:pStyle w:val="Heading1"/>
      </w:pPr>
      <w:r>
        <w:rPr>
          <w:color w:val="333333"/>
        </w:rPr>
        <w:t xml:space="preserve">FieldSense</w:t>
      </w:r>
    </w:p>
    <w:p>
      <w:r>
        <w:rPr>
          <w:i/>
          <w:iCs/>
          <w:color w:val="5A6B62"/>
          <w:sz w:val="19"/>
          <w:szCs w:val="19"/>
        </w:rPr>
        <w:t xml:space="preserve">Assessment version 1  ·  Generated 2026-10-17  ·  Development stage: Validation / MVP  ·  Sector: AgTech / precision irrigation</w:t>
      </w:r>
    </w:p>
    <w:p>
      <w:pPr>
        <w:ind w:left="360"/>
      </w:pPr>
      <w:r>
        <w:rPr>
          <w:i/>
          <w:iCs/>
        </w:rPr>
        <w:t xml:space="preserve">FieldSense sells wireless soil-moisture sensors and a mobile irrigation scheduling app that helps small and mid-size farms cut water use without losing yield.</w:t>
      </w:r>
    </w:p>
    <w:p>
      <w:r>
        <w:t xml:space="preserve"/>
      </w:r>
    </w:p>
    <w:p>
      <w:pPr>
        <w:pStyle w:val="Heading1"/>
      </w:pPr>
      <w:r>
        <w:t xml:space="preserve">Table of Contents</w:t>
      </w:r>
    </w:p>
    <w:sdt>
      <w:sdtPr>
        <w:alias w:val="Table of Contents"/>
      </w:sdtPr>
      <w:sdtContent>
        <w:p>
          <w:r>
            <w:fldChar w:fldCharType="begin" w:dirty="true"/>
            <w:instrText xml:space="preserve">TOC \h \o "1-3"</w:instrText>
            <w:fldChar w:fldCharType="separate"/>
          </w:r>
        </w:p>
        <w:p>
          <w:r>
            <w:fldChar w:fldCharType="end"/>
          </w:r>
        </w:p>
      </w:sdtContent>
    </w:sdt>
    <w:p>
      <w:r>
        <w:br w:type="page"/>
      </w:r>
    </w:p>
    <w:p>
      <w:pPr>
        <w:pStyle w:val="Heading1"/>
      </w:pPr>
      <w:r>
        <w:t xml:space="preserve">Executive Summary</w:t>
      </w:r>
    </w:p>
    <w:p>
      <w:pPr>
        <w:pStyle w:val="ListParagraph"/>
        <w:numPr>
          <w:ilvl w:val="0"/>
          <w:numId w:val="1"/>
        </w:numPr>
      </w:pPr>
      <w:r>
        <w:t xml:space="preserve">Classification: Enabling Startup</w:t>
      </w:r>
    </w:p>
    <w:p>
      <w:pPr>
        <w:pStyle w:val="ListParagraph"/>
        <w:numPr>
          <w:ilvl w:val="0"/>
          <w:numId w:val="1"/>
        </w:numPr>
      </w:pPr>
      <w:r>
        <w:t xml:space="preserve">Primary unit of analysis: The adoption pathway</w:t>
      </w:r>
    </w:p>
    <w:p>
      <w:pPr>
        <w:pStyle w:val="ListParagraph"/>
        <w:numPr>
          <w:ilvl w:val="0"/>
          <w:numId w:val="1"/>
        </w:numPr>
      </w:pPr>
      <w:r>
        <w:t xml:space="preserve">Core indicator set: 2 indicator(s) — Adoption rate of the solution; Quality / reliability of adoption evidence</w:t>
      </w:r>
    </w:p>
    <w:p>
      <w:pPr>
        <w:pStyle w:val="ListParagraph"/>
        <w:numPr>
          <w:ilvl w:val="0"/>
          <w:numId w:val="1"/>
        </w:numPr>
      </w:pPr>
      <w:r>
        <w:t xml:space="preserve">Evidence base: 1 measured, 1 modelled, 1 projected</w:t>
      </w:r>
    </w:p>
    <w:p>
      <w:pPr>
        <w:pStyle w:val="ListParagraph"/>
        <w:numPr>
          <w:ilvl w:val="0"/>
          <w:numId w:val="1"/>
        </w:numPr>
      </w:pPr>
      <w:r>
        <w:t xml:space="preserve">Integrity checks: 0 warning(s)</w:t>
      </w:r>
    </w:p>
    <w:p>
      <w:pPr>
        <w:pStyle w:val="ListParagraph"/>
        <w:numPr>
          <w:ilvl w:val="0"/>
          <w:numId w:val="1"/>
        </w:numPr>
      </w:pPr>
      <w:r>
        <w:t xml:space="preserve">Customer: B2B</w:t>
      </w:r>
    </w:p>
    <w:p>
      <w:pPr>
        <w:pStyle w:val="ListParagraph"/>
        <w:numPr>
          <w:ilvl w:val="0"/>
          <w:numId w:val="1"/>
        </w:numPr>
      </w:pPr>
      <w:r>
        <w:t xml:space="preserve">Next steps: 3 recommended — see Section 6</w:t>
      </w:r>
    </w:p>
    <w:p>
      <w:pPr>
        <w:pStyle w:val="ListParagraph"/>
        <w:numPr>
          <w:ilvl w:val="0"/>
          <w:numId w:val="1"/>
        </w:numPr>
      </w:pPr>
      <w:r>
        <w:t xml:space="preserve">Next scheduled review: Product launch</w:t>
      </w:r>
    </w:p>
    <w:p>
      <w:pPr>
        <w:pStyle w:val="Heading1"/>
      </w:pPr>
      <w:r>
        <w:t xml:space="preserve">1. Startup Profiling &amp; Type Classification</w:t>
      </w:r>
    </w:p>
    <w:p>
      <w:pPr>
        <w:pStyle w:val="ListParagraph"/>
        <w:numPr>
          <w:ilvl w:val="0"/>
          <w:numId w:val="1"/>
        </w:numPr>
      </w:pPr>
      <w:r>
        <w:t xml:space="preserve">Impact mechanism: Enabling</w:t>
      </w:r>
    </w:p>
    <w:p>
      <w:pPr>
        <w:pStyle w:val="ListParagraph"/>
        <w:numPr>
          <w:ilvl w:val="0"/>
          <w:numId w:val="1"/>
        </w:numPr>
      </w:pPr>
      <w:r>
        <w:t xml:space="preserve">Value proposition orientation: Primary</w:t>
      </w:r>
    </w:p>
    <w:p>
      <w:pPr>
        <w:pStyle w:val="ListParagraph"/>
        <w:numPr>
          <w:ilvl w:val="0"/>
          <w:numId w:val="1"/>
        </w:numPr>
      </w:pPr>
      <w:r>
        <w:t xml:space="preserve">Resulting type: Enabling Startup</w:t>
      </w:r>
    </w:p>
    <w:p>
      <w:pPr>
        <w:ind w:left="200"/>
      </w:pPr>
      <w:r>
        <w:t xml:space="preserve">The startup is not itself environmental technology, but allows other actors to reduce their environmental impact. The benefit depends on adoption and behavior change by customers or partners.</w:t>
      </w:r>
    </w:p>
    <w:p>
      <w:pPr>
        <w:pStyle w:val="Heading3"/>
      </w:pPr>
      <w:r>
        <w:t xml:space="preserve">Customer</w:t>
      </w:r>
    </w:p>
    <w:p>
      <w:pPr>
        <w:pStyle w:val="ListParagraph"/>
        <w:numPr>
          <w:ilvl w:val="0"/>
          <w:numId w:val="1"/>
        </w:numPr>
      </w:pPr>
      <w:r>
        <w:rPr>
          <w:b/>
          <w:bCs/>
        </w:rPr>
        <w:t xml:space="preserve">Customer segment: </w:t>
      </w:r>
      <w:r>
        <w:t xml:space="preserve">B2B</w:t>
      </w:r>
    </w:p>
    <w:p>
      <w:pPr>
        <w:pStyle w:val="ListParagraph"/>
        <w:numPr>
          <w:ilvl w:val="0"/>
          <w:numId w:val="1"/>
        </w:numPr>
      </w:pPr>
      <w:r>
        <w:rPr>
          <w:b/>
          <w:bCs/>
        </w:rPr>
        <w:t xml:space="preserve">Revenue model: </w:t>
      </w:r>
      <w:r>
        <w:t xml:space="preserve">Device or equipment plus a subscription</w:t>
      </w:r>
    </w:p>
    <w:p>
      <w:pPr>
        <w:pStyle w:val="ListParagraph"/>
        <w:numPr>
          <w:ilvl w:val="0"/>
          <w:numId w:val="1"/>
        </w:numPr>
      </w:pPr>
      <w:r>
        <w:rPr>
          <w:b/>
          <w:bCs/>
        </w:rPr>
        <w:t xml:space="preserve">Buyer (decides and pays): </w:t>
      </w:r>
      <w:r>
        <w:t xml:space="preserve">Owners of small and mid-size vegetable and orchard farms (20–500 ha) in dry regions that irrigate from metered wells or paid water sources.</w:t>
      </w:r>
    </w:p>
    <w:p>
      <w:pPr>
        <w:pStyle w:val="ListParagraph"/>
        <w:numPr>
          <w:ilvl w:val="0"/>
          <w:numId w:val="1"/>
        </w:numPr>
      </w:pPr>
      <w:r>
        <w:rPr>
          <w:b/>
          <w:bCs/>
        </w:rPr>
        <w:t xml:space="preserve">User (day to day): </w:t>
      </w:r>
      <w:r>
        <w:t xml:space="preserve">Farm managers and irrigation staff who check the app and run the irrigation system.</w:t>
      </w:r>
    </w:p>
    <w:p>
      <w:pPr>
        <w:pStyle w:val="ListParagraph"/>
        <w:numPr>
          <w:ilvl w:val="0"/>
          <w:numId w:val="1"/>
        </w:numPr>
      </w:pPr>
      <w:r>
        <w:rPr>
          <w:b/>
          <w:bCs/>
        </w:rPr>
        <w:t xml:space="preserve">Whose behaviour must change: </w:t>
      </w:r>
      <w:r>
        <w:t xml:space="preserve">Whoever decides when and how much to irrigate on the farm (usually the farm manager, not the owner).</w:t>
      </w:r>
    </w:p>
    <w:p>
      <w:pPr>
        <w:pStyle w:val="ListParagraph"/>
        <w:numPr>
          <w:ilvl w:val="0"/>
          <w:numId w:val="1"/>
        </w:numPr>
      </w:pPr>
      <w:r>
        <w:rPr>
          <w:b/>
          <w:bCs/>
        </w:rPr>
        <w:t xml:space="preserve">Why customers buy it: </w:t>
      </w:r>
      <w:r>
        <w:t xml:space="preserve">It saves the customer money (lower energy, water, material or input costs); It does the job better, faster or more reliably (environment aside)</w:t>
      </w:r>
    </w:p>
    <w:p>
      <w:pPr>
        <w:pStyle w:val="ListParagraph"/>
        <w:numPr>
          <w:ilvl w:val="0"/>
          <w:numId w:val="1"/>
        </w:numPr>
      </w:pPr>
      <w:r>
        <w:rPr>
          <w:b/>
          <w:bCs/>
        </w:rPr>
        <w:t xml:space="preserve">Customer value &amp; environmental link: </w:t>
      </w:r>
      <w:r>
        <w:t xml:space="preserve">Lower water and pumping costs with stable yields: every m³ of water the farm does not apply is also money saved.</w:t>
      </w:r>
    </w:p>
    <w:p>
      <w:r>
        <w:rPr>
          <w:i/>
          <w:iCs/>
          <w:color w:val="5A6B62"/>
          <w:sz w:val="19"/>
          <w:szCs w:val="19"/>
        </w:rPr>
        <w:t xml:space="preserve">Stage guidance (Validation / MVP): Refine the impact pathway with first evidence from pilots. Begin populating the most feasible indicators; expect most claims to be modelled or projected.</w:t>
      </w:r>
    </w:p>
    <w:p>
      <w:pPr>
        <w:pStyle w:val="Heading1"/>
      </w:pPr>
      <w:r>
        <w:t xml:space="preserve">2. Impact Pathway (Theory of Change)</w:t>
      </w:r>
    </w:p>
    <w:p>
      <w:pPr>
        <w:pStyle w:val="Heading2"/>
      </w:pPr>
      <w:r>
        <w:t xml:space="preserve">Adoption chain</w:t>
      </w:r>
    </w:p>
    <w:p>
      <w:r>
        <w:drawing>
          <wp:inline distT="0" distB="0" distL="0" distR="0">
            <wp:extent cx="5905500" cy="27813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905500" cy="2781300"/>
                    </a:xfrm>
                    <a:prstGeom prst="rect">
                      <a:avLst/>
                    </a:prstGeom>
                  </pic:spPr>
                </pic:pic>
              </a:graphicData>
            </a:graphic>
          </wp:inline>
        </w:drawing>
      </w:r>
    </w:p>
    <w:p>
      <w:pPr>
        <w:pStyle w:val="Heading3"/>
      </w:pPr>
      <w:r>
        <w:t xml:space="preserve">Activities: product features / service delivered</w:t>
      </w:r>
    </w:p>
    <w:p>
      <w:pPr>
        <w:pStyle w:val="ListParagraph"/>
        <w:numPr>
          <w:ilvl w:val="0"/>
          <w:numId w:val="1"/>
        </w:numPr>
      </w:pPr>
      <w:r>
        <w:t xml:space="preserve">Description: Wireless soil-moisture sensors feed a mobile app that generates daily irrigation recommendations calibrated to crop type and soil profile.</w:t>
      </w:r>
    </w:p>
    <w:p>
      <w:pPr>
        <w:pStyle w:val="ListParagraph"/>
        <w:numPr>
          <w:ilvl w:val="0"/>
          <w:numId w:val="1"/>
        </w:numPr>
      </w:pPr>
      <w:r>
        <w:t xml:space="preserve">Underlying assumption: Recommendations are accurate and trustworthy enough that farmers follow them instead of habitual watering schedules.</w:t>
      </w:r>
    </w:p>
    <w:p>
      <w:pPr>
        <w:pStyle w:val="ListParagraph"/>
        <w:numPr>
          <w:ilvl w:val="0"/>
          <w:numId w:val="1"/>
        </w:numPr>
      </w:pPr>
      <w:r>
        <w:t xml:space="preserve">Evidence strength: Weak (assumption only)</w:t>
      </w:r>
    </w:p>
    <w:p>
      <w:pPr>
        <w:pStyle w:val="Heading3"/>
      </w:pPr>
      <w:r>
        <w:t xml:space="preserve">Outputs: customer adoption</w:t>
      </w:r>
      <w:r>
        <w:rPr>
          <w:b/>
          <w:bCs/>
          <w:color w:val="D9661F"/>
        </w:rPr>
        <w:t xml:space="preserve">  [ADOPTION NEEDED]</w:t>
      </w:r>
    </w:p>
    <w:p>
      <w:pPr>
        <w:pStyle w:val="ListParagraph"/>
        <w:numPr>
          <w:ilvl w:val="0"/>
          <w:numId w:val="1"/>
        </w:numPr>
      </w:pPr>
      <w:r>
        <w:t xml:space="preserve">Description: 62 farms enrolled across the pilot region (up from 40 six months ago), averaging 3.2 sensors per farm.</w:t>
      </w:r>
    </w:p>
    <w:p>
      <w:pPr>
        <w:pStyle w:val="ListParagraph"/>
        <w:numPr>
          <w:ilvl w:val="0"/>
          <w:numId w:val="1"/>
        </w:numPr>
      </w:pPr>
      <w:r>
        <w:t xml:space="preserve">Underlying assumption: Enrolled farms are reasonably representative of typical smallholder operations in the region, not just early-adopter outliers.</w:t>
      </w:r>
    </w:p>
    <w:p>
      <w:pPr>
        <w:pStyle w:val="ListParagraph"/>
        <w:numPr>
          <w:ilvl w:val="0"/>
          <w:numId w:val="1"/>
        </w:numPr>
      </w:pPr>
      <w:r>
        <w:t xml:space="preserve">Evidence strength: Moderate (some evidence)</w:t>
      </w:r>
    </w:p>
    <w:p>
      <w:pPr>
        <w:pStyle w:val="Heading3"/>
      </w:pPr>
      <w:r>
        <w:t xml:space="preserve">Outcomes: customer behavior change</w:t>
      </w:r>
      <w:r>
        <w:rPr>
          <w:b/>
          <w:bCs/>
          <w:color w:val="D9661F"/>
        </w:rPr>
        <w:t xml:space="preserve">  [BEHAVIOUR CHANGE NEEDED]</w:t>
      </w:r>
    </w:p>
    <w:p>
      <w:pPr>
        <w:pStyle w:val="ListParagraph"/>
        <w:numPr>
          <w:ilvl w:val="0"/>
          <w:numId w:val="1"/>
        </w:numPr>
      </w:pPr>
      <w:r>
        <w:t xml:space="preserve">Description: Pilot farmers report checking the app before irrigating and anecdotally watering less often.</w:t>
      </w:r>
    </w:p>
    <w:p>
      <w:pPr>
        <w:pStyle w:val="ListParagraph"/>
        <w:numPr>
          <w:ilvl w:val="0"/>
          <w:numId w:val="1"/>
        </w:numPr>
      </w:pPr>
      <w:r>
        <w:t xml:space="preserve">Underlying assumption: App engagement actually translates into reduced water applied, not just reduced perceived need to water.</w:t>
      </w:r>
    </w:p>
    <w:p>
      <w:pPr>
        <w:pStyle w:val="ListParagraph"/>
        <w:numPr>
          <w:ilvl w:val="0"/>
          <w:numId w:val="1"/>
        </w:numPr>
      </w:pPr>
      <w:r>
        <w:t xml:space="preserve">Evidence strength: Weak (assumption only)</w:t>
      </w:r>
    </w:p>
    <w:p>
      <w:pPr>
        <w:pStyle w:val="Heading3"/>
      </w:pPr>
      <w:r>
        <w:t xml:space="preserve">Impact: avoided environmental harm</w:t>
      </w:r>
    </w:p>
    <w:p>
      <w:pPr>
        <w:pStyle w:val="ListParagraph"/>
        <w:numPr>
          <w:ilvl w:val="0"/>
          <w:numId w:val="1"/>
        </w:numPr>
      </w:pPr>
      <w:r>
        <w:t xml:space="preserve">Description: Reduced groundwater and surface-water withdrawal per irrigated hectare.</w:t>
      </w:r>
    </w:p>
    <w:p>
      <w:pPr>
        <w:pStyle w:val="ListParagraph"/>
        <w:numPr>
          <w:ilvl w:val="0"/>
          <w:numId w:val="1"/>
        </w:numPr>
      </w:pPr>
      <w:r>
        <w:t xml:space="preserve">Underlying assumption: Water savings are not offset by farmers expanding their irrigated area with the water they save (rebound effect).</w:t>
      </w:r>
    </w:p>
    <w:p>
      <w:pPr>
        <w:pStyle w:val="ListParagraph"/>
        <w:numPr>
          <w:ilvl w:val="0"/>
          <w:numId w:val="1"/>
        </w:numPr>
      </w:pPr>
      <w:r>
        <w:t xml:space="preserve">Evidence strength: Not rated</w:t>
      </w:r>
    </w:p>
    <w:p>
      <w:r>
        <w:rPr>
          <w:b/>
          <w:bCs/>
          <w:color w:val="AA3333"/>
        </w:rPr>
        <w:t xml:space="preserve">Weakest link(s) in the chain: The behavior-change assumption is the weakest link in the chain. We have solid enrollment numbers, but no water-meter data yet confirming that farmers actually reduce withdrawal rather than just feeling more informed — and we don't yet track whether saved water gets used to expand irrigated area instead.</w:t>
      </w:r>
    </w:p>
    <w:p>
      <w:pPr>
        <w:pStyle w:val="Heading1"/>
      </w:pPr>
      <w:r>
        <w:t xml:space="preserve">3. Indicator Set (Feasibility–Relevance Scoring)</w:t>
      </w:r>
    </w:p>
    <w:p>
      <w:pPr>
        <w:pStyle w:val="Heading2"/>
      </w:pPr>
      <w:r>
        <w:t xml:space="preserve">Core set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rPr>
          <w:tblHeader/>
        </w:trPr>
        <w:tc>
          <w:tcPr>
            <w:tcW w:type="pct" w:w="30%"/>
            <w:tcBorders>
              <w:top w:val="single" w:color="C9D8CE" w:sz="4"/>
              <w:left w:val="single" w:color="C9D8CE" w:sz="4"/>
              <w:bottom w:val="single" w:color="C9D8CE" w:sz="4"/>
              <w:right w:val="single" w:color="C9D8CE" w:sz="4"/>
            </w:tcBorders>
            <w:shd w:fill="2E6B4F" w:color="auto" w:val="clear"/>
            <w:tcMar>
              <w:top w:type="dxa" w:w="60"/>
              <w:left w:type="dxa" w:w="90"/>
              <w:bottom w:type="dxa" w:w="60"/>
              <w:right w:type="dxa" w:w="90"/>
            </w:tcMar>
          </w:tcPr>
          <w:p>
            <w:r>
              <w:rPr>
                <w:b/>
                <w:bCs/>
                <w:color w:val="FFFFFF"/>
                <w:sz w:val="19"/>
                <w:szCs w:val="19"/>
              </w:rPr>
              <w:t xml:space="preserve">Indicator</w:t>
            </w:r>
          </w:p>
        </w:tc>
        <w:tc>
          <w:tcPr>
            <w:tcW w:type="pct" w:w="18%"/>
            <w:tcBorders>
              <w:top w:val="single" w:color="C9D8CE" w:sz="4"/>
              <w:left w:val="single" w:color="C9D8CE" w:sz="4"/>
              <w:bottom w:val="single" w:color="C9D8CE" w:sz="4"/>
              <w:right w:val="single" w:color="C9D8CE" w:sz="4"/>
            </w:tcBorders>
            <w:shd w:fill="2E6B4F" w:color="auto" w:val="clear"/>
            <w:tcMar>
              <w:top w:type="dxa" w:w="60"/>
              <w:left w:type="dxa" w:w="90"/>
              <w:bottom w:type="dxa" w:w="60"/>
              <w:right w:type="dxa" w:w="90"/>
            </w:tcMar>
          </w:tcPr>
          <w:p>
            <w:r>
              <w:rPr>
                <w:b/>
                <w:bCs/>
                <w:color w:val="FFFFFF"/>
                <w:sz w:val="19"/>
                <w:szCs w:val="19"/>
              </w:rPr>
              <w:t xml:space="preserve">Category</w:t>
            </w:r>
          </w:p>
        </w:tc>
        <w:tc>
          <w:tcPr>
            <w:tcW w:type="pct" w:w="8%"/>
            <w:tcBorders>
              <w:top w:val="single" w:color="C9D8CE" w:sz="4"/>
              <w:left w:val="single" w:color="C9D8CE" w:sz="4"/>
              <w:bottom w:val="single" w:color="C9D8CE" w:sz="4"/>
              <w:right w:val="single" w:color="C9D8CE" w:sz="4"/>
            </w:tcBorders>
            <w:shd w:fill="2E6B4F" w:color="auto" w:val="clear"/>
            <w:tcMar>
              <w:top w:type="dxa" w:w="60"/>
              <w:left w:type="dxa" w:w="90"/>
              <w:bottom w:type="dxa" w:w="60"/>
              <w:right w:type="dxa" w:w="90"/>
            </w:tcMar>
          </w:tcPr>
          <w:p>
            <w:r>
              <w:rPr>
                <w:b/>
                <w:bCs/>
                <w:color w:val="FFFFFF"/>
                <w:sz w:val="19"/>
                <w:szCs w:val="19"/>
              </w:rPr>
              <w:t xml:space="preserve">Feas.</w:t>
            </w:r>
          </w:p>
        </w:tc>
        <w:tc>
          <w:tcPr>
            <w:tcW w:type="pct" w:w="8%"/>
            <w:tcBorders>
              <w:top w:val="single" w:color="C9D8CE" w:sz="4"/>
              <w:left w:val="single" w:color="C9D8CE" w:sz="4"/>
              <w:bottom w:val="single" w:color="C9D8CE" w:sz="4"/>
              <w:right w:val="single" w:color="C9D8CE" w:sz="4"/>
            </w:tcBorders>
            <w:shd w:fill="2E6B4F" w:color="auto" w:val="clear"/>
            <w:tcMar>
              <w:top w:type="dxa" w:w="60"/>
              <w:left w:type="dxa" w:w="90"/>
              <w:bottom w:type="dxa" w:w="60"/>
              <w:right w:type="dxa" w:w="90"/>
            </w:tcMar>
          </w:tcPr>
          <w:p>
            <w:r>
              <w:rPr>
                <w:b/>
                <w:bCs/>
                <w:color w:val="FFFFFF"/>
                <w:sz w:val="19"/>
                <w:szCs w:val="19"/>
              </w:rPr>
              <w:t xml:space="preserve">Rel.</w:t>
            </w:r>
          </w:p>
        </w:tc>
        <w:tc>
          <w:tcPr>
            <w:tcW w:type="pct" w:w="36%"/>
            <w:tcBorders>
              <w:top w:val="single" w:color="C9D8CE" w:sz="4"/>
              <w:left w:val="single" w:color="C9D8CE" w:sz="4"/>
              <w:bottom w:val="single" w:color="C9D8CE" w:sz="4"/>
              <w:right w:val="single" w:color="C9D8CE" w:sz="4"/>
            </w:tcBorders>
            <w:shd w:fill="2E6B4F" w:color="auto" w:val="clear"/>
            <w:tcMar>
              <w:top w:type="dxa" w:w="60"/>
              <w:left w:type="dxa" w:w="90"/>
              <w:bottom w:type="dxa" w:w="60"/>
              <w:right w:type="dxa" w:w="90"/>
            </w:tcMar>
          </w:tcPr>
          <w:p>
            <w:r>
              <w:rPr>
                <w:b/>
                <w:bCs/>
                <w:color w:val="FFFFFF"/>
                <w:sz w:val="19"/>
                <w:szCs w:val="19"/>
              </w:rPr>
              <w:t xml:space="preserve">Details</w:t>
            </w:r>
          </w:p>
        </w:tc>
      </w:tr>
      <w:tr>
        <w:tc>
          <w:tcPr>
            <w:tcW w:type="pct" w:w="30%"/>
            <w:tcBorders>
              <w:top w:val="single" w:color="C9D8CE" w:sz="4"/>
              <w:left w:val="single" w:color="C9D8CE" w:sz="4"/>
              <w:bottom w:val="single" w:color="C9D8CE" w:sz="4"/>
              <w:right w:val="single" w:color="C9D8CE" w:sz="4"/>
            </w:tcBorders>
            <w:tcMar>
              <w:top w:type="dxa" w:w="60"/>
              <w:left w:type="dxa" w:w="90"/>
              <w:bottom w:type="dxa" w:w="60"/>
              <w:right w:type="dxa" w:w="90"/>
            </w:tcMar>
          </w:tcPr>
          <w:p>
            <w:r>
              <w:rPr>
                <w:b w:val="false"/>
                <w:bCs w:val="false"/>
                <w:sz w:val="19"/>
                <w:szCs w:val="19"/>
              </w:rPr>
              <w:t xml:space="preserve">Adoption rate of the solution</w:t>
            </w:r>
          </w:p>
        </w:tc>
        <w:tc>
          <w:tcPr>
            <w:tcW w:type="pct" w:w="18%"/>
            <w:tcBorders>
              <w:top w:val="single" w:color="C9D8CE" w:sz="4"/>
              <w:left w:val="single" w:color="C9D8CE" w:sz="4"/>
              <w:bottom w:val="single" w:color="C9D8CE" w:sz="4"/>
              <w:right w:val="single" w:color="C9D8CE" w:sz="4"/>
            </w:tcBorders>
            <w:tcMar>
              <w:top w:type="dxa" w:w="60"/>
              <w:left w:type="dxa" w:w="90"/>
              <w:bottom w:type="dxa" w:w="60"/>
              <w:right w:type="dxa" w:w="90"/>
            </w:tcMar>
          </w:tcPr>
          <w:p>
            <w:r>
              <w:rPr>
                <w:b w:val="false"/>
                <w:bCs w:val="false"/>
                <w:sz w:val="19"/>
                <w:szCs w:val="19"/>
              </w:rPr>
              <w:t xml:space="preserve">Systemic &amp; Enabling Contribution</w:t>
            </w:r>
          </w:p>
        </w:tc>
        <w:tc>
          <w:tcPr>
            <w:tcW w:type="pct" w:w="8%"/>
            <w:tcBorders>
              <w:top w:val="single" w:color="C9D8CE" w:sz="4"/>
              <w:left w:val="single" w:color="C9D8CE" w:sz="4"/>
              <w:bottom w:val="single" w:color="C9D8CE" w:sz="4"/>
              <w:right w:val="single" w:color="C9D8CE" w:sz="4"/>
            </w:tcBorders>
            <w:tcMar>
              <w:top w:type="dxa" w:w="60"/>
              <w:left w:type="dxa" w:w="90"/>
              <w:bottom w:type="dxa" w:w="60"/>
              <w:right w:type="dxa" w:w="90"/>
            </w:tcMar>
          </w:tcPr>
          <w:p>
            <w:r>
              <w:rPr>
                <w:b w:val="false"/>
                <w:bCs w:val="false"/>
                <w:sz w:val="19"/>
                <w:szCs w:val="19"/>
              </w:rPr>
              <w:t xml:space="preserve">High</w:t>
            </w:r>
          </w:p>
        </w:tc>
        <w:tc>
          <w:tcPr>
            <w:tcW w:type="pct" w:w="8%"/>
            <w:tcBorders>
              <w:top w:val="single" w:color="C9D8CE" w:sz="4"/>
              <w:left w:val="single" w:color="C9D8CE" w:sz="4"/>
              <w:bottom w:val="single" w:color="C9D8CE" w:sz="4"/>
              <w:right w:val="single" w:color="C9D8CE" w:sz="4"/>
            </w:tcBorders>
            <w:tcMar>
              <w:top w:type="dxa" w:w="60"/>
              <w:left w:type="dxa" w:w="90"/>
              <w:bottom w:type="dxa" w:w="60"/>
              <w:right w:type="dxa" w:w="90"/>
            </w:tcMar>
          </w:tcPr>
          <w:p>
            <w:r>
              <w:rPr>
                <w:b w:val="false"/>
                <w:bCs w:val="false"/>
                <w:sz w:val="19"/>
                <w:szCs w:val="19"/>
              </w:rPr>
              <w:t xml:space="preserve">High</w:t>
            </w:r>
          </w:p>
        </w:tc>
        <w:tc>
          <w:tcPr>
            <w:tcW w:type="pct" w:w="36%"/>
            <w:tcBorders>
              <w:top w:val="single" w:color="C9D8CE" w:sz="4"/>
              <w:left w:val="single" w:color="C9D8CE" w:sz="4"/>
              <w:bottom w:val="single" w:color="C9D8CE" w:sz="4"/>
              <w:right w:val="single" w:color="C9D8CE" w:sz="4"/>
            </w:tcBorders>
            <w:tcMar>
              <w:top w:type="dxa" w:w="60"/>
              <w:left w:type="dxa" w:w="90"/>
              <w:bottom w:type="dxa" w:w="60"/>
              <w:right w:type="dxa" w:w="90"/>
            </w:tcMar>
          </w:tcPr>
          <w:p>
            <w:r>
              <w:rPr>
                <w:b w:val="false"/>
                <w:bCs w:val="false"/>
                <w:sz w:val="19"/>
                <w:szCs w:val="19"/>
              </w:rPr>
              <w:t xml:space="preserve">Unit: farms enrolled / hectares covered; Current: 62 farms, ~410 hectares; Target: 150 farms by end of season; Freq.: Monthly; Source: CRM enrollment records; Evidences: Adoption chain → Outputs: customer adoption</w:t>
            </w:r>
          </w:p>
        </w:tc>
      </w:tr>
      <w:tr>
        <w:tc>
          <w:tcPr>
            <w:tcW w:type="pct" w:w="30%"/>
            <w:tcBorders>
              <w:top w:val="single" w:color="C9D8CE" w:sz="4"/>
              <w:left w:val="single" w:color="C9D8CE" w:sz="4"/>
              <w:bottom w:val="single" w:color="C9D8CE" w:sz="4"/>
              <w:right w:val="single" w:color="C9D8CE" w:sz="4"/>
            </w:tcBorders>
            <w:shd w:fill="EAF2ED" w:color="auto" w:val="clear"/>
            <w:tcMar>
              <w:top w:type="dxa" w:w="60"/>
              <w:left w:type="dxa" w:w="90"/>
              <w:bottom w:type="dxa" w:w="60"/>
              <w:right w:type="dxa" w:w="90"/>
            </w:tcMar>
          </w:tcPr>
          <w:p>
            <w:r>
              <w:rPr>
                <w:b w:val="false"/>
                <w:bCs w:val="false"/>
                <w:sz w:val="19"/>
                <w:szCs w:val="19"/>
              </w:rPr>
              <w:t xml:space="preserve">Quality / reliability of adoption evidence</w:t>
            </w:r>
          </w:p>
        </w:tc>
        <w:tc>
          <w:tcPr>
            <w:tcW w:type="pct" w:w="18%"/>
            <w:tcBorders>
              <w:top w:val="single" w:color="C9D8CE" w:sz="4"/>
              <w:left w:val="single" w:color="C9D8CE" w:sz="4"/>
              <w:bottom w:val="single" w:color="C9D8CE" w:sz="4"/>
              <w:right w:val="single" w:color="C9D8CE" w:sz="4"/>
            </w:tcBorders>
            <w:shd w:fill="EAF2ED" w:color="auto" w:val="clear"/>
            <w:tcMar>
              <w:top w:type="dxa" w:w="60"/>
              <w:left w:type="dxa" w:w="90"/>
              <w:bottom w:type="dxa" w:w="60"/>
              <w:right w:type="dxa" w:w="90"/>
            </w:tcMar>
          </w:tcPr>
          <w:p>
            <w:r>
              <w:rPr>
                <w:b w:val="false"/>
                <w:bCs w:val="false"/>
                <w:sz w:val="19"/>
                <w:szCs w:val="19"/>
              </w:rPr>
              <w:t xml:space="preserve">Systemic &amp; Enabling Contribution</w:t>
            </w:r>
          </w:p>
        </w:tc>
        <w:tc>
          <w:tcPr>
            <w:tcW w:type="pct" w:w="8%"/>
            <w:tcBorders>
              <w:top w:val="single" w:color="C9D8CE" w:sz="4"/>
              <w:left w:val="single" w:color="C9D8CE" w:sz="4"/>
              <w:bottom w:val="single" w:color="C9D8CE" w:sz="4"/>
              <w:right w:val="single" w:color="C9D8CE" w:sz="4"/>
            </w:tcBorders>
            <w:shd w:fill="EAF2ED" w:color="auto" w:val="clear"/>
            <w:tcMar>
              <w:top w:type="dxa" w:w="60"/>
              <w:left w:type="dxa" w:w="90"/>
              <w:bottom w:type="dxa" w:w="60"/>
              <w:right w:type="dxa" w:w="90"/>
            </w:tcMar>
          </w:tcPr>
          <w:p>
            <w:r>
              <w:rPr>
                <w:b w:val="false"/>
                <w:bCs w:val="false"/>
                <w:sz w:val="19"/>
                <w:szCs w:val="19"/>
              </w:rPr>
              <w:t xml:space="preserve">Medium</w:t>
            </w:r>
          </w:p>
        </w:tc>
        <w:tc>
          <w:tcPr>
            <w:tcW w:type="pct" w:w="8%"/>
            <w:tcBorders>
              <w:top w:val="single" w:color="C9D8CE" w:sz="4"/>
              <w:left w:val="single" w:color="C9D8CE" w:sz="4"/>
              <w:bottom w:val="single" w:color="C9D8CE" w:sz="4"/>
              <w:right w:val="single" w:color="C9D8CE" w:sz="4"/>
            </w:tcBorders>
            <w:shd w:fill="EAF2ED" w:color="auto" w:val="clear"/>
            <w:tcMar>
              <w:top w:type="dxa" w:w="60"/>
              <w:left w:type="dxa" w:w="90"/>
              <w:bottom w:type="dxa" w:w="60"/>
              <w:right w:type="dxa" w:w="90"/>
            </w:tcMar>
          </w:tcPr>
          <w:p>
            <w:r>
              <w:rPr>
                <w:b w:val="false"/>
                <w:bCs w:val="false"/>
                <w:sz w:val="19"/>
                <w:szCs w:val="19"/>
              </w:rPr>
              <w:t xml:space="preserve">High</w:t>
            </w:r>
          </w:p>
        </w:tc>
        <w:tc>
          <w:tcPr>
            <w:tcW w:type="pct" w:w="36%"/>
            <w:tcBorders>
              <w:top w:val="single" w:color="C9D8CE" w:sz="4"/>
              <w:left w:val="single" w:color="C9D8CE" w:sz="4"/>
              <w:bottom w:val="single" w:color="C9D8CE" w:sz="4"/>
              <w:right w:val="single" w:color="C9D8CE" w:sz="4"/>
            </w:tcBorders>
            <w:shd w:fill="EAF2ED" w:color="auto" w:val="clear"/>
            <w:tcMar>
              <w:top w:type="dxa" w:w="60"/>
              <w:left w:type="dxa" w:w="90"/>
              <w:bottom w:type="dxa" w:w="60"/>
              <w:right w:type="dxa" w:w="90"/>
            </w:tcMar>
          </w:tcPr>
          <w:p>
            <w:r>
              <w:rPr>
                <w:b w:val="false"/>
                <w:bCs w:val="false"/>
                <w:sz w:val="19"/>
                <w:szCs w:val="19"/>
              </w:rPr>
              <w:t xml:space="preserve">Unit: qualitative rating + evidence description; Current: Self-reported survey (n=22 of 62): 71% report reduced irrigation frequency; no independent verification yet; Target: Move to metered verification on a subset of farms; Freq.: Quarterly; Source: Farmer survey (self-report); Evidences: Adoption chain → Outcomes: customer behavior change</w:t>
            </w:r>
          </w:p>
        </w:tc>
      </w:tr>
    </w:tbl>
    <w:p>
      <w:r>
        <w:t xml:space="preserve"/>
      </w:r>
    </w:p>
    <w:p>
      <w:pPr>
        <w:pStyle w:val="Heading2"/>
      </w:pPr>
      <w:r>
        <w:t xml:space="preserve">Aspirational (future indicator)</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rPr>
          <w:tblHeader/>
        </w:trPr>
        <w:tc>
          <w:tcPr>
            <w:tcW w:type="pct" w:w="30%"/>
            <w:tcBorders>
              <w:top w:val="single" w:color="C9D8CE" w:sz="4"/>
              <w:left w:val="single" w:color="C9D8CE" w:sz="4"/>
              <w:bottom w:val="single" w:color="C9D8CE" w:sz="4"/>
              <w:right w:val="single" w:color="C9D8CE" w:sz="4"/>
            </w:tcBorders>
            <w:shd w:fill="2E6B4F" w:color="auto" w:val="clear"/>
            <w:tcMar>
              <w:top w:type="dxa" w:w="60"/>
              <w:left w:type="dxa" w:w="90"/>
              <w:bottom w:type="dxa" w:w="60"/>
              <w:right w:type="dxa" w:w="90"/>
            </w:tcMar>
          </w:tcPr>
          <w:p>
            <w:r>
              <w:rPr>
                <w:b/>
                <w:bCs/>
                <w:color w:val="FFFFFF"/>
                <w:sz w:val="19"/>
                <w:szCs w:val="19"/>
              </w:rPr>
              <w:t xml:space="preserve">Indicator</w:t>
            </w:r>
          </w:p>
        </w:tc>
        <w:tc>
          <w:tcPr>
            <w:tcW w:type="pct" w:w="18%"/>
            <w:tcBorders>
              <w:top w:val="single" w:color="C9D8CE" w:sz="4"/>
              <w:left w:val="single" w:color="C9D8CE" w:sz="4"/>
              <w:bottom w:val="single" w:color="C9D8CE" w:sz="4"/>
              <w:right w:val="single" w:color="C9D8CE" w:sz="4"/>
            </w:tcBorders>
            <w:shd w:fill="2E6B4F" w:color="auto" w:val="clear"/>
            <w:tcMar>
              <w:top w:type="dxa" w:w="60"/>
              <w:left w:type="dxa" w:w="90"/>
              <w:bottom w:type="dxa" w:w="60"/>
              <w:right w:type="dxa" w:w="90"/>
            </w:tcMar>
          </w:tcPr>
          <w:p>
            <w:r>
              <w:rPr>
                <w:b/>
                <w:bCs/>
                <w:color w:val="FFFFFF"/>
                <w:sz w:val="19"/>
                <w:szCs w:val="19"/>
              </w:rPr>
              <w:t xml:space="preserve">Category</w:t>
            </w:r>
          </w:p>
        </w:tc>
        <w:tc>
          <w:tcPr>
            <w:tcW w:type="pct" w:w="8%"/>
            <w:tcBorders>
              <w:top w:val="single" w:color="C9D8CE" w:sz="4"/>
              <w:left w:val="single" w:color="C9D8CE" w:sz="4"/>
              <w:bottom w:val="single" w:color="C9D8CE" w:sz="4"/>
              <w:right w:val="single" w:color="C9D8CE" w:sz="4"/>
            </w:tcBorders>
            <w:shd w:fill="2E6B4F" w:color="auto" w:val="clear"/>
            <w:tcMar>
              <w:top w:type="dxa" w:w="60"/>
              <w:left w:type="dxa" w:w="90"/>
              <w:bottom w:type="dxa" w:w="60"/>
              <w:right w:type="dxa" w:w="90"/>
            </w:tcMar>
          </w:tcPr>
          <w:p>
            <w:r>
              <w:rPr>
                <w:b/>
                <w:bCs/>
                <w:color w:val="FFFFFF"/>
                <w:sz w:val="19"/>
                <w:szCs w:val="19"/>
              </w:rPr>
              <w:t xml:space="preserve">Feas.</w:t>
            </w:r>
          </w:p>
        </w:tc>
        <w:tc>
          <w:tcPr>
            <w:tcW w:type="pct" w:w="8%"/>
            <w:tcBorders>
              <w:top w:val="single" w:color="C9D8CE" w:sz="4"/>
              <w:left w:val="single" w:color="C9D8CE" w:sz="4"/>
              <w:bottom w:val="single" w:color="C9D8CE" w:sz="4"/>
              <w:right w:val="single" w:color="C9D8CE" w:sz="4"/>
            </w:tcBorders>
            <w:shd w:fill="2E6B4F" w:color="auto" w:val="clear"/>
            <w:tcMar>
              <w:top w:type="dxa" w:w="60"/>
              <w:left w:type="dxa" w:w="90"/>
              <w:bottom w:type="dxa" w:w="60"/>
              <w:right w:type="dxa" w:w="90"/>
            </w:tcMar>
          </w:tcPr>
          <w:p>
            <w:r>
              <w:rPr>
                <w:b/>
                <w:bCs/>
                <w:color w:val="FFFFFF"/>
                <w:sz w:val="19"/>
                <w:szCs w:val="19"/>
              </w:rPr>
              <w:t xml:space="preserve">Rel.</w:t>
            </w:r>
          </w:p>
        </w:tc>
        <w:tc>
          <w:tcPr>
            <w:tcW w:type="pct" w:w="36%"/>
            <w:tcBorders>
              <w:top w:val="single" w:color="C9D8CE" w:sz="4"/>
              <w:left w:val="single" w:color="C9D8CE" w:sz="4"/>
              <w:bottom w:val="single" w:color="C9D8CE" w:sz="4"/>
              <w:right w:val="single" w:color="C9D8CE" w:sz="4"/>
            </w:tcBorders>
            <w:shd w:fill="2E6B4F" w:color="auto" w:val="clear"/>
            <w:tcMar>
              <w:top w:type="dxa" w:w="60"/>
              <w:left w:type="dxa" w:w="90"/>
              <w:bottom w:type="dxa" w:w="60"/>
              <w:right w:type="dxa" w:w="90"/>
            </w:tcMar>
          </w:tcPr>
          <w:p>
            <w:r>
              <w:rPr>
                <w:b/>
                <w:bCs/>
                <w:color w:val="FFFFFF"/>
                <w:sz w:val="19"/>
                <w:szCs w:val="19"/>
              </w:rPr>
              <w:t xml:space="preserve">Details</w:t>
            </w:r>
          </w:p>
        </w:tc>
      </w:tr>
      <w:tr>
        <w:tc>
          <w:tcPr>
            <w:tcW w:type="pct" w:w="30%"/>
            <w:tcBorders>
              <w:top w:val="single" w:color="C9D8CE" w:sz="4"/>
              <w:left w:val="single" w:color="C9D8CE" w:sz="4"/>
              <w:bottom w:val="single" w:color="C9D8CE" w:sz="4"/>
              <w:right w:val="single" w:color="C9D8CE" w:sz="4"/>
            </w:tcBorders>
            <w:tcMar>
              <w:top w:type="dxa" w:w="60"/>
              <w:left w:type="dxa" w:w="90"/>
              <w:bottom w:type="dxa" w:w="60"/>
              <w:right w:type="dxa" w:w="90"/>
            </w:tcMar>
          </w:tcPr>
          <w:p>
            <w:r>
              <w:rPr>
                <w:b w:val="false"/>
                <w:bCs w:val="false"/>
                <w:sz w:val="19"/>
                <w:szCs w:val="19"/>
              </w:rPr>
              <w:t xml:space="preserve">Avoided physical harm per unit of adoption (domain-specific)</w:t>
            </w:r>
          </w:p>
        </w:tc>
        <w:tc>
          <w:tcPr>
            <w:tcW w:type="pct" w:w="18%"/>
            <w:tcBorders>
              <w:top w:val="single" w:color="C9D8CE" w:sz="4"/>
              <w:left w:val="single" w:color="C9D8CE" w:sz="4"/>
              <w:bottom w:val="single" w:color="C9D8CE" w:sz="4"/>
              <w:right w:val="single" w:color="C9D8CE" w:sz="4"/>
            </w:tcBorders>
            <w:tcMar>
              <w:top w:type="dxa" w:w="60"/>
              <w:left w:type="dxa" w:w="90"/>
              <w:bottom w:type="dxa" w:w="60"/>
              <w:right w:type="dxa" w:w="90"/>
            </w:tcMar>
          </w:tcPr>
          <w:p>
            <w:r>
              <w:rPr>
                <w:b w:val="false"/>
                <w:bCs w:val="false"/>
                <w:sz w:val="19"/>
                <w:szCs w:val="19"/>
              </w:rPr>
              <w:t xml:space="preserve">Product-Level Performance &amp; Avoided Impact</w:t>
            </w:r>
          </w:p>
        </w:tc>
        <w:tc>
          <w:tcPr>
            <w:tcW w:type="pct" w:w="8%"/>
            <w:tcBorders>
              <w:top w:val="single" w:color="C9D8CE" w:sz="4"/>
              <w:left w:val="single" w:color="C9D8CE" w:sz="4"/>
              <w:bottom w:val="single" w:color="C9D8CE" w:sz="4"/>
              <w:right w:val="single" w:color="C9D8CE" w:sz="4"/>
            </w:tcBorders>
            <w:tcMar>
              <w:top w:type="dxa" w:w="60"/>
              <w:left w:type="dxa" w:w="90"/>
              <w:bottom w:type="dxa" w:w="60"/>
              <w:right w:type="dxa" w:w="90"/>
            </w:tcMar>
          </w:tcPr>
          <w:p>
            <w:r>
              <w:rPr>
                <w:b w:val="false"/>
                <w:bCs w:val="false"/>
                <w:sz w:val="19"/>
                <w:szCs w:val="19"/>
              </w:rPr>
              <w:t xml:space="preserve">Low</w:t>
            </w:r>
          </w:p>
        </w:tc>
        <w:tc>
          <w:tcPr>
            <w:tcW w:type="pct" w:w="8%"/>
            <w:tcBorders>
              <w:top w:val="single" w:color="C9D8CE" w:sz="4"/>
              <w:left w:val="single" w:color="C9D8CE" w:sz="4"/>
              <w:bottom w:val="single" w:color="C9D8CE" w:sz="4"/>
              <w:right w:val="single" w:color="C9D8CE" w:sz="4"/>
            </w:tcBorders>
            <w:tcMar>
              <w:top w:type="dxa" w:w="60"/>
              <w:left w:type="dxa" w:w="90"/>
              <w:bottom w:type="dxa" w:w="60"/>
              <w:right w:type="dxa" w:w="90"/>
            </w:tcMar>
          </w:tcPr>
          <w:p>
            <w:r>
              <w:rPr>
                <w:b w:val="false"/>
                <w:bCs w:val="false"/>
                <w:sz w:val="19"/>
                <w:szCs w:val="19"/>
              </w:rPr>
              <w:t xml:space="preserve">High</w:t>
            </w:r>
          </w:p>
        </w:tc>
        <w:tc>
          <w:tcPr>
            <w:tcW w:type="pct" w:w="36%"/>
            <w:tcBorders>
              <w:top w:val="single" w:color="C9D8CE" w:sz="4"/>
              <w:left w:val="single" w:color="C9D8CE" w:sz="4"/>
              <w:bottom w:val="single" w:color="C9D8CE" w:sz="4"/>
              <w:right w:val="single" w:color="C9D8CE" w:sz="4"/>
            </w:tcBorders>
            <w:tcMar>
              <w:top w:type="dxa" w:w="60"/>
              <w:left w:type="dxa" w:w="90"/>
              <w:bottom w:type="dxa" w:w="60"/>
              <w:right w:type="dxa" w:w="90"/>
            </w:tcMar>
          </w:tcPr>
          <w:p>
            <w:r>
              <w:rPr>
                <w:b w:val="false"/>
                <w:bCs w:val="false"/>
                <w:sz w:val="19"/>
                <w:szCs w:val="19"/>
              </w:rPr>
              <w:t xml:space="preserve">Unit: % reduction in water withdrawal / hectare; Target: Install water-flow meters on pilot farms' pumps; Freq.: Annually; Source: Not yet metered — currently estimated from published agronomic studies; Evidences: Adoption chain → Impact: avoided environmental harm</w:t>
            </w:r>
          </w:p>
        </w:tc>
      </w:tr>
    </w:tbl>
    <w:p>
      <w:r>
        <w:t xml:space="preserve"/>
      </w:r>
    </w:p>
    <w:p>
      <w:pPr>
        <w:pStyle w:val="Heading1"/>
      </w:pPr>
      <w:r>
        <w:t xml:space="preserve">4. Uncertainty Acknowledgement</w:t>
      </w:r>
    </w:p>
    <w:p>
      <w:pPr>
        <w:pStyle w:val="Heading3"/>
      </w:pPr>
      <w:r>
        <w:t xml:space="preserve">Adoption rate of the solution</w:t>
      </w:r>
      <w:r>
        <w:rPr>
          <w:b/>
          <w:bCs/>
          <w:color w:val="2E6B4F"/>
        </w:rPr>
        <w:t xml:space="preserve">  [MEASURED]</w:t>
      </w:r>
    </w:p>
    <w:p>
      <w:r>
        <w:rPr>
          <w:b/>
          <w:bCs/>
        </w:rPr>
        <w:t xml:space="preserve">Claim as stated: </w:t>
      </w:r>
      <w:r>
        <w:t xml:space="preserve">62 enrolled farms covering approximately 410 hectares as of this month.</w:t>
      </w:r>
    </w:p>
    <w:p>
      <w:r>
        <w:rPr>
          <w:b/>
          <w:bCs/>
        </w:rPr>
        <w:t xml:space="preserve">Assumptions &amp; data sources: </w:t>
      </w:r>
      <w:r>
        <w:t xml:space="preserve">CRM enrollment and onboarding records.</w:t>
      </w:r>
    </w:p>
    <w:p>
      <w:r>
        <w:rPr>
          <w:b/>
          <w:bCs/>
        </w:rPr>
        <w:t xml:space="preserve">Conditions that could change the estimate: </w:t>
      </w:r>
      <w:r>
        <w:t xml:space="preserve">(not filled in)</w:t>
      </w:r>
    </w:p>
    <w:p>
      <w:pPr>
        <w:pStyle w:val="Heading3"/>
      </w:pPr>
      <w:r>
        <w:t xml:space="preserve">Quality / reliability of adoption evidence</w:t>
      </w:r>
      <w:r>
        <w:rPr>
          <w:b/>
          <w:bCs/>
          <w:color w:val="B8860B"/>
        </w:rPr>
        <w:t xml:space="preserve">  [MODELLED]</w:t>
      </w:r>
    </w:p>
    <w:p>
      <w:r>
        <w:rPr>
          <w:b/>
          <w:bCs/>
        </w:rPr>
        <w:t xml:space="preserve">Claim as stated: </w:t>
      </w:r>
      <w:r>
        <w:t xml:space="preserve">71% of surveyed farmers self-report reduced irrigation frequency.</w:t>
      </w:r>
    </w:p>
    <w:p>
      <w:r>
        <w:rPr>
          <w:b/>
          <w:bCs/>
        </w:rPr>
        <w:t xml:space="preserve">Assumptions &amp; data sources: </w:t>
      </w:r>
      <w:r>
        <w:t xml:space="preserve">Self-reported survey of 22 of 62 enrolled farms; social-desirability bias likely inflates positive responses somewhat.</w:t>
      </w:r>
    </w:p>
    <w:p>
      <w:r>
        <w:rPr>
          <w:b/>
          <w:bCs/>
        </w:rPr>
        <w:t xml:space="preserve">Conditions that could change the estimate: </w:t>
      </w:r>
      <w:r>
        <w:t xml:space="preserve">Would look different with a larger, randomly sampled survey, or with metered verification instead of self-report.</w:t>
      </w:r>
    </w:p>
    <w:p>
      <w:pPr>
        <w:pStyle w:val="Heading3"/>
      </w:pPr>
      <w:r>
        <w:t xml:space="preserve">Avoided physical harm per unit of adoption (domain-specific)</w:t>
      </w:r>
      <w:r>
        <w:rPr>
          <w:b/>
          <w:bCs/>
          <w:color w:val="8A5A9E"/>
        </w:rPr>
        <w:t xml:space="preserve">  [PROJECTED]</w:t>
      </w:r>
    </w:p>
    <w:p>
      <w:r>
        <w:rPr>
          <w:b/>
          <w:bCs/>
        </w:rPr>
        <w:t xml:space="preserve">Claim as stated: </w:t>
      </w:r>
      <w:r>
        <w:t xml:space="preserve">We estimate an approximate 18% reduction in water withdrawal per irrigated hectare versus the regional baseline.</w:t>
      </w:r>
    </w:p>
    <w:p>
      <w:r>
        <w:rPr>
          <w:b/>
          <w:bCs/>
        </w:rPr>
        <w:t xml:space="preserve">Assumptions &amp; data sources: </w:t>
      </w:r>
      <w:r>
        <w:t xml:space="preserve">Based on published agronomic studies of comparable sensor-guided irrigation systems elsewhere — not yet based on FieldSense's own metered data.</w:t>
      </w:r>
    </w:p>
    <w:p>
      <w:r>
        <w:rPr>
          <w:b/>
          <w:bCs/>
        </w:rPr>
        <w:t xml:space="preserve">Conditions that could change the estimate: </w:t>
      </w:r>
      <w:r>
        <w:t xml:space="preserve">Actual savings could be considerably lower if farmers under-trust recommendations during high-risk growth stages (e.g. flowering) and over-water as a precaution.</w:t>
      </w:r>
    </w:p>
    <w:p>
      <w:pPr>
        <w:pStyle w:val="Heading1"/>
      </w:pPr>
      <w:r>
        <w:t xml:space="preserve">5. Integrity Checks</w:t>
      </w:r>
    </w:p>
    <w:p>
      <w:pPr>
        <w:pStyle w:val="ListParagraph"/>
        <w:numPr>
          <w:ilvl w:val="0"/>
          <w:numId w:val="1"/>
        </w:numPr>
      </w:pPr>
      <w:r>
        <w:rPr>
          <w:color w:val="2E6B4F"/>
        </w:rPr>
        <w:t xml:space="preserve">✓  Core set size (2) is within the recommended 3–5 range.</w:t>
      </w:r>
    </w:p>
    <w:p>
      <w:pPr>
        <w:pStyle w:val="ListParagraph"/>
        <w:numPr>
          <w:ilvl w:val="0"/>
          <w:numId w:val="1"/>
        </w:numPr>
      </w:pPr>
      <w:r>
        <w:rPr>
          <w:color w:val="2E6B4F"/>
        </w:rPr>
        <w:t xml:space="preserve">✓  No vanity metrics (high feasibility / low relevance) in the selection.</w:t>
      </w:r>
    </w:p>
    <w:p>
      <w:pPr>
        <w:pStyle w:val="ListParagraph"/>
        <w:numPr>
          <w:ilvl w:val="0"/>
          <w:numId w:val="1"/>
        </w:numPr>
      </w:pPr>
      <w:r>
        <w:rPr>
          <w:color w:val="2E6B4F"/>
        </w:rPr>
        <w:t xml:space="preserve">✓  All core indicators are linked to an impact-pathway stage.</w:t>
      </w:r>
    </w:p>
    <w:p>
      <w:pPr>
        <w:pStyle w:val="Heading1"/>
      </w:pPr>
      <w:r>
        <w:t xml:space="preserve">6. Next Steps &amp; Points to Consider</w:t>
      </w:r>
    </w:p>
    <w:p>
      <w:pPr>
        <w:pStyle w:val="Heading2"/>
      </w:pPr>
      <w:r>
        <w:t xml:space="preserve">Recommended next steps</w:t>
      </w:r>
    </w:p>
    <w:p>
      <w:pPr>
        <w:ind w:left="360" w:hanging="360"/>
      </w:pPr>
      <w:r>
        <w:rPr>
          <w:b/>
          <w:bCs/>
          <w:color w:val="2E6B4F"/>
        </w:rPr>
        <w:t xml:space="preserve">1.  Test the weakest link. </w:t>
      </w:r>
      <w:r>
        <w:t xml:space="preserve">“Outcomes: customer behavior change” currently rests on an assumption only (“App engagement actually translates into reduced water applied, not just reduced perceived need to water.”). Design one small, cheap test that would confirm or refute it before you build further claims on it. For an adoption-driven pathway, compare usage logs or meter readings for a few pilot customers before and after they adopt.</w:t>
      </w:r>
    </w:p>
    <w:p>
      <w:pPr>
        <w:ind w:left="360" w:hanging="360"/>
      </w:pPr>
      <w:r>
        <w:rPr>
          <w:b/>
          <w:bCs/>
          <w:color w:val="2E6B4F"/>
        </w:rPr>
        <w:t xml:space="preserve">2.  Test the weakest link. </w:t>
      </w:r>
      <w:r>
        <w:t xml:space="preserve">“Activities: product features / service delivered” currently rests on an assumption only (“Recommendations are accurate and trustworthy enough that farmers follow them instead of habitual watering schedules.”). Design one small, cheap test that would confirm or refute it before you build further claims on it.</w:t>
      </w:r>
    </w:p>
    <w:p>
      <w:pPr>
        <w:ind w:left="360" w:hanging="360"/>
      </w:pPr>
      <w:r>
        <w:rPr>
          <w:b/>
          <w:bCs/>
          <w:color w:val="2E6B4F"/>
        </w:rPr>
        <w:t xml:space="preserve">3.  Plan your future indicators. </w:t>
      </w:r>
      <w:r>
        <w:t xml:space="preserve">“Avoided physical harm per unit of adoption (domain-specific)” is relevant but not yet measurable. Note what would make it measurable (a tool, a partner, budget, a pilot customer sharing data) and at which milestone you expect it.</w:t>
      </w:r>
    </w:p>
    <w:p>
      <w:pPr>
        <w:pStyle w:val="Heading2"/>
      </w:pPr>
      <w:r>
        <w:t xml:space="preserve">Points to consider</w:t>
      </w:r>
    </w:p>
    <w:p>
      <w:r>
        <w:rPr>
          <w:i/>
          <w:iCs/>
          <w:color w:val="5A6B62"/>
          <w:sz w:val="19"/>
          <w:szCs w:val="19"/>
        </w:rPr>
        <w:t xml:space="preserve">Questions worth a thought. Ignore any that do not apply.</w:t>
      </w:r>
    </w:p>
    <w:p>
      <w:pPr>
        <w:pStyle w:val="ListParagraph"/>
        <w:numPr>
          <w:ilvl w:val="0"/>
          <w:numId w:val="1"/>
        </w:numPr>
      </w:pPr>
      <w:r>
        <w:rPr>
          <w:b/>
          <w:bCs/>
        </w:rPr>
        <w:t xml:space="preserve">Is your impact data a selling point?  </w:t>
      </w:r>
      <w:r>
        <w:t xml:space="preserve">Have you considered whether your business customers need environmental data for their own sustainability reporting or supplier questionnaires? If your product can supply it, the impact claim becomes part of the sales argument, not just the pitch deck.</w:t>
      </w:r>
    </w:p>
    <w:p>
      <w:pPr>
        <w:pStyle w:val="ListParagraph"/>
        <w:numPr>
          <w:ilvl w:val="0"/>
          <w:numId w:val="1"/>
        </w:numPr>
      </w:pPr>
      <w:r>
        <w:rPr>
          <w:b/>
          <w:bCs/>
        </w:rPr>
        <w:t xml:space="preserve">Is your evidence about the right people?  </w:t>
      </w:r>
      <w:r>
        <w:t xml:space="preserve">The buyer (Owners of small and mid-size vegetable and orchard farms…) is not the one whose behaviour must change (Whoever decides when and how much to irrigate on the…). Have you considered how you will show that those people actually change what they do? A signed contract or a sold licence is evidence of purchase, not of behaviour change.</w:t>
      </w:r>
    </w:p>
    <w:p>
      <w:pPr>
        <w:pStyle w:val="ListParagraph"/>
        <w:numPr>
          <w:ilvl w:val="0"/>
          <w:numId w:val="1"/>
        </w:numPr>
      </w:pPr>
      <w:r>
        <w:rPr>
          <w:b/>
          <w:bCs/>
        </w:rPr>
        <w:t xml:space="preserve">Does churn also cut your impact?  </w:t>
      </w:r>
      <w:r>
        <w:t xml:space="preserve">With a subscription, a customer who cancels stops producing impact. Have you considered reporting active, retained customers rather than total sign-ups? Your retention figure then doubles as adoption evidence.</w:t>
      </w:r>
    </w:p>
    <w:p>
      <w:pPr>
        <w:pStyle w:val="ListParagraph"/>
        <w:numPr>
          <w:ilvl w:val="0"/>
          <w:numId w:val="1"/>
        </w:numPr>
      </w:pPr>
      <w:r>
        <w:rPr>
          <w:b/>
          <w:bCs/>
        </w:rPr>
        <w:t xml:space="preserve">Can one dataset show both savings?  </w:t>
      </w:r>
      <w:r>
        <w:t xml:space="preserve">Your customers save money through the same mechanism that saves the environment. Have you considered tracking both from the same data (e.g. the water bill and the m³ saved)? It makes the environmental claim far harder to dispute.</w:t>
      </w:r>
    </w:p>
    <w:p>
      <w:pPr>
        <w:pStyle w:val="Heading1"/>
      </w:pPr>
      <w:r>
        <w:t xml:space="preserve">7. Review &amp; Updating Plan</w:t>
      </w:r>
    </w:p>
    <w:p>
      <w:r>
        <w:t xml:space="preserve">This assessment is designed for updating, not for completion: it should be revisited at defined milestones rather than filed as a one-time exercise.</w:t>
      </w:r>
    </w:p>
    <w:p>
      <w:pPr>
        <w:pStyle w:val="ListParagraph"/>
        <w:numPr>
          <w:ilvl w:val="0"/>
          <w:numId w:val="1"/>
        </w:numPr>
      </w:pPr>
      <w:r>
        <w:t xml:space="preserve">Next review milestone: Product launch</w:t>
      </w:r>
    </w:p>
    <w:p>
      <w:pPr>
        <w:pStyle w:val="ListParagraph"/>
        <w:numPr>
          <w:ilvl w:val="0"/>
          <w:numId w:val="1"/>
        </w:numPr>
      </w:pPr>
      <w:r>
        <w:t xml:space="preserve">Notes: Install water-flow meters on at least 10 pilot farms before the next review, to convert the core avoided-harm claim from projected to measured.</w:t>
      </w:r>
    </w:p>
    <w:p>
      <w:pPr>
        <w:pStyle w:val="Heading1"/>
      </w:pPr>
      <w:r>
        <w:t xml:space="preserve">Methodology</w:t>
      </w:r>
    </w:p>
    <w:p>
      <w:r>
        <w:t xml:space="preserve">This assessment follows a four-module framework for environmental impact assessment in early-stage startups: (1) startup profiling and type classification; (2) impact pathway mapping grounded in theory-of-change / logic-model reasoning (Weiss 1995; Mayne 2008; W.K. Kellogg Foundation 2004; McLaughlin &amp; Jordan 2015); (3) indicator selection via two-dimensional feasibility–relevance scoring; and (4) uncertainty acknowledgement using three levels of evidential confidence (measured, modelled, projected). The framework is governed by four principles: proportionality, type-differentiation, transparency over precision, and design for updating rather than completion. It is a screening-level instrument: it does not replace full LCA (ISO 14040/44), comprehensive GHG Protocol reporting, or regulatory compliance assessment, and it does not produce a composite score.</w:t>
      </w:r>
    </w:p>
    <w:p>
      <w:pPr>
        <w:pStyle w:val="Heading1"/>
      </w:pPr>
      <w:r>
        <w:t xml:space="preserve">References</w:t>
      </w:r>
    </w:p>
    <w:p>
      <w:pPr>
        <w:pStyle w:val="ListParagraph"/>
        <w:numPr>
          <w:ilvl w:val="0"/>
          <w:numId w:val="1"/>
        </w:numPr>
      </w:pPr>
      <w:r>
        <w:t xml:space="preserve">ISO (2015). ISO 14031: Environmental management — Environmental performance evaluation.</w:t>
      </w:r>
    </w:p>
    <w:p>
      <w:pPr>
        <w:pStyle w:val="ListParagraph"/>
        <w:numPr>
          <w:ilvl w:val="0"/>
          <w:numId w:val="1"/>
        </w:numPr>
      </w:pPr>
      <w:r>
        <w:t xml:space="preserve">W.K. Kellogg Foundation (2004). Logic Model Development Guide.</w:t>
      </w:r>
    </w:p>
    <w:p>
      <w:pPr>
        <w:pStyle w:val="ListParagraph"/>
        <w:numPr>
          <w:ilvl w:val="0"/>
          <w:numId w:val="1"/>
        </w:numPr>
      </w:pPr>
      <w:r>
        <w:t xml:space="preserve">Li, X. &amp; Lin, Y. (2025). [Relevance criteria for environmental indicators].</w:t>
      </w:r>
    </w:p>
    <w:p>
      <w:pPr>
        <w:pStyle w:val="ListParagraph"/>
        <w:numPr>
          <w:ilvl w:val="0"/>
          <w:numId w:val="1"/>
        </w:numPr>
      </w:pPr>
      <w:r>
        <w:t xml:space="preserve">Mayne, J. (2008). Contribution analysis: An approach to exploring cause and effect. ILAC Brief 16.</w:t>
      </w:r>
    </w:p>
    <w:p>
      <w:pPr>
        <w:pStyle w:val="ListParagraph"/>
        <w:numPr>
          <w:ilvl w:val="0"/>
          <w:numId w:val="1"/>
        </w:numPr>
      </w:pPr>
      <w:r>
        <w:t xml:space="preserve">McLaughlin, J.A. &amp; Jordan, G.B. (2015). Using logic models. In Handbook of Practical Program Evaluation.</w:t>
      </w:r>
    </w:p>
    <w:p>
      <w:pPr>
        <w:pStyle w:val="ListParagraph"/>
        <w:numPr>
          <w:ilvl w:val="0"/>
          <w:numId w:val="1"/>
        </w:numPr>
      </w:pPr>
      <w:r>
        <w:t xml:space="preserve">Roomi, M.A. et al. (2021). [Indicator sets for sustainable entrepreneurship].</w:t>
      </w:r>
    </w:p>
    <w:p>
      <w:pPr>
        <w:pStyle w:val="ListParagraph"/>
        <w:numPr>
          <w:ilvl w:val="0"/>
          <w:numId w:val="1"/>
        </w:numPr>
      </w:pPr>
      <w:r>
        <w:t xml:space="preserve">Sahili, Z. &amp; Barrales-Molina, V. (2024). [Lean environmental assessment in young firms].</w:t>
      </w:r>
    </w:p>
    <w:p>
      <w:pPr>
        <w:pStyle w:val="ListParagraph"/>
        <w:numPr>
          <w:ilvl w:val="0"/>
          <w:numId w:val="1"/>
        </w:numPr>
      </w:pPr>
      <w:r>
        <w:t xml:space="preserve">Weidema, B.P. et al. (2018). [Progressive data collection and hybrid assessment].</w:t>
      </w:r>
    </w:p>
    <w:p>
      <w:pPr>
        <w:pStyle w:val="ListParagraph"/>
        <w:numPr>
          <w:ilvl w:val="0"/>
          <w:numId w:val="1"/>
        </w:numPr>
      </w:pPr>
      <w:r>
        <w:t xml:space="preserve">Weiss, C.H. (1995). Nothing as practical as good theory. In New Approaches to Evaluating Community Initiatives.</w:t>
      </w:r>
    </w:p>
    <w:p>
      <w:r>
        <w:rPr>
          <w:i/>
          <w:iCs/>
          <w:color w:val="5A6B62"/>
          <w:sz w:val="17"/>
          <w:szCs w:val="17"/>
        </w:rPr>
        <w:t xml:space="preserve">Generated with the four-module Environmental Impact Assessment tool, based on “A Proposed Framework for Environmental Impact Assessment in Early-Stage Startups”. Screening-level instrument — does not replace full LCA or GHG Protocol reporting.</w:t>
      </w:r>
    </w:p>
    <w:sectPr>
      <w:footerReference w:type="default" r:id="rId7"/>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A6B62"/>
        <w:sz w:val="17"/>
        <w:szCs w:val="17"/>
      </w:rPr>
      <w:t xml:space="preserve">Page </w:t>
      <w:fldChar w:fldCharType="begin"/>
      <w:instrText xml:space="preserve">PAGE</w:instrText>
      <w:fldChar w:fldCharType="separate"/>
      <w:fldChar w:fldCharType="end"/>
      <w:t xml:space="preserve"> of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pPr>
        <w:spacing w:after="120"/>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20" w:before="360"/>
    </w:pPr>
    <w:rPr>
      <w:b/>
      <w:bCs/>
      <w:color w:val="2E6B4F"/>
      <w:sz w:val="32"/>
      <w:szCs w:val="32"/>
    </w:rPr>
  </w:style>
  <w:style w:type="paragraph" w:styleId="Heading2">
    <w:name w:val="Heading 2"/>
    <w:basedOn w:val="Normal"/>
    <w:next w:val="Normal"/>
    <w:qFormat/>
    <w:pPr>
      <w:spacing w:after="100" w:before="240"/>
    </w:pPr>
    <w:rPr>
      <w:b/>
      <w:bCs/>
      <w:color w:val="1C2A22"/>
      <w:sz w:val="26"/>
      <w:szCs w:val="26"/>
    </w:rPr>
  </w:style>
  <w:style w:type="paragraph" w:styleId="Heading3">
    <w:name w:val="Heading 3"/>
    <w:basedOn w:val="Normal"/>
    <w:next w:val="Normal"/>
    <w:qFormat/>
    <w:pPr>
      <w:spacing w:after="80" w:before="200"/>
    </w:pPr>
    <w:rPr>
      <w:b/>
      <w:bCs/>
      <w:color w:val="1C2A22"/>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fa805ca40764cb14dc434619aa54d5bf8187cda7.png"/><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Environmental Impact Assessment: FieldSense</dc:title>
  <dc:creator>EIA tool</dc:creator>
  <cp:lastModifiedBy>Un-named</cp:lastModifiedBy>
  <cp:revision>1</cp:revision>
  <dcterms:created xsi:type="dcterms:W3CDTF">2026-10-17T12:46:48.000Z</dcterms:created>
  <dcterms:modified xsi:type="dcterms:W3CDTF">2026-10-17T12:46:48.000Z</dcterms:modified>
</cp:coreProperties>
</file>

<file path=docProps/custom.xml><?xml version="1.0" encoding="utf-8"?>
<Properties xmlns="http://schemas.openxmlformats.org/officeDocument/2006/custom-properties" xmlns:vt="http://schemas.openxmlformats.org/officeDocument/2006/docPropsVTypes"/>
</file>