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2E6B4F"/>
        </w:rPr>
        <w:t>Environmental Impact Assessment</w:t>
      </w:r>
    </w:p>
    <w:p>
      <w:pPr>
        <w:pStyle w:val="Heading1"/>
      </w:pPr>
      <w:r>
        <w:rPr>
          <w:color w:val="333333"/>
        </w:rPr>
        <w:t>AquaCarbon</w:t>
      </w:r>
    </w:p>
    <w:p>
      <w:r>
        <w:rPr>
          <w:i/>
          <w:color w:val="5A6B62"/>
          <w:sz w:val="19"/>
        </w:rPr>
        <w:t>Assessment version 1  ·  Generated 2026-08-04  ·  Development stage: Early commercialization  ·  Sector: Climate tech / carbon capture &amp; construction materials</w:t>
      </w:r>
    </w:p>
    <w:p>
      <w:pPr>
        <w:ind w:left="360"/>
      </w:pPr>
      <w:r>
        <w:rPr>
          <w:i/>
        </w:rPr>
        <w:t>AquaCarbon captures CO2 from the aeration tanks of municipal wastewater treatment plants and mineralizes it with calcium byproducts into a solid aggregate used as a partial sand/gravel replacement in concrete.</w:t>
      </w:r>
    </w:p>
    <w:p/>
    <w:p>
      <w:pPr>
        <w:pStyle w:val="Heading1"/>
      </w:pPr>
      <w:r>
        <w:t>Table of Contents</w:t>
      </w:r>
    </w:p>
    <w:p>
      <w:r>
        <w:fldChar w:fldCharType="begin"/>
        <w:instrText xml:space="preserve">TOC \o "1-3" \h \z \u</w:instrText>
        <w:fldChar w:fldCharType="separate"/>
        <w:t>Right-click here and choose “Update Field” to generate the table of contents.</w:t>
        <w:fldChar w:fldCharType="end"/>
      </w:r>
    </w:p>
    <w:p>
      <w:r>
        <w:br w:type="page"/>
      </w:r>
    </w:p>
    <w:p>
      <w:pPr>
        <w:pStyle w:val="Heading1"/>
      </w:pPr>
      <w:r>
        <w:t>Executive Summary</w:t>
      </w:r>
    </w:p>
    <w:p>
      <w:pPr>
        <w:pStyle w:val="ListBullet"/>
      </w:pPr>
      <w:r>
        <w:t>Classification: Directly Environmental Startup (Core Cleantech)</w:t>
      </w:r>
    </w:p>
    <w:p>
      <w:pPr>
        <w:pStyle w:val="ListBullet"/>
      </w:pPr>
      <w:r>
        <w:t>Primary unit of analysis: The product / service itself (full life cycle)</w:t>
      </w:r>
    </w:p>
    <w:p>
      <w:pPr>
        <w:pStyle w:val="ListBullet"/>
      </w:pPr>
      <w:r>
        <w:t>Core indicator set: 1 indicator(s) — GHG emissions per functional unit (simplified / screening LCA)</w:t>
      </w:r>
    </w:p>
    <w:p>
      <w:pPr>
        <w:pStyle w:val="ListBullet"/>
      </w:pPr>
      <w:r>
        <w:t>Evidence base: 1 modelled, 1 projected, 2 measured</w:t>
      </w:r>
    </w:p>
    <w:p>
      <w:pPr>
        <w:pStyle w:val="ListBullet"/>
      </w:pPr>
      <w:r>
        <w:t>Integrity checks: 0 warning(s)</w:t>
      </w:r>
    </w:p>
    <w:p>
      <w:pPr>
        <w:pStyle w:val="ListBullet"/>
      </w:pPr>
      <w:r>
        <w:t>Next scheduled review: New funding round</w:t>
      </w:r>
    </w:p>
    <w:p>
      <w:pPr>
        <w:pStyle w:val="Heading1"/>
      </w:pPr>
      <w:r>
        <w:t>1. Startup Profiling &amp; Type Classification</w:t>
      </w:r>
    </w:p>
    <w:p>
      <w:pPr>
        <w:pStyle w:val="ListBullet"/>
      </w:pPr>
      <w:r>
        <w:t>Impact mechanism: Direct</w:t>
      </w:r>
    </w:p>
    <w:p>
      <w:pPr>
        <w:pStyle w:val="ListBullet"/>
      </w:pPr>
      <w:r>
        <w:t>Value proposition orientation: Primary</w:t>
      </w:r>
    </w:p>
    <w:p>
      <w:pPr>
        <w:pStyle w:val="ListBullet"/>
      </w:pPr>
      <w:r>
        <w:t>Resulting type: Directly Environmental Startup (Core Cleantech)</w:t>
      </w:r>
    </w:p>
    <w:p>
      <w:pPr>
        <w:ind w:left="200"/>
      </w:pPr>
      <w:r>
        <w:t>The core product or service is explicitly designed to deliver immediate environmental improvements. Direct environmental impact is central to the value proposition.</w:t>
      </w:r>
    </w:p>
    <w:p>
      <w:r>
        <w:rPr>
          <w:i/>
          <w:color w:val="5A6B62"/>
          <w:sz w:val="19"/>
        </w:rPr>
        <w:t>Stage guidance (Early commercialization): Module 3 becomes the central activity as first operational data becomes available. Move indicators from modelled toward measured where data systems allow.</w:t>
      </w:r>
    </w:p>
    <w:p>
      <w:pPr>
        <w:pStyle w:val="Heading1"/>
      </w:pPr>
      <w:r>
        <w:t>2. Impact Pathway (Theory of Change)</w:t>
      </w:r>
    </w:p>
    <w:p>
      <w:pPr>
        <w:pStyle w:val="Heading2"/>
      </w:pPr>
      <w:r>
        <w:t>Product life cycle</w:t>
      </w:r>
    </w:p>
    <w:p>
      <w:pPr>
        <w:pStyle w:val="Heading3"/>
      </w:pPr>
      <w:r>
        <w:t>Activities: product design &amp; development</w:t>
      </w:r>
    </w:p>
    <w:p>
      <w:pPr>
        <w:pStyle w:val="ListBullet"/>
      </w:pPr>
      <w:r>
        <w:t>Description: Modular CO2 capture units retrofitted onto existing aeration tanks; a mineralization reactor converts captured CO2 plus a calcium byproduct stream into a solid aggregate.</w:t>
      </w:r>
    </w:p>
    <w:p>
      <w:pPr>
        <w:pStyle w:val="ListBullet"/>
      </w:pPr>
      <w:r>
        <w:t>Underlying assumption: Capture units maintain &gt;60% CO2 capture efficiency at the CO2 concentrations typical of municipal aeration tanks, as shown in our 2025 pilot.</w:t>
      </w:r>
    </w:p>
    <w:p>
      <w:pPr>
        <w:pStyle w:val="ListBullet"/>
      </w:pPr>
      <w:r>
        <w:t>Evidence strength: Moderate (some evidence)</w:t>
      </w:r>
    </w:p>
    <w:p>
      <w:pPr>
        <w:pStyle w:val="Heading3"/>
      </w:pPr>
      <w:r>
        <w:t>Outputs: production</w:t>
      </w:r>
    </w:p>
    <w:p>
      <w:pPr>
        <w:pStyle w:val="ListBullet"/>
      </w:pPr>
      <w:r>
        <w:t>Description: Units are manufactured by a contract fabricator in Rotterdam; 40 units are currently deployed across 6 wastewater plants in the Netherlands and Germany.</w:t>
      </w:r>
    </w:p>
    <w:p>
      <w:pPr>
        <w:pStyle w:val="ListBullet"/>
      </w:pPr>
      <w:r>
        <w:t>Underlying assumption: The fabrication partner's QC process keeps membrane seal failures — the main cause of efficiency loss — below 5% of deployed units.</w:t>
      </w:r>
    </w:p>
    <w:p>
      <w:pPr>
        <w:pStyle w:val="ListBullet"/>
      </w:pPr>
      <w:r>
        <w:t>Evidence strength: Strong (validated / observed)</w:t>
      </w:r>
    </w:p>
    <w:p>
      <w:pPr>
        <w:pStyle w:val="Heading3"/>
      </w:pPr>
      <w:r>
        <w:t>Outcomes: use phase</w:t>
      </w:r>
    </w:p>
    <w:p>
      <w:pPr>
        <w:pStyle w:val="ListBullet"/>
      </w:pPr>
      <w:r>
        <w:t>Description: The aggregate is sold to two regional concrete producers as a partial replacement for quarried sand and gravel.</w:t>
      </w:r>
    </w:p>
    <w:p>
      <w:pPr>
        <w:pStyle w:val="ListBullet"/>
      </w:pPr>
      <w:r>
        <w:t>Underlying assumption: Concrete producers can substitute our aggregate at up to a 15% ratio without falling outside structural specification.</w:t>
      </w:r>
    </w:p>
    <w:p>
      <w:pPr>
        <w:pStyle w:val="ListBullet"/>
      </w:pPr>
      <w:r>
        <w:t>Evidence strength: Moderate (some evidence)</w:t>
      </w:r>
    </w:p>
    <w:p>
      <w:pPr>
        <w:pStyle w:val="Heading3"/>
      </w:pPr>
      <w:r>
        <w:t>Impact: full life-cycle environmental effect</w:t>
      </w:r>
    </w:p>
    <w:p>
      <w:pPr>
        <w:pStyle w:val="ListBullet"/>
      </w:pPr>
      <w:r>
        <w:t>Description: Net effect is the CO2 mineralized into the aggregate, minus the embodied emissions of unit manufacture, transport, and reactor energy use.</w:t>
      </w:r>
    </w:p>
    <w:p>
      <w:pPr>
        <w:pStyle w:val="ListBullet"/>
      </w:pPr>
      <w:r>
        <w:t>Underlying assumption: Grid electricity powering the mineralization reactor is majority renewable at each deployment site.</w:t>
      </w:r>
    </w:p>
    <w:p>
      <w:pPr>
        <w:pStyle w:val="ListBullet"/>
      </w:pPr>
      <w:r>
        <w:t>Evidence strength: Weak (assumption only)</w:t>
      </w:r>
    </w:p>
    <w:p>
      <w:r>
        <w:rPr>
          <w:b/>
          <w:color w:val="AA3333"/>
        </w:rPr>
        <w:t>Weakest link(s) in the chain: The full life-cycle net-negative claim rests on an unverified assumption about renewable electricity share at each site. We use national grid averages, not site-metered mix, and this varies significantly by country and season — this is the single assumption most likely to move the headline number.</w:t>
      </w:r>
    </w:p>
    <w:p>
      <w:pPr>
        <w:pStyle w:val="Heading1"/>
      </w:pPr>
      <w:r>
        <w:t>3. Indicator Set (Feasibility–Relevance Scoring)</w:t>
      </w:r>
    </w:p>
    <w:p>
      <w:pPr>
        <w:pStyle w:val="Heading2"/>
      </w:pPr>
      <w:r>
        <w:t>Core set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9"/>
              </w:rPr>
              <w:t>Indicator</w:t>
            </w:r>
          </w:p>
        </w:tc>
        <w:tc>
          <w:tcPr>
            <w:tcW w:type="dxa" w:w="1728"/>
          </w:tcPr>
          <w:p>
            <w:r>
              <w:rPr>
                <w:b/>
                <w:sz w:val="19"/>
              </w:rPr>
              <w:t>Category</w:t>
            </w:r>
          </w:p>
        </w:tc>
        <w:tc>
          <w:tcPr>
            <w:tcW w:type="dxa" w:w="1728"/>
          </w:tcPr>
          <w:p>
            <w:r>
              <w:rPr>
                <w:b/>
                <w:sz w:val="19"/>
              </w:rPr>
              <w:t>Feas.</w:t>
            </w:r>
          </w:p>
        </w:tc>
        <w:tc>
          <w:tcPr>
            <w:tcW w:type="dxa" w:w="1728"/>
          </w:tcPr>
          <w:p>
            <w:r>
              <w:rPr>
                <w:b/>
                <w:sz w:val="19"/>
              </w:rPr>
              <w:t>Rel.</w:t>
            </w:r>
          </w:p>
        </w:tc>
        <w:tc>
          <w:tcPr>
            <w:tcW w:type="dxa" w:w="1728"/>
          </w:tcPr>
          <w:p>
            <w:r>
              <w:rPr>
                <w:b/>
                <w:sz w:val="19"/>
              </w:rPr>
              <w:t>Details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>GHG emissions per functional unit (simplified / screening LCA)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Product-Level Performance &amp; Avoided Impact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Medium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High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Unit: t CO2e / t aggregate produced (net); Current: −0.31 (net sequestering); Target: −0.45 by 2027; Freq.: Quarterly; Source: Inline capture-flow sensors + reactor energy meters + ecoinvent factors for embodied manufacturing emissions; Evidences: Product life cycle → Impact: full life-cycle environmental effect</w:t>
            </w:r>
          </w:p>
        </w:tc>
      </w:tr>
    </w:tbl>
    <w:p/>
    <w:p>
      <w:pPr>
        <w:pStyle w:val="Heading2"/>
      </w:pPr>
      <w:r>
        <w:t>Aspirational (future indicator)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9"/>
              </w:rPr>
              <w:t>Indicator</w:t>
            </w:r>
          </w:p>
        </w:tc>
        <w:tc>
          <w:tcPr>
            <w:tcW w:type="dxa" w:w="1728"/>
          </w:tcPr>
          <w:p>
            <w:r>
              <w:rPr>
                <w:b/>
                <w:sz w:val="19"/>
              </w:rPr>
              <w:t>Category</w:t>
            </w:r>
          </w:p>
        </w:tc>
        <w:tc>
          <w:tcPr>
            <w:tcW w:type="dxa" w:w="1728"/>
          </w:tcPr>
          <w:p>
            <w:r>
              <w:rPr>
                <w:b/>
                <w:sz w:val="19"/>
              </w:rPr>
              <w:t>Feas.</w:t>
            </w:r>
          </w:p>
        </w:tc>
        <w:tc>
          <w:tcPr>
            <w:tcW w:type="dxa" w:w="1728"/>
          </w:tcPr>
          <w:p>
            <w:r>
              <w:rPr>
                <w:b/>
                <w:sz w:val="19"/>
              </w:rPr>
              <w:t>Rel.</w:t>
            </w:r>
          </w:p>
        </w:tc>
        <w:tc>
          <w:tcPr>
            <w:tcW w:type="dxa" w:w="1728"/>
          </w:tcPr>
          <w:p>
            <w:r>
              <w:rPr>
                <w:b/>
                <w:sz w:val="19"/>
              </w:rPr>
              <w:t>Details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>Avoided emissions vs. conventional reference technology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Product-Level Performance &amp; Avoided Impact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Low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High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Unit: t CO2e avoided / unit / yr; Target: Independent third-party verified avoided-emissions certification; Freq.: Annually; Source: Comparison to quarried aggregate production emission factors (not yet independently verified); Evidences: Product life cycle → Outcomes: use phase</w:t>
            </w:r>
          </w:p>
        </w:tc>
      </w:tr>
    </w:tbl>
    <w:p/>
    <w:p>
      <w:pPr>
        <w:pStyle w:val="Heading2"/>
      </w:pPr>
      <w:r>
        <w:t>Supplementary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9"/>
              </w:rPr>
              <w:t>Indicator</w:t>
            </w:r>
          </w:p>
        </w:tc>
        <w:tc>
          <w:tcPr>
            <w:tcW w:type="dxa" w:w="1728"/>
          </w:tcPr>
          <w:p>
            <w:r>
              <w:rPr>
                <w:b/>
                <w:sz w:val="19"/>
              </w:rPr>
              <w:t>Category</w:t>
            </w:r>
          </w:p>
        </w:tc>
        <w:tc>
          <w:tcPr>
            <w:tcW w:type="dxa" w:w="1728"/>
          </w:tcPr>
          <w:p>
            <w:r>
              <w:rPr>
                <w:b/>
                <w:sz w:val="19"/>
              </w:rPr>
              <w:t>Feas.</w:t>
            </w:r>
          </w:p>
        </w:tc>
        <w:tc>
          <w:tcPr>
            <w:tcW w:type="dxa" w:w="1728"/>
          </w:tcPr>
          <w:p>
            <w:r>
              <w:rPr>
                <w:b/>
                <w:sz w:val="19"/>
              </w:rPr>
              <w:t>Rel.</w:t>
            </w:r>
          </w:p>
        </w:tc>
        <w:tc>
          <w:tcPr>
            <w:tcW w:type="dxa" w:w="1728"/>
          </w:tcPr>
          <w:p>
            <w:r>
              <w:rPr>
                <w:b/>
                <w:sz w:val="19"/>
              </w:rPr>
              <w:t>Details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>Total energy use over a defined period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Resource &amp; Energy Input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High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Medium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Unit: kWh / month; Current: 18,400; Freq.: Monthly; Source: Utility invoices across 6 sites; Evidences: Product life cycle → Activities: product design &amp; development</w:t>
            </w:r>
          </w:p>
        </w:tc>
      </w:tr>
      <w:tr>
        <w:tc>
          <w:tcPr>
            <w:tcW w:type="dxa" w:w="1728"/>
            <w:shd w:val="clear" w:fill="EAF2ED"/>
          </w:tcPr>
          <w:p>
            <w:r>
              <w:rPr>
                <w:sz w:val="19"/>
              </w:rPr>
              <w:t>Explicit environmental mission or quantified targets in place</w:t>
            </w:r>
          </w:p>
        </w:tc>
        <w:tc>
          <w:tcPr>
            <w:tcW w:type="dxa" w:w="1728"/>
            <w:shd w:val="clear" w:fill="EAF2ED"/>
          </w:tcPr>
          <w:p>
            <w:r>
              <w:rPr>
                <w:sz w:val="19"/>
              </w:rPr>
              <w:t>Strategic &amp; Governance</w:t>
            </w:r>
          </w:p>
        </w:tc>
        <w:tc>
          <w:tcPr>
            <w:tcW w:type="dxa" w:w="1728"/>
            <w:shd w:val="clear" w:fill="EAF2ED"/>
          </w:tcPr>
          <w:p>
            <w:r>
              <w:rPr>
                <w:sz w:val="19"/>
              </w:rPr>
              <w:t>High</w:t>
            </w:r>
          </w:p>
        </w:tc>
        <w:tc>
          <w:tcPr>
            <w:tcW w:type="dxa" w:w="1728"/>
            <w:shd w:val="clear" w:fill="EAF2ED"/>
          </w:tcPr>
          <w:p>
            <w:r>
              <w:rPr>
                <w:sz w:val="19"/>
              </w:rPr>
              <w:t>Medium</w:t>
            </w:r>
          </w:p>
        </w:tc>
        <w:tc>
          <w:tcPr>
            <w:tcW w:type="dxa" w:w="1728"/>
            <w:shd w:val="clear" w:fill="EAF2ED"/>
          </w:tcPr>
          <w:p>
            <w:r>
              <w:rPr>
                <w:sz w:val="19"/>
              </w:rPr>
              <w:t>Unit: yes/no + description; Current: Yes — public target of 100kt CO2 sequestered by 2028; Freq.: Annually; Source: Company impact report</w:t>
            </w:r>
          </w:p>
        </w:tc>
      </w:tr>
    </w:tbl>
    <w:p/>
    <w:p>
      <w:pPr>
        <w:pStyle w:val="Heading1"/>
      </w:pPr>
      <w:r>
        <w:t>4. Uncertainty Acknowledgement</w:t>
      </w:r>
    </w:p>
    <w:p>
      <w:pPr>
        <w:pStyle w:val="Heading3"/>
      </w:pPr>
      <w:r>
        <w:t>GHG emissions per functional unit (simplified / screening LCA)</w:t>
      </w:r>
      <w:r>
        <w:rPr>
          <w:b/>
          <w:color w:val="B8860B"/>
        </w:rPr>
        <w:t xml:space="preserve">  [MODELLED]</w:t>
      </w:r>
    </w:p>
    <w:p>
      <w:r>
        <w:rPr>
          <w:b/>
        </w:rPr>
        <w:t xml:space="preserve">Claim as stated: </w:t>
      </w:r>
      <w:r>
        <w:t>AquaCarbon's process is net CO2-negative at −0.31 t CO2e per tonne of aggregate produced.</w:t>
      </w:r>
    </w:p>
    <w:p>
      <w:r>
        <w:rPr>
          <w:b/>
        </w:rPr>
        <w:t xml:space="preserve">Assumptions &amp; data sources: </w:t>
      </w:r>
      <w:r>
        <w:t>Captured CO2 volume from inline flow sensors; embodied manufacturing emissions from ecoinvent database; reactor electricity assumed at national grid average, not site-metered.</w:t>
      </w:r>
    </w:p>
    <w:p>
      <w:r>
        <w:rPr>
          <w:b/>
        </w:rPr>
        <w:t xml:space="preserve">Conditions that could change the estimate: </w:t>
      </w:r>
      <w:r>
        <w:t>The net figure would be less favourable at sites with a higher fossil share in the local grid, or if capture efficiency degrades faster in the field than pilot data suggests.</w:t>
      </w:r>
    </w:p>
    <w:p>
      <w:pPr>
        <w:pStyle w:val="Heading3"/>
      </w:pPr>
      <w:r>
        <w:t>Avoided emissions vs. conventional reference technology</w:t>
      </w:r>
      <w:r>
        <w:rPr>
          <w:b/>
          <w:color w:val="8A5A9E"/>
        </w:rPr>
        <w:t xml:space="preserve">  [PROJECTED]</w:t>
      </w:r>
    </w:p>
    <w:p>
      <w:r>
        <w:rPr>
          <w:b/>
        </w:rPr>
        <w:t xml:space="preserve">Claim as stated: </w:t>
      </w:r>
      <w:r>
        <w:t>Each deployed unit avoids approximately 85 t CO2e/year relative to conventional quarried aggregate.</w:t>
      </w:r>
    </w:p>
    <w:p>
      <w:r>
        <w:rPr>
          <w:b/>
        </w:rPr>
        <w:t xml:space="preserve">Assumptions &amp; data sources: </w:t>
      </w:r>
      <w:r>
        <w:t>Based on published emission factors for quarried aggregate production; not yet validated against which material our customers actually displace on site.</w:t>
      </w:r>
    </w:p>
    <w:p>
      <w:r>
        <w:rPr>
          <w:b/>
        </w:rPr>
        <w:t xml:space="preserve">Conditions that could change the estimate: </w:t>
      </w:r>
      <w:r>
        <w:t>Depends heavily on which conventional material is actually displaced at each customer's concrete mix — not yet tracked per order.</w:t>
      </w:r>
    </w:p>
    <w:p>
      <w:pPr>
        <w:pStyle w:val="Heading3"/>
      </w:pPr>
      <w:r>
        <w:t>Total energy use over a defined period</w:t>
      </w:r>
      <w:r>
        <w:rPr>
          <w:b/>
          <w:color w:val="2E6B4F"/>
        </w:rPr>
        <w:t xml:space="preserve">  [MEASURED]</w:t>
      </w:r>
    </w:p>
    <w:p>
      <w:r>
        <w:rPr>
          <w:b/>
        </w:rPr>
        <w:t xml:space="preserve">Claim as stated: </w:t>
      </w:r>
      <w:r>
        <w:t>18,400 kWh/month across 6 operating sites.</w:t>
      </w:r>
    </w:p>
    <w:p>
      <w:r>
        <w:rPr>
          <w:b/>
        </w:rPr>
        <w:t xml:space="preserve">Assumptions &amp; data sources: </w:t>
      </w:r>
      <w:r>
        <w:t>Aggregated from monthly utility invoices.</w:t>
      </w:r>
    </w:p>
    <w:p>
      <w:r>
        <w:rPr>
          <w:b/>
        </w:rPr>
        <w:t xml:space="preserve">Conditions that could change the estimate: </w:t>
      </w:r>
      <w:r>
        <w:t>(not filled in)</w:t>
      </w:r>
    </w:p>
    <w:p>
      <w:pPr>
        <w:pStyle w:val="Heading3"/>
      </w:pPr>
      <w:r>
        <w:t>Explicit environmental mission or quantified targets in place</w:t>
      </w:r>
      <w:r>
        <w:rPr>
          <w:b/>
          <w:color w:val="2E6B4F"/>
        </w:rPr>
        <w:t xml:space="preserve">  [MEASURED]</w:t>
      </w:r>
    </w:p>
    <w:p>
      <w:r>
        <w:rPr>
          <w:b/>
        </w:rPr>
        <w:t xml:space="preserve">Claim as stated: </w:t>
      </w:r>
      <w:r>
        <w:t>Public target of 100kt CO2 sequestered by 2028.</w:t>
      </w:r>
    </w:p>
    <w:p>
      <w:r>
        <w:rPr>
          <w:b/>
        </w:rPr>
        <w:t xml:space="preserve">Assumptions &amp; data sources: </w:t>
      </w:r>
      <w:r>
        <w:t>Published in the company's annual impact report.</w:t>
      </w:r>
    </w:p>
    <w:p>
      <w:r>
        <w:rPr>
          <w:b/>
        </w:rPr>
        <w:t xml:space="preserve">Conditions that could change the estimate: </w:t>
      </w:r>
      <w:r>
        <w:t>(not filled in)</w:t>
      </w:r>
    </w:p>
    <w:p>
      <w:pPr>
        <w:pStyle w:val="Heading1"/>
      </w:pPr>
      <w:r>
        <w:t>5. Integrity Checks</w:t>
      </w:r>
    </w:p>
    <w:p>
      <w:pPr>
        <w:pStyle w:val="ListBullet"/>
      </w:pPr>
      <w:r>
        <w:rPr>
          <w:color w:val="2E6B4F"/>
        </w:rPr>
        <w:t>✓  Core set size (1) is within the recommended 3–5 range.</w:t>
      </w:r>
    </w:p>
    <w:p>
      <w:pPr>
        <w:pStyle w:val="ListBullet"/>
      </w:pPr>
      <w:r>
        <w:rPr>
          <w:color w:val="2E6B4F"/>
        </w:rPr>
        <w:t>✓  No vanity metrics (high feasibility / low relevance) in the selection.</w:t>
      </w:r>
    </w:p>
    <w:p>
      <w:pPr>
        <w:pStyle w:val="ListBullet"/>
      </w:pPr>
      <w:r>
        <w:rPr>
          <w:color w:val="2E6B4F"/>
        </w:rPr>
        <w:t>✓  All core indicators are linked to an impact-pathway stage.</w:t>
      </w:r>
    </w:p>
    <w:p>
      <w:pPr>
        <w:pStyle w:val="Heading1"/>
      </w:pPr>
      <w:r>
        <w:t>6. Review &amp; Updating Plan</w:t>
      </w:r>
    </w:p>
    <w:p>
      <w:r>
        <w:t>This assessment is designed for updating, not for completion: it should be revisited at defined milestones rather than filed as a one-time exercise.</w:t>
      </w:r>
    </w:p>
    <w:p>
      <w:pPr>
        <w:pStyle w:val="ListBullet"/>
      </w:pPr>
      <w:r>
        <w:t>Next review milestone: New funding round</w:t>
      </w:r>
    </w:p>
    <w:p>
      <w:pPr>
        <w:pStyle w:val="ListBullet"/>
      </w:pPr>
      <w:r>
        <w:t>Notes: Revisit the avoided-emissions indicator once the third-party LCA verification underway with TU Delft is complete.</w:t>
      </w:r>
    </w:p>
    <w:p>
      <w:pPr>
        <w:pStyle w:val="Heading1"/>
      </w:pPr>
      <w:r>
        <w:t>Methodology</w:t>
      </w:r>
    </w:p>
    <w:p>
      <w:r>
        <w:t>This assessment follows a four-module framework for environmental impact assessment in early-stage startups: (1) startup profiling and type classification; (2) impact pathway mapping grounded in theory-of-change / logic-model reasoning (Weiss 1995; Mayne 2008; W.K. Kellogg Foundation 2004; McLaughlin &amp; Jordan 2015); (3) indicator selection via two-dimensional feasibility–relevance scoring; and (4) uncertainty acknowledgement using three levels of evidential confidence (measured, modelled, projected). The framework is governed by four principles: proportionality, type-differentiation, transparency over precision, and design for updating rather than completion. It is a screening-level instrument: it does not replace full LCA (ISO 14040/44), comprehensive GHG Protocol reporting, or regulatory compliance assessment, and it does not produce a composite score.</w:t>
      </w:r>
    </w:p>
    <w:p>
      <w:pPr>
        <w:pStyle w:val="Heading1"/>
      </w:pPr>
      <w:r>
        <w:t>References</w:t>
      </w:r>
    </w:p>
    <w:p>
      <w:pPr>
        <w:pStyle w:val="ListBullet"/>
      </w:pPr>
      <w:r>
        <w:t>Goyal, S. &amp; Mahmoudzadeh, A. (2024). [Product-level performance and avoided impact assessment for cleantech startups].</w:t>
      </w:r>
    </w:p>
    <w:p>
      <w:pPr>
        <w:pStyle w:val="ListBullet"/>
      </w:pPr>
      <w:r>
        <w:t>ISO (2015). ISO 14031: Environmental management — Environmental performance evaluation.</w:t>
      </w:r>
    </w:p>
    <w:p>
      <w:pPr>
        <w:pStyle w:val="ListBullet"/>
      </w:pPr>
      <w:r>
        <w:t>W.K. Kellogg Foundation (2004). Logic Model Development Guide.</w:t>
      </w:r>
    </w:p>
    <w:p>
      <w:pPr>
        <w:pStyle w:val="ListBullet"/>
      </w:pPr>
      <w:r>
        <w:t>Li, X. &amp; Lin, Y. (2025). [Relevance criteria for environmental indicators].</w:t>
      </w:r>
    </w:p>
    <w:p>
      <w:pPr>
        <w:pStyle w:val="ListBullet"/>
      </w:pPr>
      <w:r>
        <w:t>Mayne, J. (2008). Contribution analysis: An approach to exploring cause and effect. ILAC Brief 16.</w:t>
      </w:r>
    </w:p>
    <w:p>
      <w:pPr>
        <w:pStyle w:val="ListBullet"/>
      </w:pPr>
      <w:r>
        <w:t>McLaughlin, J.A. &amp; Jordan, G.B. (2015). Using logic models. In Handbook of Practical Program Evaluation.</w:t>
      </w:r>
    </w:p>
    <w:p>
      <w:pPr>
        <w:pStyle w:val="ListBullet"/>
      </w:pPr>
      <w:r>
        <w:t>Neumann, T. (2023). [Environmental performance indicators for young ventures].</w:t>
      </w:r>
    </w:p>
    <w:p>
      <w:pPr>
        <w:pStyle w:val="ListBullet"/>
      </w:pPr>
      <w:r>
        <w:t>Roomi, M.A. et al. (2021). [Indicator sets for sustainable entrepreneurship].</w:t>
      </w:r>
    </w:p>
    <w:p>
      <w:pPr>
        <w:pStyle w:val="ListBullet"/>
      </w:pPr>
      <w:r>
        <w:t>Sahili, Z. &amp; Barrales-Molina, V. (2024). [Lean environmental assessment in young firms].</w:t>
      </w:r>
    </w:p>
    <w:p>
      <w:pPr>
        <w:pStyle w:val="ListBullet"/>
      </w:pPr>
      <w:r>
        <w:t>Weidema, B.P. et al. (2018). [Progressive data collection and hybrid assessment].</w:t>
      </w:r>
    </w:p>
    <w:p>
      <w:pPr>
        <w:pStyle w:val="ListBullet"/>
      </w:pPr>
      <w:r>
        <w:t>Weiss, C.H. (1995). Nothing as practical as good theory. In New Approaches to Evaluating Community Initiatives.</w:t>
      </w:r>
    </w:p>
    <w:p>
      <w:r>
        <w:rPr>
          <w:i/>
          <w:color w:val="5A6B62"/>
          <w:sz w:val="17"/>
        </w:rPr>
        <w:t>Generated with the four-module Environmental Impact Assessment tool, based on “A Proposed Framework for Environmental Impact Assessment in Early-Stage Startups”. Screening-level instrument — does not replace full LCA or GHG Protocol reporting.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Page </w:t>
    </w:r>
    <w:fldSimple w:instr="PAGE"/>
    <w:r>
      <w:rPr>
        <w:sz w:val="17"/>
      </w:rPr>
      <w:t xml:space="preserve"> of </w:t>
    </w:r>
    <w:fldSimple w:instr="NUMPAGES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