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6B4F"/>
        </w:rPr>
        <w:t>Environmental Impact Assessment</w:t>
      </w:r>
    </w:p>
    <w:p>
      <w:pPr>
        <w:pStyle w:val="Heading1"/>
      </w:pPr>
      <w:r>
        <w:rPr>
          <w:color w:val="333333"/>
        </w:rPr>
        <w:t>RouteWise</w:t>
      </w:r>
    </w:p>
    <w:p>
      <w:r>
        <w:rPr>
          <w:i/>
          <w:color w:val="5A6B62"/>
          <w:sz w:val="19"/>
        </w:rPr>
        <w:t>Assessment version 1  ·  Generated 2026-08-04  ·  Development stage: Growth  ·  Sector: Logistics SaaS</w:t>
      </w:r>
    </w:p>
    <w:p>
      <w:pPr>
        <w:ind w:left="360"/>
      </w:pPr>
      <w:r>
        <w:rPr>
          <w:i/>
        </w:rPr>
        <w:t>RouteWise sells route-optimization software to mid-size delivery fleets, marketed primarily on fuel-cost and time savings. Reduced emissions are a secondary effect of more efficient routing, not the sales pitch.</w:t>
      </w:r>
    </w:p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“Update Field”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Classification: Incidental Enabler (General-Purpose)</w:t>
      </w:r>
    </w:p>
    <w:p>
      <w:pPr>
        <w:pStyle w:val="ListBullet"/>
      </w:pPr>
      <w:r>
        <w:t>Primary unit of analysis: Operational footprint + light-touch adoption screening (dual track)</w:t>
      </w:r>
    </w:p>
    <w:p>
      <w:pPr>
        <w:pStyle w:val="ListBullet"/>
      </w:pPr>
      <w:r>
        <w:t>Core indicator set: 1 indicator(s) — Avoided emissions vs. conventional reference technology</w:t>
      </w:r>
    </w:p>
    <w:p>
      <w:pPr>
        <w:pStyle w:val="ListBullet"/>
      </w:pPr>
      <w:r>
        <w:t>Evidence base: 1 measured, 1 modelled</w:t>
      </w:r>
    </w:p>
    <w:p>
      <w:pPr>
        <w:pStyle w:val="ListBullet"/>
      </w:pPr>
      <w:r>
        <w:t>Integrity checks: 1 warning(s) — see Section 5</w:t>
      </w:r>
    </w:p>
    <w:p>
      <w:pPr>
        <w:pStyle w:val="ListBullet"/>
      </w:pPr>
      <w:r>
        <w:t>Next scheduled review: Annual review</w:t>
      </w:r>
    </w:p>
    <w:p>
      <w:pPr>
        <w:pStyle w:val="Heading1"/>
      </w:pPr>
      <w:r>
        <w:t>1. Startup Profiling &amp; Type Classification</w:t>
      </w:r>
    </w:p>
    <w:p>
      <w:pPr>
        <w:pStyle w:val="ListBullet"/>
      </w:pPr>
      <w:r>
        <w:t>Impact mechanism: Enabling</w:t>
      </w:r>
    </w:p>
    <w:p>
      <w:pPr>
        <w:pStyle w:val="ListBullet"/>
      </w:pPr>
      <w:r>
        <w:t>Value proposition orientation: Secondary</w:t>
      </w:r>
    </w:p>
    <w:p>
      <w:pPr>
        <w:pStyle w:val="ListBullet"/>
      </w:pPr>
      <w:r>
        <w:t>Resulting type: Incidental Enabler (General-Purpose)</w:t>
      </w:r>
    </w:p>
    <w:p>
      <w:pPr>
        <w:ind w:left="200"/>
      </w:pPr>
      <w:r>
        <w:t>Environmental effects arise as a by-product of commercial activity through enabling others, rather than as an explicit value proposition. Assessed via the operational footprint with light-touch screening of enabling effects.</w:t>
      </w:r>
    </w:p>
    <w:p>
      <w:r>
        <w:rPr>
          <w:i/>
          <w:color w:val="5A6B62"/>
          <w:sz w:val="19"/>
        </w:rPr>
        <w:t>Stage guidance (Growth): Module 4 gains importance as the startup faces greater scrutiny from investors, corporate customers, and regulators. Uncertainty labeling and honest communication become critical.</w:t>
      </w:r>
    </w:p>
    <w:p>
      <w:pPr>
        <w:pStyle w:val="Heading1"/>
      </w:pPr>
      <w:r>
        <w:t>2. Impact Pathway (Theory of Change)</w:t>
      </w:r>
    </w:p>
    <w:p>
      <w:pPr>
        <w:pStyle w:val="Heading2"/>
      </w:pPr>
      <w:r>
        <w:t>Track A: Operational footprint</w:t>
      </w:r>
    </w:p>
    <w:p>
      <w:pPr>
        <w:pStyle w:val="Heading3"/>
      </w:pPr>
      <w:r>
        <w:t>Activities: operations</w:t>
      </w:r>
    </w:p>
    <w:p>
      <w:pPr>
        <w:pStyle w:val="ListBullet"/>
      </w:pPr>
      <w:r>
        <w:t>Description: Cloud-hosted SaaS platform on AWS; a single office in Prague; no delivery fleet of our own.</w:t>
      </w:r>
    </w:p>
    <w:p>
      <w:pPr>
        <w:pStyle w:val="ListBullet"/>
      </w:pPr>
      <w:r>
        <w:t>Underlying assumption: Cloud compute is the dominant driver of our own footprint, not office energy use.</w:t>
      </w:r>
    </w:p>
    <w:p>
      <w:pPr>
        <w:pStyle w:val="ListBullet"/>
      </w:pPr>
      <w:r>
        <w:t>Evidence strength: Moderate (some evidence)</w:t>
      </w:r>
    </w:p>
    <w:p>
      <w:pPr>
        <w:pStyle w:val="Heading3"/>
      </w:pPr>
      <w:r>
        <w:t>Outputs: resource use &amp; emissions</w:t>
      </w:r>
    </w:p>
    <w:p>
      <w:pPr>
        <w:pStyle w:val="ListBullet"/>
      </w:pPr>
      <w:r>
        <w:t>Description: AWS compute and storage, plus office energy and commuting for 34 staff.</w:t>
      </w:r>
    </w:p>
    <w:p>
      <w:pPr>
        <w:pStyle w:val="ListBullet"/>
      </w:pPr>
      <w:r>
        <w:t>Underlying assumption: AWS's reported carbon accounting reasonably reflects the actual regional grid mix behind our workloads.</w:t>
      </w:r>
    </w:p>
    <w:p>
      <w:pPr>
        <w:pStyle w:val="ListBullet"/>
      </w:pPr>
      <w:r>
        <w:t>Evidence strength: Moderate (some evidence)</w:t>
      </w:r>
    </w:p>
    <w:p>
      <w:pPr>
        <w:pStyle w:val="Heading3"/>
      </w:pPr>
      <w:r>
        <w:t>Impact: direct environmental effect</w:t>
      </w:r>
    </w:p>
    <w:p>
      <w:pPr>
        <w:pStyle w:val="ListBullet"/>
      </w:pPr>
      <w:r>
        <w:t>Description: Estimated 42 t CO2e/year (cloud Scope 2 plus office Scope 1 and 2).</w:t>
      </w:r>
    </w:p>
    <w:p>
      <w:pPr>
        <w:pStyle w:val="ListBullet"/>
      </w:pPr>
      <w:r>
        <w:t>Underlying assumption: (not stated)</w:t>
      </w:r>
    </w:p>
    <w:p>
      <w:pPr>
        <w:pStyle w:val="ListBullet"/>
      </w:pPr>
      <w:r>
        <w:t>Evidence strength: Moderate (some evidence)</w:t>
      </w:r>
    </w:p>
    <w:p>
      <w:pPr>
        <w:pStyle w:val="Heading2"/>
      </w:pPr>
      <w:r>
        <w:t>Track B: Product/service externalities</w:t>
      </w:r>
    </w:p>
    <w:p>
      <w:pPr>
        <w:pStyle w:val="Heading3"/>
      </w:pPr>
      <w:r>
        <w:t>Activities: product or service in the market</w:t>
      </w:r>
    </w:p>
    <w:p>
      <w:pPr>
        <w:pStyle w:val="ListBullet"/>
      </w:pPr>
      <w:r>
        <w:t>Description: Route optimization reduces total distance driven and idle time for customer delivery fleets.</w:t>
      </w:r>
    </w:p>
    <w:p>
      <w:pPr>
        <w:pStyle w:val="ListBullet"/>
      </w:pPr>
      <w:r>
        <w:t>Underlying assumption: Drivers actually follow the optimized routes rather than overriding them with manual choices.</w:t>
      </w:r>
    </w:p>
    <w:p>
      <w:pPr>
        <w:pStyle w:val="ListBullet"/>
      </w:pPr>
      <w:r>
        <w:t>Evidence strength: Weak (assumption only)</w:t>
      </w:r>
    </w:p>
    <w:p>
      <w:pPr>
        <w:pStyle w:val="Heading3"/>
      </w:pPr>
      <w:r>
        <w:t>Outcomes: induced changes</w:t>
      </w:r>
    </w:p>
    <w:p>
      <w:pPr>
        <w:pStyle w:val="ListBullet"/>
      </w:pPr>
      <w:r>
        <w:t>Description: Customer fleets self-report roughly 9% lower fuel consumption per delivery after adoption.</w:t>
      </w:r>
    </w:p>
    <w:p>
      <w:pPr>
        <w:pStyle w:val="ListBullet"/>
      </w:pPr>
      <w:r>
        <w:t>Underlying assumption: Fuel savings are banked as a reduction, not spent on expanding delivery volume or service area (rebound effect).</w:t>
      </w:r>
    </w:p>
    <w:p>
      <w:pPr>
        <w:pStyle w:val="ListBullet"/>
      </w:pPr>
      <w:r>
        <w:t>Evidence strength: Weak (assumption only)</w:t>
      </w:r>
    </w:p>
    <w:p>
      <w:pPr>
        <w:pStyle w:val="Heading3"/>
      </w:pPr>
      <w:r>
        <w:t>Impact: net externality</w:t>
      </w:r>
    </w:p>
    <w:p>
      <w:pPr>
        <w:pStyle w:val="ListBullet"/>
      </w:pPr>
      <w:r>
        <w:t>Description: Net fuel and emissions effect across the customer fleet base, after netting out any rebound-driven volume growth.</w:t>
      </w:r>
    </w:p>
    <w:p>
      <w:pPr>
        <w:pStyle w:val="ListBullet"/>
      </w:pPr>
      <w:r>
        <w:t>Underlying assumption: (not stated)</w:t>
      </w:r>
    </w:p>
    <w:p>
      <w:pPr>
        <w:pStyle w:val="ListBullet"/>
      </w:pPr>
      <w:r>
        <w:t>Evidence strength: Not rated</w:t>
      </w:r>
    </w:p>
    <w:p>
      <w:r>
        <w:rPr>
          <w:b/>
          <w:color w:val="AA3333"/>
        </w:rPr>
        <w:t>Weakest link(s) in the chain: The rebound effect on Track B is unverified. Several of our largest customers have grown their delivery volume alongside adopting RouteWise, and we cannot yet separate 'lower emissions per delivery' from 'more total deliveries eating into that per-unit gain.'</w:t>
      </w:r>
    </w:p>
    <w:p>
      <w:pPr>
        <w:pStyle w:val="Heading1"/>
      </w:pPr>
      <w:r>
        <w:t>3. Indicator Set (Feasibility–Relevance Scoring)</w:t>
      </w:r>
    </w:p>
    <w:p>
      <w:pPr>
        <w:pStyle w:val="Heading2"/>
      </w:pPr>
      <w:r>
        <w:t>Core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Avoided emissions vs. conventional reference technology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Product-Level Performance &amp; Avoided Impact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% fuel reduction / delivery; Current: ~9% average, self-reported by 14 of 60 active customers; Target: Third-party validated savings figure, verified via telematics; Freq.: Annually; Source: Customer self-report survey; raw telematics cross-check from 3 customers; Evidences: Track B: Product/service externalities → Outcomes: induced changes</w:t>
            </w:r>
          </w:p>
        </w:tc>
      </w:tr>
    </w:tbl>
    <w:p/>
    <w:p>
      <w:pPr>
        <w:pStyle w:val="Heading2"/>
      </w:pPr>
      <w:r>
        <w:t>Supplementary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Scope 2 indirect emissions (purchased electricity &amp; heat)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Emissions &amp; Waste Output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t CO2e / yr; Current: 31 (cloud) + 11 (office) = 42; Freq.: Quarterly; Source: AWS Customer Carbon Footprint Tool + office utility invoices; Evidences: Track A: Operational footprint → Impact: direct environmental effect</w:t>
            </w:r>
          </w:p>
        </w:tc>
      </w:tr>
    </w:tbl>
    <w:p/>
    <w:p>
      <w:pPr>
        <w:pStyle w:val="Heading2"/>
      </w:pPr>
      <w:r>
        <w:t>Excluded (low relevance)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Total waste generated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Emissions &amp; Waste Output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kg / yr; Source: Office recycling records</w:t>
            </w:r>
          </w:p>
        </w:tc>
      </w:tr>
      <w:tr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Number/type of customers or partners using solution for environmental purposes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Systemic &amp; Enabling Contribution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Unit: count; Source: CRM notes on stated purchase motivation</w:t>
            </w:r>
          </w:p>
        </w:tc>
      </w:tr>
    </w:tbl>
    <w:p/>
    <w:p>
      <w:pPr>
        <w:pStyle w:val="Heading1"/>
      </w:pPr>
      <w:r>
        <w:t>4. Uncertainty Acknowledgement</w:t>
      </w:r>
    </w:p>
    <w:p>
      <w:pPr>
        <w:pStyle w:val="Heading3"/>
      </w:pPr>
      <w:r>
        <w:t>Scope 2 indirect emissions (purchased electricity &amp; heat)</w:t>
      </w:r>
      <w:r>
        <w:rPr>
          <w:b/>
          <w:color w:val="2E6B4F"/>
        </w:rPr>
        <w:t xml:space="preserve">  [MEASURED]</w:t>
      </w:r>
    </w:p>
    <w:p>
      <w:r>
        <w:rPr>
          <w:b/>
        </w:rPr>
        <w:t xml:space="preserve">Claim as stated: </w:t>
      </w:r>
      <w:r>
        <w:t>42 t CO2e/year total (31 t cloud + 11 t office).</w:t>
      </w:r>
    </w:p>
    <w:p>
      <w:r>
        <w:rPr>
          <w:b/>
        </w:rPr>
        <w:t xml:space="preserve">Assumptions &amp; data sources: </w:t>
      </w:r>
      <w:r>
        <w:t>AWS Customer Carbon Footprint Tool for cloud; utility invoices for the Prague office.</w:t>
      </w:r>
    </w:p>
    <w:p>
      <w:r>
        <w:rPr>
          <w:b/>
        </w:rPr>
        <w:t xml:space="preserve">Conditions that could change the estimate: </w:t>
      </w:r>
      <w:r>
        <w:t>(not filled in)</w:t>
      </w:r>
    </w:p>
    <w:p>
      <w:pPr>
        <w:pStyle w:val="Heading3"/>
      </w:pPr>
      <w:r>
        <w:t>Avoided emissions vs. conventional reference technology</w:t>
      </w:r>
      <w:r>
        <w:rPr>
          <w:b/>
          <w:color w:val="B8860B"/>
        </w:rPr>
        <w:t xml:space="preserve">  [MODELLED]</w:t>
      </w:r>
    </w:p>
    <w:p>
      <w:r>
        <w:rPr>
          <w:b/>
        </w:rPr>
        <w:t xml:space="preserve">Claim as stated: </w:t>
      </w:r>
      <w:r>
        <w:t>Customer fleets report an average 9% reduction in fuel consumption per delivery after adopting RouteWise.</w:t>
      </w:r>
    </w:p>
    <w:p>
      <w:r>
        <w:rPr>
          <w:b/>
        </w:rPr>
        <w:t xml:space="preserve">Assumptions &amp; data sources: </w:t>
      </w:r>
      <w:r>
        <w:t>Self-reported by 14 of 60 active customers; only 3 customers share raw telematics data for cross-check against the self-reported figure.</w:t>
      </w:r>
    </w:p>
    <w:p>
      <w:r>
        <w:rPr>
          <w:b/>
        </w:rPr>
        <w:t xml:space="preserve">Conditions that could change the estimate: </w:t>
      </w:r>
      <w:r>
        <w:t>True figure could be lower if only satisfied customers respond to the survey (self-selection bias), or the telematics-verified subset could be unrepresentative of the wider customer base either way.</w:t>
      </w:r>
    </w:p>
    <w:p>
      <w:pPr>
        <w:pStyle w:val="Heading1"/>
      </w:pPr>
      <w:r>
        <w:t>5. Integrity Checks</w:t>
      </w:r>
    </w:p>
    <w:p>
      <w:pPr>
        <w:pStyle w:val="ListBullet"/>
      </w:pPr>
      <w:r>
        <w:rPr>
          <w:color w:val="2E6B4F"/>
        </w:rPr>
        <w:t>✓  Core set size (1) is within the recommended 3–5 range.</w:t>
      </w:r>
    </w:p>
    <w:p>
      <w:pPr>
        <w:pStyle w:val="ListBullet"/>
      </w:pPr>
      <w:r>
        <w:rPr>
          <w:color w:val="AA3333"/>
        </w:rPr>
        <w:t>⚠  Possible vanity metrics selected (high feasibility, low relevance): Total waste generated; Number/type of customers or partners using solution for environmental purposes. Reporting metrics that are available rather than meaningful is a structural driver of greenwashing — the framework excludes these.</w:t>
      </w:r>
    </w:p>
    <w:p>
      <w:pPr>
        <w:pStyle w:val="ListBullet"/>
      </w:pPr>
      <w:r>
        <w:rPr>
          <w:color w:val="2E6B4F"/>
        </w:rPr>
        <w:t>✓  All core indicators are linked to an impact-pathway stage.</w:t>
      </w:r>
    </w:p>
    <w:p>
      <w:pPr>
        <w:pStyle w:val="Heading1"/>
      </w:pPr>
      <w:r>
        <w:t>6. Review &amp; Updating Plan</w:t>
      </w:r>
    </w:p>
    <w:p>
      <w:r>
        <w:t>This assessment is designed for updating, not for completion: it should be revisited at defined milestones rather than filed as a one-time exercise.</w:t>
      </w:r>
    </w:p>
    <w:p>
      <w:pPr>
        <w:pStyle w:val="ListBullet"/>
      </w:pPr>
      <w:r>
        <w:t>Next review milestone: Annual review</w:t>
      </w:r>
    </w:p>
    <w:p>
      <w:pPr>
        <w:pStyle w:val="ListBullet"/>
      </w:pPr>
      <w:r>
        <w:t>Notes: Get telematics-verified fuel savings data from more than 3 customers before the next review, and investigate the rebound effect against delivery-volume growth.</w:t>
      </w:r>
    </w:p>
    <w:p>
      <w:pPr>
        <w:pStyle w:val="Heading1"/>
      </w:pPr>
      <w:r>
        <w:t>Methodology</w:t>
      </w:r>
    </w:p>
    <w:p>
      <w:r>
        <w:t>This assessment follows a four-module framework for environmental impact assessment in early-stage startups: (1) startup profiling and type classification; (2) impact pathway mapping grounded in theory-of-change / logic-model reasoning (Weiss 1995; Mayne 2008; W.K. Kellogg Foundation 2004; McLaughlin &amp; Jordan 2015); (3) indicator selection via two-dimensional feasibility–relevance scoring; and (4) uncertainty acknowledgement using three levels of evidential confidence (measured, modelled, projected). The framework is governed by four principles: proportionality, type-differentiation, transparency over precision, and design for updating rather than completion. It is a screening-level instrument: it does not replace full LCA (ISO 14040/44), comprehensive GHG Protocol reporting, or regulatory compliance assessment, and it does not produce a composite score.</w:t>
      </w:r>
    </w:p>
    <w:p>
      <w:pPr>
        <w:pStyle w:val="Heading1"/>
      </w:pPr>
      <w:r>
        <w:t>References</w:t>
      </w:r>
    </w:p>
    <w:p>
      <w:pPr>
        <w:pStyle w:val="ListBullet"/>
      </w:pPr>
      <w:r>
        <w:t>World Resources Institute &amp; WBCSD (2013). The Greenhouse Gas Protocol: A Corporate Accounting and Reporting Standard.</w:t>
      </w:r>
    </w:p>
    <w:p>
      <w:pPr>
        <w:pStyle w:val="ListBullet"/>
      </w:pPr>
      <w:r>
        <w:t>Goyal, S. &amp; Mahmoudzadeh, A. (2024). [Product-level performance and avoided impact assessment for cleantech startups].</w:t>
      </w:r>
    </w:p>
    <w:p>
      <w:pPr>
        <w:pStyle w:val="ListBullet"/>
      </w:pPr>
      <w:r>
        <w:t>ISO (2015). ISO 14031: Environmental management — Environmental performance evaluation.</w:t>
      </w:r>
    </w:p>
    <w:p>
      <w:pPr>
        <w:pStyle w:val="ListBullet"/>
      </w:pPr>
      <w:r>
        <w:t>W.K. Kellogg Foundation (2004). Logic Model Development Guide.</w:t>
      </w:r>
    </w:p>
    <w:p>
      <w:pPr>
        <w:pStyle w:val="ListBullet"/>
      </w:pPr>
      <w:r>
        <w:t>Li, X. &amp; Lin, Y. (2025). [Relevance criteria for environmental indicators].</w:t>
      </w:r>
    </w:p>
    <w:p>
      <w:pPr>
        <w:pStyle w:val="ListBullet"/>
      </w:pPr>
      <w:r>
        <w:t>Markard, J., Raven, R. &amp; Truffer, B. (2012). Sustainability transitions: An emerging field of research and its prospects. Research Policy 41(6).</w:t>
      </w:r>
    </w:p>
    <w:p>
      <w:pPr>
        <w:pStyle w:val="ListBullet"/>
      </w:pPr>
      <w:r>
        <w:t>Mayne, J. (2008). Contribution analysis: An approach to exploring cause and effect. ILAC Brief 16.</w:t>
      </w:r>
    </w:p>
    <w:p>
      <w:pPr>
        <w:pStyle w:val="ListBullet"/>
      </w:pPr>
      <w:r>
        <w:t>McLaughlin, J.A. &amp; Jordan, G.B. (2015). Using logic models. In Handbook of Practical Program Evaluation.</w:t>
      </w:r>
    </w:p>
    <w:p>
      <w:pPr>
        <w:pStyle w:val="ListBullet"/>
      </w:pPr>
      <w:r>
        <w:t>Neumann, T. (2023). [Environmental performance indicators for young ventures].</w:t>
      </w:r>
    </w:p>
    <w:p>
      <w:pPr>
        <w:pStyle w:val="ListBullet"/>
      </w:pPr>
      <w:r>
        <w:t>Roomi, M.A. et al. (2021). [Indicator sets for sustainable entrepreneurship].</w:t>
      </w:r>
    </w:p>
    <w:p>
      <w:pPr>
        <w:pStyle w:val="ListBullet"/>
      </w:pPr>
      <w:r>
        <w:t>Sahili, Z. &amp; Barrales-Molina, V. (2024). [Lean environmental assessment in young firms].</w:t>
      </w:r>
    </w:p>
    <w:p>
      <w:pPr>
        <w:pStyle w:val="ListBullet"/>
      </w:pPr>
      <w:r>
        <w:t>Weidema, B.P. et al. (2018). [Progressive data collection and hybrid assessment].</w:t>
      </w:r>
    </w:p>
    <w:p>
      <w:pPr>
        <w:pStyle w:val="ListBullet"/>
      </w:pPr>
      <w:r>
        <w:t>Weiss, C.H. (1995). Nothing as practical as good theory. In New Approaches to Evaluating Community Initiatives.</w:t>
      </w:r>
    </w:p>
    <w:p>
      <w:r>
        <w:rPr>
          <w:i/>
          <w:color w:val="5A6B62"/>
          <w:sz w:val="17"/>
        </w:rPr>
        <w:t>Generated with the four-module Environmental Impact Assessment tool, based on “A Proposed Framework for Environmental Impact Assessment in Early-Stage Startups”. Screening-level instrument — does not replace full LCA or GHG Protocol reporting.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fldSimple w:instr="PAGE"/>
    <w:r>
      <w:rPr>
        <w:sz w:val="17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