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8359B" w14:textId="77777777" w:rsidR="0031068B" w:rsidRDefault="0031068B" w:rsidP="00BC1C52">
      <w:pPr>
        <w:ind w:hanging="1134"/>
      </w:pPr>
    </w:p>
    <w:p w14:paraId="376D6735" w14:textId="77777777" w:rsidR="0053192A" w:rsidRDefault="0053192A"/>
    <w:p w14:paraId="7B1D254E" w14:textId="77777777" w:rsidR="0053192A" w:rsidRDefault="0053192A"/>
    <w:p w14:paraId="282D255D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20E56" wp14:editId="6D6CEFC7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D288CF" w14:textId="2C451AEE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486E37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820E5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3BD288CF" w14:textId="2C451AEE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486E37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FF165B" w14:textId="77777777" w:rsidR="0053192A" w:rsidRDefault="0053192A"/>
    <w:p w14:paraId="63099C64" w14:textId="77777777" w:rsidR="0053192A" w:rsidRDefault="0053192A"/>
    <w:p w14:paraId="02C1816C" w14:textId="77777777" w:rsidR="0053192A" w:rsidRDefault="0053192A"/>
    <w:p w14:paraId="548EBE96" w14:textId="77777777" w:rsidR="0053192A" w:rsidRDefault="0053192A"/>
    <w:p w14:paraId="03325CBC" w14:textId="77777777" w:rsidR="0053192A" w:rsidRDefault="0053192A"/>
    <w:p w14:paraId="3E1C536A" w14:textId="77777777" w:rsidR="0053192A" w:rsidRDefault="0053192A"/>
    <w:p w14:paraId="5FB8EF69" w14:textId="77777777" w:rsidR="0067231D" w:rsidRDefault="0067231D"/>
    <w:p w14:paraId="54C5812F" w14:textId="77777777" w:rsidR="0067231D" w:rsidRDefault="0067231D"/>
    <w:p w14:paraId="37F9D373" w14:textId="77777777" w:rsidR="00BA4481" w:rsidRDefault="00BA4481"/>
    <w:p w14:paraId="0631A16C" w14:textId="77777777" w:rsidR="00BA4481" w:rsidRDefault="00BA4481"/>
    <w:p w14:paraId="390A5A04" w14:textId="77777777" w:rsidR="00BA4481" w:rsidRDefault="00BA4481"/>
    <w:p w14:paraId="5D2C249E" w14:textId="77777777" w:rsidR="00BA4481" w:rsidRDefault="00BA4481"/>
    <w:p w14:paraId="0185A116" w14:textId="77777777" w:rsidR="00BA4481" w:rsidRDefault="00BA4481"/>
    <w:p w14:paraId="7E817ABE" w14:textId="77777777" w:rsidR="00BA4481" w:rsidRDefault="00BA4481"/>
    <w:p w14:paraId="484EBC3E" w14:textId="77777777" w:rsidR="0067231D" w:rsidRDefault="0067231D"/>
    <w:p w14:paraId="0F986739" w14:textId="6492184E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812935" w:rsidRPr="00812935">
        <w:rPr>
          <w:sz w:val="56"/>
          <w:szCs w:val="56"/>
        </w:rPr>
        <w:t>Standardi</w:t>
      </w:r>
      <w:r w:rsidR="00572A75">
        <w:rPr>
          <w:sz w:val="56"/>
          <w:szCs w:val="56"/>
        </w:rPr>
        <w:t>s</w:t>
      </w:r>
      <w:r w:rsidR="00812935" w:rsidRPr="00812935">
        <w:rPr>
          <w:sz w:val="56"/>
          <w:szCs w:val="56"/>
        </w:rPr>
        <w:t>ed frameworks for secure data sharing across multi-vendor environments</w:t>
      </w:r>
      <w:r w:rsidRPr="0067231D">
        <w:rPr>
          <w:sz w:val="56"/>
          <w:szCs w:val="56"/>
        </w:rPr>
        <w:t>"</w:t>
      </w:r>
    </w:p>
    <w:p w14:paraId="64BCC13C" w14:textId="77777777" w:rsidR="0053192A" w:rsidRDefault="0053192A"/>
    <w:p w14:paraId="384DF83C" w14:textId="77777777" w:rsidR="0053192A" w:rsidRDefault="0053192A"/>
    <w:p w14:paraId="2238DCAE" w14:textId="77777777" w:rsidR="0053192A" w:rsidRDefault="0053192A"/>
    <w:p w14:paraId="7A76D29A" w14:textId="77777777" w:rsidR="0053192A" w:rsidRDefault="0053192A"/>
    <w:p w14:paraId="3B7A6484" w14:textId="77777777" w:rsidR="0053192A" w:rsidRDefault="0053192A"/>
    <w:p w14:paraId="616EFE7B" w14:textId="77777777" w:rsidR="0053192A" w:rsidRDefault="0053192A"/>
    <w:p w14:paraId="7A25AF6A" w14:textId="77777777" w:rsidR="0053192A" w:rsidRDefault="0053192A"/>
    <w:p w14:paraId="12C76395" w14:textId="77777777" w:rsidR="0053192A" w:rsidRDefault="0053192A"/>
    <w:p w14:paraId="0643F82A" w14:textId="77777777" w:rsidR="0053192A" w:rsidRDefault="0053192A"/>
    <w:p w14:paraId="78941D19" w14:textId="77777777" w:rsidR="0053192A" w:rsidRDefault="0053192A"/>
    <w:p w14:paraId="652D50F9" w14:textId="77777777" w:rsidR="0053192A" w:rsidRDefault="0053192A"/>
    <w:p w14:paraId="16885B44" w14:textId="77777777" w:rsidR="0053192A" w:rsidRDefault="0053192A"/>
    <w:p w14:paraId="08220E62" w14:textId="77777777" w:rsidR="0053192A" w:rsidRDefault="0053192A"/>
    <w:p w14:paraId="1D8E6E71" w14:textId="77777777" w:rsidR="00BA4481" w:rsidRDefault="00BA4481"/>
    <w:p w14:paraId="7C2F984C" w14:textId="77777777" w:rsidR="00BA4481" w:rsidRDefault="00BA4481"/>
    <w:p w14:paraId="48F2A51A" w14:textId="77777777" w:rsidR="00BA4481" w:rsidRDefault="00BA4481"/>
    <w:p w14:paraId="1FB4BC46" w14:textId="77777777" w:rsidR="00BA4481" w:rsidRDefault="00BA4481"/>
    <w:p w14:paraId="73A79D7F" w14:textId="77777777" w:rsidR="00BA4481" w:rsidRDefault="00BA4481"/>
    <w:p w14:paraId="005209B3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71E70DE4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64AD58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5FEF1435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6F84039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80CDF7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30E5809E" w14:textId="44F183D3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486E37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5B178DBA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689A72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59DF0033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2BF25D01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1A4F34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2016F644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463E9F17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BE6C21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2EB08DDA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B6A065A" w14:textId="77777777" w:rsidR="00BA4481" w:rsidRDefault="00BA4481"/>
    <w:p w14:paraId="5D829218" w14:textId="77777777" w:rsidR="00BA4481" w:rsidRDefault="00BA4481"/>
    <w:p w14:paraId="752B9608" w14:textId="77777777" w:rsidR="0053192A" w:rsidRDefault="0053192A"/>
    <w:p w14:paraId="24279FA7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1F248F21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893A713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337D65AF" w14:textId="77777777" w:rsidR="0053192A" w:rsidRDefault="0053192A" w:rsidP="0053192A"/>
    <w:p w14:paraId="6CB2C5FC" w14:textId="77777777" w:rsidR="0053192A" w:rsidRDefault="0053192A" w:rsidP="0053192A">
      <w:r>
        <w:br w:type="page"/>
      </w:r>
    </w:p>
    <w:p w14:paraId="21624577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520FB5E1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EE67265" w14:textId="77777777" w:rsidTr="00E455C4">
        <w:tc>
          <w:tcPr>
            <w:tcW w:w="1097" w:type="dxa"/>
          </w:tcPr>
          <w:p w14:paraId="3FC155C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770563E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24D57061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2B44F136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DD5BF42" w14:textId="77777777" w:rsidTr="00E455C4">
        <w:tc>
          <w:tcPr>
            <w:tcW w:w="1097" w:type="dxa"/>
          </w:tcPr>
          <w:p w14:paraId="39BF54F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C2C9F5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6E9AB3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D5B2CE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4F7ADDDC" w14:textId="77777777" w:rsidTr="00E455C4">
        <w:tc>
          <w:tcPr>
            <w:tcW w:w="1097" w:type="dxa"/>
          </w:tcPr>
          <w:p w14:paraId="5C1702B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9CF379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D9455E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EB1363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79E2BFF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4A0A9EC4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479A9D6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A75280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1B8E1BC5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40BFE8B7" w14:textId="77777777" w:rsidTr="00E455C4">
        <w:tc>
          <w:tcPr>
            <w:tcW w:w="2534" w:type="dxa"/>
          </w:tcPr>
          <w:p w14:paraId="35CC0C0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FF5B8D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1D5A2903" w14:textId="77777777" w:rsidTr="00E455C4">
        <w:tc>
          <w:tcPr>
            <w:tcW w:w="2534" w:type="dxa"/>
          </w:tcPr>
          <w:p w14:paraId="1D4F96B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155A2F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7003471" w14:textId="77777777" w:rsidTr="00E455C4">
        <w:tc>
          <w:tcPr>
            <w:tcW w:w="2534" w:type="dxa"/>
          </w:tcPr>
          <w:p w14:paraId="26E429E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A28B6F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E4EFF5B" w14:textId="77777777" w:rsidTr="00E455C4">
        <w:tc>
          <w:tcPr>
            <w:tcW w:w="2534" w:type="dxa"/>
          </w:tcPr>
          <w:p w14:paraId="4DE89F8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03DCF8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7A6F80A" w14:textId="77777777" w:rsidR="0053192A" w:rsidRPr="00302F91" w:rsidRDefault="0053192A" w:rsidP="0053192A">
      <w:pPr>
        <w:rPr>
          <w:sz w:val="24"/>
          <w:szCs w:val="24"/>
        </w:rPr>
      </w:pPr>
    </w:p>
    <w:p w14:paraId="2B86510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ADF58A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557DF38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71B532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22468B10" w14:textId="77777777" w:rsidTr="00E455C4">
        <w:tc>
          <w:tcPr>
            <w:tcW w:w="1674" w:type="dxa"/>
          </w:tcPr>
          <w:p w14:paraId="4E525AB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486EB38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59EA6A2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0F857A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646BCED5" w14:textId="77777777" w:rsidTr="00E455C4">
        <w:tc>
          <w:tcPr>
            <w:tcW w:w="1674" w:type="dxa"/>
          </w:tcPr>
          <w:p w14:paraId="0751BAE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57C24C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69CDA7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2A75C2B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02BC159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0495084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6EAAAF2" w14:textId="77777777" w:rsidR="0053192A" w:rsidRDefault="0053192A"/>
    <w:p w14:paraId="43ACCDD8" w14:textId="77777777" w:rsidR="0067231D" w:rsidRDefault="0067231D"/>
    <w:p w14:paraId="5761BFB1" w14:textId="77777777" w:rsidR="0067231D" w:rsidRDefault="0067231D"/>
    <w:p w14:paraId="5C03DC8A" w14:textId="77777777" w:rsidR="0067231D" w:rsidRDefault="0067231D"/>
    <w:p w14:paraId="1B3081E9" w14:textId="77777777" w:rsidR="0067231D" w:rsidRDefault="0067231D"/>
    <w:p w14:paraId="2EF49113" w14:textId="77777777" w:rsidR="0067231D" w:rsidRDefault="0067231D"/>
    <w:p w14:paraId="776E600A" w14:textId="77777777" w:rsidR="0067231D" w:rsidRDefault="0067231D"/>
    <w:p w14:paraId="60674D2D" w14:textId="77777777" w:rsidR="0067231D" w:rsidRDefault="0067231D"/>
    <w:p w14:paraId="7608A6C3" w14:textId="77777777" w:rsidR="0067231D" w:rsidRDefault="0067231D"/>
    <w:p w14:paraId="44F28ADD" w14:textId="77777777" w:rsidR="0067231D" w:rsidRDefault="0067231D"/>
    <w:p w14:paraId="27C61C39" w14:textId="77777777" w:rsidR="0067231D" w:rsidRDefault="0067231D"/>
    <w:p w14:paraId="76358BAC" w14:textId="77777777" w:rsidR="0067231D" w:rsidRDefault="0067231D"/>
    <w:p w14:paraId="7F3C44EF" w14:textId="77777777" w:rsidR="0067231D" w:rsidRDefault="0067231D"/>
    <w:p w14:paraId="462D83FA" w14:textId="77777777" w:rsidR="0067231D" w:rsidRDefault="0067231D"/>
    <w:p w14:paraId="5B2CF119" w14:textId="77777777" w:rsidR="0067231D" w:rsidRDefault="0067231D"/>
    <w:p w14:paraId="662A3FC5" w14:textId="77777777" w:rsidR="0067231D" w:rsidRDefault="0067231D"/>
    <w:p w14:paraId="7DDD53C9" w14:textId="77777777" w:rsidR="0067231D" w:rsidRDefault="0067231D"/>
    <w:p w14:paraId="2EE44373" w14:textId="77777777" w:rsidR="0067231D" w:rsidRDefault="0067231D"/>
    <w:p w14:paraId="05FC6F51" w14:textId="77777777" w:rsidR="0067231D" w:rsidRDefault="0067231D"/>
    <w:p w14:paraId="4047366A" w14:textId="77777777" w:rsidR="0067231D" w:rsidRDefault="0067231D"/>
    <w:p w14:paraId="06FF5EFF" w14:textId="77777777" w:rsidR="0067231D" w:rsidRDefault="0067231D"/>
    <w:p w14:paraId="0DEC11FD" w14:textId="77777777" w:rsidR="0067231D" w:rsidRDefault="0067231D"/>
    <w:p w14:paraId="347AD6FA" w14:textId="77777777" w:rsidR="0067231D" w:rsidRDefault="0067231D"/>
    <w:p w14:paraId="6795F3E8" w14:textId="77777777" w:rsidR="0067231D" w:rsidRDefault="0067231D"/>
    <w:p w14:paraId="7EBB093B" w14:textId="77777777" w:rsidR="0067231D" w:rsidRDefault="0067231D"/>
    <w:p w14:paraId="685E2999" w14:textId="77777777" w:rsidR="0067231D" w:rsidRDefault="0067231D"/>
    <w:p w14:paraId="7F6EB482" w14:textId="77777777" w:rsidR="0067231D" w:rsidRDefault="0067231D"/>
    <w:p w14:paraId="550FEEF0" w14:textId="77777777" w:rsidR="0067231D" w:rsidRDefault="0067231D"/>
    <w:p w14:paraId="5F4E5603" w14:textId="77777777" w:rsidR="0067231D" w:rsidRDefault="0067231D"/>
    <w:p w14:paraId="5B468F59" w14:textId="77777777" w:rsidR="0067231D" w:rsidRDefault="00193766" w:rsidP="00193766">
      <w:pPr>
        <w:tabs>
          <w:tab w:val="left" w:pos="4055"/>
        </w:tabs>
      </w:pPr>
      <w:r>
        <w:tab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553381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41DE5C" w14:textId="020950A6" w:rsidR="00812935" w:rsidRDefault="00812935">
          <w:pPr>
            <w:pStyle w:val="TOCHeading"/>
          </w:pPr>
          <w:r>
            <w:t>Table of Contents</w:t>
          </w:r>
        </w:p>
        <w:p w14:paraId="4D851300" w14:textId="73A43750" w:rsidR="000B4321" w:rsidRDefault="0081293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6339" w:history="1">
            <w:r w:rsidR="000B4321" w:rsidRPr="00905BB3">
              <w:rPr>
                <w:rStyle w:val="Hyperlink"/>
                <w:noProof/>
              </w:rPr>
              <w:t>1.</w:t>
            </w:r>
            <w:r w:rsidR="000B432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0B4321" w:rsidRPr="00905BB3">
              <w:rPr>
                <w:rStyle w:val="Hyperlink"/>
                <w:noProof/>
              </w:rPr>
              <w:t>Introduction</w:t>
            </w:r>
            <w:r w:rsidR="000B4321">
              <w:rPr>
                <w:noProof/>
                <w:webHidden/>
              </w:rPr>
              <w:tab/>
            </w:r>
            <w:r w:rsidR="000B4321">
              <w:rPr>
                <w:noProof/>
                <w:webHidden/>
              </w:rPr>
              <w:fldChar w:fldCharType="begin"/>
            </w:r>
            <w:r w:rsidR="000B4321">
              <w:rPr>
                <w:noProof/>
                <w:webHidden/>
              </w:rPr>
              <w:instrText xml:space="preserve"> PAGEREF _Toc190896339 \h </w:instrText>
            </w:r>
            <w:r w:rsidR="000B4321">
              <w:rPr>
                <w:noProof/>
                <w:webHidden/>
              </w:rPr>
            </w:r>
            <w:r w:rsidR="000B4321">
              <w:rPr>
                <w:noProof/>
                <w:webHidden/>
              </w:rPr>
              <w:fldChar w:fldCharType="separate"/>
            </w:r>
            <w:r w:rsidR="000B4321">
              <w:rPr>
                <w:noProof/>
                <w:webHidden/>
              </w:rPr>
              <w:t>4</w:t>
            </w:r>
            <w:r w:rsidR="000B4321">
              <w:rPr>
                <w:noProof/>
                <w:webHidden/>
              </w:rPr>
              <w:fldChar w:fldCharType="end"/>
            </w:r>
          </w:hyperlink>
        </w:p>
        <w:p w14:paraId="0536B5C1" w14:textId="15C243B7" w:rsidR="000B4321" w:rsidRDefault="000B432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0" w:history="1">
            <w:r w:rsidRPr="00905BB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5CEB" w14:textId="30B3FA8D" w:rsidR="000B4321" w:rsidRDefault="000B432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1" w:history="1">
            <w:r w:rsidRPr="00905BB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78DE" w14:textId="54E8E0DC" w:rsidR="000B4321" w:rsidRDefault="000B432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2" w:history="1">
            <w:r w:rsidRPr="00905BB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D99CA" w14:textId="48C7251E" w:rsidR="000B4321" w:rsidRDefault="000B432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3" w:history="1">
            <w:r w:rsidRPr="00905BB3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Standardised Data Formats and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BC9D" w14:textId="34E0C5B6" w:rsidR="000B4321" w:rsidRDefault="000B432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4" w:history="1">
            <w:r w:rsidRPr="00905BB3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Secure Communication and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B1E5" w14:textId="2B16ED61" w:rsidR="000B4321" w:rsidRDefault="000B432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5" w:history="1">
            <w:r w:rsidRPr="00905BB3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Access Control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7663" w14:textId="3EBC6B38" w:rsidR="000B4321" w:rsidRDefault="000B432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6" w:history="1">
            <w:r w:rsidRPr="00905BB3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Data Governance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5F6D" w14:textId="29149603" w:rsidR="000B4321" w:rsidRDefault="000B432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7" w:history="1">
            <w:r w:rsidRPr="00905BB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998F" w14:textId="6C3497D9" w:rsidR="000B4321" w:rsidRDefault="000B432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8" w:history="1">
            <w:r w:rsidRPr="00905BB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EF4C" w14:textId="200E9C82" w:rsidR="000B4321" w:rsidRDefault="000B432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9" w:history="1">
            <w:r w:rsidRPr="00905BB3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C4CC9" w14:textId="001D031E" w:rsidR="00812935" w:rsidRDefault="00812935">
          <w:r>
            <w:rPr>
              <w:b/>
              <w:bCs/>
              <w:noProof/>
            </w:rPr>
            <w:fldChar w:fldCharType="end"/>
          </w:r>
        </w:p>
      </w:sdtContent>
    </w:sdt>
    <w:p w14:paraId="3CF63681" w14:textId="77777777" w:rsidR="0067231D" w:rsidRDefault="0067231D"/>
    <w:p w14:paraId="4C95BF4A" w14:textId="77777777" w:rsidR="0067231D" w:rsidRDefault="0067231D"/>
    <w:p w14:paraId="27D85E37" w14:textId="77777777" w:rsidR="0067231D" w:rsidRDefault="0067231D"/>
    <w:p w14:paraId="32A31FC6" w14:textId="77777777" w:rsidR="00193766" w:rsidRDefault="00193766"/>
    <w:p w14:paraId="336B16F1" w14:textId="77777777" w:rsidR="00812935" w:rsidRDefault="00812935"/>
    <w:p w14:paraId="04F900C3" w14:textId="77777777" w:rsidR="00812935" w:rsidRDefault="00812935"/>
    <w:p w14:paraId="6E9D73F1" w14:textId="77777777" w:rsidR="00812935" w:rsidRDefault="00812935"/>
    <w:p w14:paraId="271B3CCC" w14:textId="77777777" w:rsidR="00812935" w:rsidRDefault="00812935"/>
    <w:p w14:paraId="7E92E1F0" w14:textId="77777777" w:rsidR="00812935" w:rsidRDefault="00812935"/>
    <w:p w14:paraId="71AE8A1C" w14:textId="77777777" w:rsidR="00812935" w:rsidRDefault="00812935"/>
    <w:p w14:paraId="0E73FE13" w14:textId="77777777" w:rsidR="00812935" w:rsidRDefault="00812935"/>
    <w:p w14:paraId="3E692AA8" w14:textId="77777777" w:rsidR="00812935" w:rsidRDefault="00812935"/>
    <w:p w14:paraId="1881B8A9" w14:textId="77777777" w:rsidR="00812935" w:rsidRDefault="00812935"/>
    <w:p w14:paraId="679102D0" w14:textId="77777777" w:rsidR="00812935" w:rsidRDefault="00812935"/>
    <w:p w14:paraId="60B97DC0" w14:textId="77777777" w:rsidR="00812935" w:rsidRDefault="00812935"/>
    <w:p w14:paraId="50F2CA8C" w14:textId="77777777" w:rsidR="00812935" w:rsidRDefault="00812935"/>
    <w:p w14:paraId="007299C8" w14:textId="77777777" w:rsidR="00812935" w:rsidRDefault="00812935"/>
    <w:p w14:paraId="6899C316" w14:textId="77777777" w:rsidR="00812935" w:rsidRDefault="00812935"/>
    <w:p w14:paraId="7BA8E179" w14:textId="77777777" w:rsidR="00812935" w:rsidRDefault="00812935"/>
    <w:p w14:paraId="39D071E2" w14:textId="77777777" w:rsidR="00812935" w:rsidRDefault="00812935"/>
    <w:p w14:paraId="7FD3D574" w14:textId="77777777" w:rsidR="00812935" w:rsidRDefault="00812935"/>
    <w:p w14:paraId="25092FB8" w14:textId="77777777" w:rsidR="00812935" w:rsidRDefault="00812935"/>
    <w:p w14:paraId="635A4A2E" w14:textId="77777777" w:rsidR="00812935" w:rsidRDefault="00812935"/>
    <w:p w14:paraId="412785F6" w14:textId="77777777" w:rsidR="00812935" w:rsidRDefault="00812935"/>
    <w:p w14:paraId="6EF0DAA1" w14:textId="77777777" w:rsidR="00812935" w:rsidRDefault="00812935"/>
    <w:p w14:paraId="094C4643" w14:textId="77777777" w:rsidR="00812935" w:rsidRDefault="00812935"/>
    <w:p w14:paraId="2A7AD22D" w14:textId="77777777" w:rsidR="00812935" w:rsidRDefault="00812935"/>
    <w:p w14:paraId="0B782870" w14:textId="77777777" w:rsidR="00812935" w:rsidRDefault="00812935"/>
    <w:p w14:paraId="63EB329C" w14:textId="77777777" w:rsidR="00812935" w:rsidRDefault="00812935"/>
    <w:p w14:paraId="3FB00DC9" w14:textId="77777777" w:rsidR="00812935" w:rsidRDefault="00812935"/>
    <w:p w14:paraId="076D421C" w14:textId="77777777" w:rsidR="00812935" w:rsidRDefault="00812935"/>
    <w:p w14:paraId="2C31B2DA" w14:textId="77777777" w:rsidR="00812935" w:rsidRDefault="00812935"/>
    <w:p w14:paraId="6CA1EB00" w14:textId="77777777" w:rsidR="00812935" w:rsidRDefault="00812935"/>
    <w:p w14:paraId="067F8A4D" w14:textId="77777777" w:rsidR="00812935" w:rsidRDefault="00812935"/>
    <w:p w14:paraId="3706C6D2" w14:textId="77777777" w:rsidR="00193766" w:rsidRDefault="00193766"/>
    <w:p w14:paraId="1A06429A" w14:textId="77777777" w:rsidR="00193766" w:rsidRDefault="00193766"/>
    <w:p w14:paraId="7D35DF64" w14:textId="77777777" w:rsidR="00193766" w:rsidRDefault="00193766"/>
    <w:p w14:paraId="16C7EA2E" w14:textId="77777777" w:rsidR="00193766" w:rsidRDefault="00193766"/>
    <w:p w14:paraId="0E6F9B17" w14:textId="77777777" w:rsidR="00193766" w:rsidRDefault="00193766"/>
    <w:p w14:paraId="24819EFA" w14:textId="0BF1821D" w:rsidR="00812935" w:rsidRPr="00812935" w:rsidRDefault="00812935" w:rsidP="00812935">
      <w:pPr>
        <w:pStyle w:val="Heading1"/>
      </w:pPr>
      <w:bookmarkStart w:id="0" w:name="_Toc190896339"/>
      <w:r w:rsidRPr="00812935">
        <w:lastRenderedPageBreak/>
        <w:t>Introduction</w:t>
      </w:r>
      <w:bookmarkEnd w:id="0"/>
    </w:p>
    <w:p w14:paraId="1BBC98EA" w14:textId="5305FD16" w:rsidR="00812935" w:rsidRPr="00812935" w:rsidRDefault="00812935" w:rsidP="00812935">
      <w:r w:rsidRPr="00812935">
        <w:t xml:space="preserve">The Internet of Things (IoT) ecosystem often involves the integration of devices and systems from multiple vendors, necessitating seamless and secure data sharing across these heterogeneous environments. The lack of </w:t>
      </w:r>
      <w:r w:rsidR="00486E37">
        <w:t xml:space="preserve">effective </w:t>
      </w:r>
      <w:r w:rsidRPr="00812935">
        <w:t>standardi</w:t>
      </w:r>
      <w:r w:rsidR="00572A75">
        <w:t>s</w:t>
      </w:r>
      <w:r w:rsidRPr="00812935">
        <w:t xml:space="preserve">ed frameworks for data exchange can lead to interoperability challenges, security vulnerabilities, and data integrity concerns. This </w:t>
      </w:r>
      <w:r w:rsidR="00486E37">
        <w:t>document</w:t>
      </w:r>
      <w:r w:rsidRPr="00812935">
        <w:t xml:space="preserve"> outlines the adoption of </w:t>
      </w:r>
      <w:r w:rsidR="00486E37">
        <w:t xml:space="preserve">policies </w:t>
      </w:r>
      <w:r w:rsidRPr="00812935">
        <w:t>and protocols to facilitate secure and efficient data sharing in multi-vendor IoT environments.</w:t>
      </w:r>
      <w:r>
        <w:br/>
      </w:r>
    </w:p>
    <w:p w14:paraId="2D431669" w14:textId="36EE8D56" w:rsidR="00812935" w:rsidRPr="00812935" w:rsidRDefault="00812935" w:rsidP="00812935">
      <w:pPr>
        <w:pStyle w:val="Heading1"/>
      </w:pPr>
      <w:bookmarkStart w:id="1" w:name="_Toc190896340"/>
      <w:r w:rsidRPr="00812935">
        <w:t>Purpose</w:t>
      </w:r>
      <w:bookmarkEnd w:id="1"/>
    </w:p>
    <w:p w14:paraId="01BF85FA" w14:textId="5AEAA386" w:rsidR="00812935" w:rsidRPr="00812935" w:rsidRDefault="00812935" w:rsidP="00812935">
      <w:r w:rsidRPr="00812935">
        <w:t>The purpose of this policy is to establish guidelines and requirements for the use of standardi</w:t>
      </w:r>
      <w:r w:rsidR="00572A75">
        <w:t>s</w:t>
      </w:r>
      <w:r w:rsidRPr="00812935">
        <w:t>ed frameworks and protocols for secure data sharing across multi-vendor IoT environments within the organi</w:t>
      </w:r>
      <w:r w:rsidR="000B4321">
        <w:t>s</w:t>
      </w:r>
      <w:r w:rsidRPr="00812935">
        <w:t>ation. This policy aims to:</w:t>
      </w:r>
    </w:p>
    <w:p w14:paraId="2B837467" w14:textId="77777777" w:rsidR="00812935" w:rsidRPr="00812935" w:rsidRDefault="00812935" w:rsidP="00812935">
      <w:pPr>
        <w:numPr>
          <w:ilvl w:val="0"/>
          <w:numId w:val="4"/>
        </w:numPr>
      </w:pPr>
      <w:r w:rsidRPr="00812935">
        <w:t>Ensure seamless interoperability and data exchange between IoT devices and systems from different vendors.</w:t>
      </w:r>
    </w:p>
    <w:p w14:paraId="6D15702E" w14:textId="77777777" w:rsidR="00812935" w:rsidRPr="00812935" w:rsidRDefault="00812935" w:rsidP="00812935">
      <w:pPr>
        <w:numPr>
          <w:ilvl w:val="0"/>
          <w:numId w:val="4"/>
        </w:numPr>
      </w:pPr>
      <w:r w:rsidRPr="00812935">
        <w:t>Protect the confidentiality, integrity, and availability of data shared across multi-vendor environments.</w:t>
      </w:r>
    </w:p>
    <w:p w14:paraId="6A7D809B" w14:textId="77777777" w:rsidR="00812935" w:rsidRPr="00812935" w:rsidRDefault="00812935" w:rsidP="00812935">
      <w:pPr>
        <w:numPr>
          <w:ilvl w:val="0"/>
          <w:numId w:val="4"/>
        </w:numPr>
      </w:pPr>
      <w:r w:rsidRPr="00812935">
        <w:t>Reduce the complexity and risks associated with integrating disparate IoT systems.</w:t>
      </w:r>
    </w:p>
    <w:p w14:paraId="6BBBA9BA" w14:textId="32C3863E" w:rsidR="00812935" w:rsidRPr="00812935" w:rsidRDefault="00812935" w:rsidP="00812935">
      <w:pPr>
        <w:numPr>
          <w:ilvl w:val="0"/>
          <w:numId w:val="4"/>
        </w:numPr>
      </w:pPr>
      <w:r w:rsidRPr="00812935">
        <w:t>Facilitate efficient and reliable data sharing to support business operations and decision-making.</w:t>
      </w:r>
      <w:r>
        <w:br/>
      </w:r>
    </w:p>
    <w:p w14:paraId="196B223C" w14:textId="463D250F" w:rsidR="00812935" w:rsidRPr="00812935" w:rsidRDefault="00812935" w:rsidP="00812935">
      <w:pPr>
        <w:pStyle w:val="Heading1"/>
      </w:pPr>
      <w:bookmarkStart w:id="2" w:name="_Toc190896341"/>
      <w:r w:rsidRPr="00812935">
        <w:t>Scope</w:t>
      </w:r>
      <w:bookmarkEnd w:id="2"/>
    </w:p>
    <w:p w14:paraId="3E0D0D5F" w14:textId="14AE3D77" w:rsidR="00812935" w:rsidRPr="00812935" w:rsidRDefault="00812935" w:rsidP="00812935">
      <w:r w:rsidRPr="00812935">
        <w:t>This policy applies to all IoT devices, systems, and applications within the organi</w:t>
      </w:r>
      <w:r w:rsidR="000B4321">
        <w:t>s</w:t>
      </w:r>
      <w:r w:rsidRPr="00812935">
        <w:t>ation that participate in data sharing across multi-vendor environments. This includes, but is not limited to:</w:t>
      </w:r>
    </w:p>
    <w:p w14:paraId="15C6CA7C" w14:textId="77777777" w:rsidR="00812935" w:rsidRPr="00812935" w:rsidRDefault="00812935" w:rsidP="00812935">
      <w:pPr>
        <w:numPr>
          <w:ilvl w:val="0"/>
          <w:numId w:val="5"/>
        </w:numPr>
      </w:pPr>
      <w:r w:rsidRPr="00812935">
        <w:t>Sensors, actuators, and controllers from different manufacturers</w:t>
      </w:r>
    </w:p>
    <w:p w14:paraId="0652A9C7" w14:textId="77777777" w:rsidR="00812935" w:rsidRPr="00812935" w:rsidRDefault="00812935" w:rsidP="00812935">
      <w:pPr>
        <w:numPr>
          <w:ilvl w:val="0"/>
          <w:numId w:val="5"/>
        </w:numPr>
      </w:pPr>
      <w:r w:rsidRPr="00812935">
        <w:t>Gateways and edge devices from various vendors</w:t>
      </w:r>
    </w:p>
    <w:p w14:paraId="2C47E9A5" w14:textId="77777777" w:rsidR="00812935" w:rsidRPr="00812935" w:rsidRDefault="00812935" w:rsidP="00812935">
      <w:pPr>
        <w:numPr>
          <w:ilvl w:val="0"/>
          <w:numId w:val="5"/>
        </w:numPr>
      </w:pPr>
      <w:r w:rsidRPr="00812935">
        <w:t>Cloud-based platforms and services</w:t>
      </w:r>
    </w:p>
    <w:p w14:paraId="5DDB3B2D" w14:textId="64EB33F7" w:rsidR="00812935" w:rsidRPr="00812935" w:rsidRDefault="00812935" w:rsidP="00812935">
      <w:pPr>
        <w:numPr>
          <w:ilvl w:val="0"/>
          <w:numId w:val="5"/>
        </w:numPr>
      </w:pPr>
      <w:r w:rsidRPr="00812935">
        <w:t>Third-party applications and integrations</w:t>
      </w:r>
      <w:r>
        <w:br/>
      </w:r>
    </w:p>
    <w:p w14:paraId="3E7A1E31" w14:textId="65E95BC6" w:rsidR="00812935" w:rsidRPr="00812935" w:rsidRDefault="00812935" w:rsidP="00812935">
      <w:pPr>
        <w:pStyle w:val="Heading1"/>
      </w:pPr>
      <w:bookmarkStart w:id="3" w:name="_Toc190896342"/>
      <w:r w:rsidRPr="00812935">
        <w:t>Policy Statement</w:t>
      </w:r>
      <w:bookmarkEnd w:id="3"/>
    </w:p>
    <w:p w14:paraId="6DE50667" w14:textId="15D96750" w:rsidR="00812935" w:rsidRPr="00812935" w:rsidRDefault="00812935" w:rsidP="00812935">
      <w:pPr>
        <w:pStyle w:val="Heading2"/>
      </w:pPr>
      <w:bookmarkStart w:id="4" w:name="_Toc190896343"/>
      <w:r w:rsidRPr="00812935">
        <w:t>Standardi</w:t>
      </w:r>
      <w:r w:rsidR="00572A75">
        <w:t>s</w:t>
      </w:r>
      <w:r w:rsidRPr="00812935">
        <w:t>ed Data Formats and Protocols</w:t>
      </w:r>
      <w:bookmarkEnd w:id="4"/>
    </w:p>
    <w:p w14:paraId="06339E00" w14:textId="1F5DCA27" w:rsidR="00812935" w:rsidRPr="00812935" w:rsidRDefault="00812935" w:rsidP="00812935">
      <w:pPr>
        <w:numPr>
          <w:ilvl w:val="0"/>
          <w:numId w:val="6"/>
        </w:numPr>
      </w:pPr>
      <w:r w:rsidRPr="00812935">
        <w:rPr>
          <w:b/>
          <w:bCs/>
        </w:rPr>
        <w:t>Common Data Formats:</w:t>
      </w:r>
      <w:r w:rsidRPr="00812935">
        <w:t xml:space="preserve"> Data exchange between IoT devices and systems shall utilize standardi</w:t>
      </w:r>
      <w:r w:rsidR="00572A75">
        <w:t>s</w:t>
      </w:r>
      <w:r w:rsidRPr="00812935">
        <w:t>ed data formats, such as JSON or XML, to ensure interoperability and ease of integration.</w:t>
      </w:r>
    </w:p>
    <w:p w14:paraId="05410DCA" w14:textId="5EE8D38F" w:rsidR="00812935" w:rsidRPr="00812935" w:rsidRDefault="00812935" w:rsidP="00812935">
      <w:pPr>
        <w:numPr>
          <w:ilvl w:val="0"/>
          <w:numId w:val="6"/>
        </w:numPr>
      </w:pPr>
      <w:r w:rsidRPr="00812935">
        <w:rPr>
          <w:b/>
          <w:bCs/>
        </w:rPr>
        <w:t>Open Communication Protocols:</w:t>
      </w:r>
      <w:r w:rsidRPr="00812935">
        <w:t xml:space="preserve"> Open and widely adopted communication protocols, such as MQTT or OPC UA, shall be used for data transmission, enabling seamless communication across multi-vendor environments.</w:t>
      </w:r>
      <w:r>
        <w:br/>
      </w:r>
    </w:p>
    <w:p w14:paraId="2BBAC32B" w14:textId="798CD517" w:rsidR="00812935" w:rsidRPr="00812935" w:rsidRDefault="00812935" w:rsidP="00812935">
      <w:pPr>
        <w:pStyle w:val="Heading2"/>
      </w:pPr>
      <w:bookmarkStart w:id="5" w:name="_Toc190896344"/>
      <w:r w:rsidRPr="00812935">
        <w:t>Secure Communication and Encryption</w:t>
      </w:r>
      <w:bookmarkEnd w:id="5"/>
    </w:p>
    <w:p w14:paraId="36DE18B8" w14:textId="77777777" w:rsidR="00812935" w:rsidRPr="00812935" w:rsidRDefault="00812935" w:rsidP="00812935">
      <w:pPr>
        <w:numPr>
          <w:ilvl w:val="0"/>
          <w:numId w:val="7"/>
        </w:numPr>
      </w:pPr>
      <w:r w:rsidRPr="00812935">
        <w:rPr>
          <w:b/>
          <w:bCs/>
        </w:rPr>
        <w:t>Encryption in Transit:</w:t>
      </w:r>
      <w:r w:rsidRPr="00812935">
        <w:t xml:space="preserve"> All data transmitted between IoT devices and systems shall be encrypted using strong encryption protocols, such as TLS (Transport Layer Security) or its datagram counterpart DTLS.</w:t>
      </w:r>
    </w:p>
    <w:p w14:paraId="01672B5B" w14:textId="77777777" w:rsidR="00812935" w:rsidRPr="00812935" w:rsidRDefault="00812935" w:rsidP="00812935">
      <w:pPr>
        <w:numPr>
          <w:ilvl w:val="0"/>
          <w:numId w:val="7"/>
        </w:numPr>
      </w:pPr>
      <w:r w:rsidRPr="00812935">
        <w:rPr>
          <w:b/>
          <w:bCs/>
        </w:rPr>
        <w:t>End-to-End Encryption:</w:t>
      </w:r>
      <w:r w:rsidRPr="00812935">
        <w:t xml:space="preserve"> Where applicable, end-to-end encryption shall be implemented to protect data confidentiality throughout its journey, even when traversing intermediate systems or cloud platforms.</w:t>
      </w:r>
    </w:p>
    <w:p w14:paraId="6DF6F3BC" w14:textId="764C0F03" w:rsidR="00812935" w:rsidRPr="00812935" w:rsidRDefault="00812935" w:rsidP="00812935">
      <w:pPr>
        <w:numPr>
          <w:ilvl w:val="0"/>
          <w:numId w:val="7"/>
        </w:numPr>
      </w:pPr>
      <w:r w:rsidRPr="00812935">
        <w:rPr>
          <w:b/>
          <w:bCs/>
        </w:rPr>
        <w:t>Key Management:</w:t>
      </w:r>
      <w:r w:rsidRPr="00812935">
        <w:t xml:space="preserve"> Robust key management practices shall be employed to ensure the secure generation, distribution, and storage of encryption keys.</w:t>
      </w:r>
      <w:r>
        <w:br/>
      </w:r>
    </w:p>
    <w:p w14:paraId="35F15D8C" w14:textId="30716862" w:rsidR="00812935" w:rsidRPr="00812935" w:rsidRDefault="00812935" w:rsidP="00812935">
      <w:pPr>
        <w:pStyle w:val="Heading2"/>
      </w:pPr>
      <w:bookmarkStart w:id="6" w:name="_Toc190896345"/>
      <w:r w:rsidRPr="00812935">
        <w:t>Access Control and Authentication</w:t>
      </w:r>
      <w:bookmarkEnd w:id="6"/>
    </w:p>
    <w:p w14:paraId="079E989B" w14:textId="77777777" w:rsidR="00812935" w:rsidRPr="00812935" w:rsidRDefault="00812935" w:rsidP="00812935">
      <w:pPr>
        <w:numPr>
          <w:ilvl w:val="0"/>
          <w:numId w:val="8"/>
        </w:numPr>
      </w:pPr>
      <w:r w:rsidRPr="00812935">
        <w:rPr>
          <w:b/>
          <w:bCs/>
        </w:rPr>
        <w:lastRenderedPageBreak/>
        <w:t>Authentication:</w:t>
      </w:r>
      <w:r w:rsidRPr="00812935">
        <w:t xml:space="preserve"> Strong authentication mechanisms shall be implemented to verify the identity of devices and systems participating in data sharing.</w:t>
      </w:r>
    </w:p>
    <w:p w14:paraId="6A51367E" w14:textId="79602435" w:rsidR="00812935" w:rsidRPr="00812935" w:rsidRDefault="00812935" w:rsidP="00812935">
      <w:pPr>
        <w:numPr>
          <w:ilvl w:val="0"/>
          <w:numId w:val="8"/>
        </w:numPr>
      </w:pPr>
      <w:r w:rsidRPr="00812935">
        <w:rPr>
          <w:b/>
          <w:bCs/>
        </w:rPr>
        <w:t>Authori</w:t>
      </w:r>
      <w:r w:rsidR="000B4321">
        <w:rPr>
          <w:b/>
          <w:bCs/>
        </w:rPr>
        <w:t>s</w:t>
      </w:r>
      <w:r w:rsidRPr="00812935">
        <w:rPr>
          <w:b/>
          <w:bCs/>
        </w:rPr>
        <w:t>ation:</w:t>
      </w:r>
      <w:r w:rsidRPr="00812935">
        <w:t xml:space="preserve"> Access control policies shall be defined and enforced to ensure that only authori</w:t>
      </w:r>
      <w:r w:rsidR="000B4321">
        <w:t>s</w:t>
      </w:r>
      <w:r w:rsidRPr="00812935">
        <w:t>ed entities can access and share data based on their roles and responsibilities.</w:t>
      </w:r>
    </w:p>
    <w:p w14:paraId="48A464DA" w14:textId="59D90971" w:rsidR="00812935" w:rsidRPr="00812935" w:rsidRDefault="00812935" w:rsidP="00812935">
      <w:pPr>
        <w:numPr>
          <w:ilvl w:val="0"/>
          <w:numId w:val="8"/>
        </w:numPr>
      </w:pPr>
      <w:r w:rsidRPr="00812935">
        <w:rPr>
          <w:b/>
          <w:bCs/>
        </w:rPr>
        <w:t>Data Access Agreements:</w:t>
      </w:r>
      <w:r w:rsidRPr="00812935">
        <w:t xml:space="preserve"> Data access agreements shall be established with external parties to define the terms and conditions of data sharing, including access restrictions and security requirements.</w:t>
      </w:r>
      <w:r>
        <w:br/>
      </w:r>
    </w:p>
    <w:p w14:paraId="65BDDA4E" w14:textId="1A2ED2AE" w:rsidR="00812935" w:rsidRPr="00812935" w:rsidRDefault="00812935" w:rsidP="00812935">
      <w:pPr>
        <w:pStyle w:val="Heading2"/>
      </w:pPr>
      <w:bookmarkStart w:id="7" w:name="_Toc190896346"/>
      <w:r w:rsidRPr="00812935">
        <w:t>Data Governance and Compliance</w:t>
      </w:r>
      <w:bookmarkEnd w:id="7"/>
    </w:p>
    <w:p w14:paraId="3F6CDDBE" w14:textId="77777777" w:rsidR="00812935" w:rsidRPr="00812935" w:rsidRDefault="00812935" w:rsidP="00812935">
      <w:pPr>
        <w:numPr>
          <w:ilvl w:val="0"/>
          <w:numId w:val="9"/>
        </w:numPr>
      </w:pPr>
      <w:r w:rsidRPr="00812935">
        <w:rPr>
          <w:b/>
          <w:bCs/>
        </w:rPr>
        <w:t>Data Classification:</w:t>
      </w:r>
      <w:r w:rsidRPr="00812935">
        <w:t xml:space="preserve"> Data shall be classified based on its sensitivity and appropriate security controls shall be applied accordingly.</w:t>
      </w:r>
    </w:p>
    <w:p w14:paraId="4E83A215" w14:textId="77777777" w:rsidR="00812935" w:rsidRPr="00812935" w:rsidRDefault="00812935" w:rsidP="00812935">
      <w:pPr>
        <w:numPr>
          <w:ilvl w:val="0"/>
          <w:numId w:val="9"/>
        </w:numPr>
      </w:pPr>
      <w:r w:rsidRPr="00812935">
        <w:rPr>
          <w:b/>
          <w:bCs/>
        </w:rPr>
        <w:t>Data Retention:</w:t>
      </w:r>
      <w:r w:rsidRPr="00812935">
        <w:t xml:space="preserve"> Data retention policies shall be defined and enforced to ensure that data is retained only for as long as necessary and in compliance with legal and regulatory requirements.</w:t>
      </w:r>
    </w:p>
    <w:p w14:paraId="2AEDD439" w14:textId="0567EC47" w:rsidR="00812935" w:rsidRPr="00812935" w:rsidRDefault="00812935" w:rsidP="00812935">
      <w:pPr>
        <w:numPr>
          <w:ilvl w:val="0"/>
          <w:numId w:val="9"/>
        </w:numPr>
      </w:pPr>
      <w:r w:rsidRPr="00812935">
        <w:rPr>
          <w:b/>
          <w:bCs/>
        </w:rPr>
        <w:t>Data Privacy:</w:t>
      </w:r>
      <w:r w:rsidRPr="00812935">
        <w:t xml:space="preserve"> Data sharing practices shall comply with relevant privacy regulations, such as GDPR or CCPA, ensuring the protection of personal data.</w:t>
      </w:r>
      <w:r>
        <w:br/>
      </w:r>
    </w:p>
    <w:p w14:paraId="00F36B53" w14:textId="2B2C3424" w:rsidR="00812935" w:rsidRPr="00812935" w:rsidRDefault="00812935" w:rsidP="00812935">
      <w:pPr>
        <w:pStyle w:val="Heading1"/>
      </w:pPr>
      <w:bookmarkStart w:id="8" w:name="_Toc190896347"/>
      <w:r w:rsidRPr="00812935">
        <w:t>Responsibilities</w:t>
      </w:r>
      <w:bookmarkEnd w:id="8"/>
    </w:p>
    <w:p w14:paraId="1568EFC0" w14:textId="77777777" w:rsidR="00812935" w:rsidRPr="00812935" w:rsidRDefault="00812935" w:rsidP="00812935">
      <w:pPr>
        <w:numPr>
          <w:ilvl w:val="0"/>
          <w:numId w:val="10"/>
        </w:numPr>
      </w:pPr>
      <w:r w:rsidRPr="00812935">
        <w:rPr>
          <w:b/>
          <w:bCs/>
        </w:rPr>
        <w:t>Information Security Officer:</w:t>
      </w:r>
      <w:r w:rsidRPr="00812935">
        <w:t xml:space="preserve"> Responsible for overseeing the implementation and enforcement of this policy.</w:t>
      </w:r>
    </w:p>
    <w:p w14:paraId="75C24CC0" w14:textId="46FBDC98" w:rsidR="00812935" w:rsidRPr="00812935" w:rsidRDefault="00812935" w:rsidP="00812935">
      <w:pPr>
        <w:numPr>
          <w:ilvl w:val="0"/>
          <w:numId w:val="10"/>
        </w:numPr>
      </w:pPr>
      <w:r w:rsidRPr="00812935">
        <w:rPr>
          <w:b/>
          <w:bCs/>
        </w:rPr>
        <w:t>IT Department:</w:t>
      </w:r>
      <w:r w:rsidRPr="00812935">
        <w:t xml:space="preserve"> Responsible for selecting and implementing standardi</w:t>
      </w:r>
      <w:r w:rsidR="00572A75">
        <w:t>s</w:t>
      </w:r>
      <w:r w:rsidRPr="00812935">
        <w:t>ed frameworks and protocols, configuring secure communication channels, and managing access control mechanisms.</w:t>
      </w:r>
    </w:p>
    <w:p w14:paraId="3A074957" w14:textId="77777777" w:rsidR="00812935" w:rsidRPr="00812935" w:rsidRDefault="00812935" w:rsidP="00812935">
      <w:pPr>
        <w:numPr>
          <w:ilvl w:val="0"/>
          <w:numId w:val="10"/>
        </w:numPr>
      </w:pPr>
      <w:r w:rsidRPr="00812935">
        <w:rPr>
          <w:b/>
          <w:bCs/>
        </w:rPr>
        <w:t>System Architects and Developers:</w:t>
      </w:r>
      <w:r w:rsidRPr="00812935">
        <w:t xml:space="preserve"> Responsible for designing and implementing IoT systems that adhere to the requirements of this policy.</w:t>
      </w:r>
    </w:p>
    <w:p w14:paraId="449559E9" w14:textId="6A13671E" w:rsidR="00812935" w:rsidRPr="00812935" w:rsidRDefault="00812935" w:rsidP="00812935">
      <w:pPr>
        <w:numPr>
          <w:ilvl w:val="0"/>
          <w:numId w:val="10"/>
        </w:numPr>
      </w:pPr>
      <w:r w:rsidRPr="00812935">
        <w:rPr>
          <w:b/>
          <w:bCs/>
        </w:rPr>
        <w:t>Data Owners:</w:t>
      </w:r>
      <w:r w:rsidRPr="00812935">
        <w:t xml:space="preserve"> Responsible for classifying data and defining access control policies.</w:t>
      </w:r>
      <w:r>
        <w:br/>
      </w:r>
    </w:p>
    <w:p w14:paraId="30A7082D" w14:textId="42203EBB" w:rsidR="00812935" w:rsidRPr="00812935" w:rsidRDefault="00812935" w:rsidP="00812935">
      <w:pPr>
        <w:pStyle w:val="Heading1"/>
      </w:pPr>
      <w:bookmarkStart w:id="9" w:name="_Toc190896348"/>
      <w:r w:rsidRPr="00812935">
        <w:t>Breaches of Policy</w:t>
      </w:r>
      <w:bookmarkEnd w:id="9"/>
    </w:p>
    <w:p w14:paraId="7CFE3B9A" w14:textId="3703D2E2" w:rsidR="00812935" w:rsidRDefault="00812935" w:rsidP="00812935">
      <w:r w:rsidRPr="00812935">
        <w:t xml:space="preserve">Non-compliance with this policy may result in disciplinary action, up to and including termination of employment or contractual relationships.   </w:t>
      </w:r>
      <w:bookmarkStart w:id="10" w:name="_Toc491088520"/>
      <w:bookmarkStart w:id="11" w:name="_Toc491255835"/>
    </w:p>
    <w:p w14:paraId="19E208CE" w14:textId="77777777" w:rsidR="00812935" w:rsidRPr="00812935" w:rsidRDefault="00812935" w:rsidP="00812935"/>
    <w:p w14:paraId="7AA1760F" w14:textId="60FA4A38" w:rsidR="00193766" w:rsidRPr="00E3781C" w:rsidRDefault="00193766" w:rsidP="00812935">
      <w:pPr>
        <w:pStyle w:val="Heading1"/>
        <w:rPr>
          <w:lang w:val="en-US"/>
        </w:rPr>
      </w:pPr>
      <w:bookmarkStart w:id="12" w:name="_Toc190896349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1F3B081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36B186A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387DF5B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1E90775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73FBAF9" w14:textId="557CD4B4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486E37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52F49EEC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0D81B3F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3E25B6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DD9799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B1AD41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4F47A40A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0A6CEF46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1024098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18E4341" w14:textId="77777777" w:rsidR="00193766" w:rsidRDefault="00193766" w:rsidP="00193766"/>
    <w:p w14:paraId="59B6EBD4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74D10" w14:textId="77777777" w:rsidR="00CC6569" w:rsidRDefault="00CC6569" w:rsidP="00F27AE8">
      <w:r>
        <w:separator/>
      </w:r>
    </w:p>
  </w:endnote>
  <w:endnote w:type="continuationSeparator" w:id="0">
    <w:p w14:paraId="753C6A55" w14:textId="77777777" w:rsidR="00CC6569" w:rsidRDefault="00CC6569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6590B563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BCAA8CE" wp14:editId="48BAA82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FE1D46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CAA8CE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0FE1D46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D0244" w14:textId="77777777" w:rsidR="00CC6569" w:rsidRDefault="00CC6569" w:rsidP="00F27AE8">
      <w:r>
        <w:separator/>
      </w:r>
    </w:p>
  </w:footnote>
  <w:footnote w:type="continuationSeparator" w:id="0">
    <w:p w14:paraId="7005AB70" w14:textId="77777777" w:rsidR="00CC6569" w:rsidRDefault="00CC6569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B8B57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6B08EDB7" wp14:editId="509467B6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685B900D" wp14:editId="1BB221E2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3C253" w14:textId="77777777" w:rsidR="00BC1C52" w:rsidRDefault="00BC1C52" w:rsidP="00BC1C52">
    <w:pPr>
      <w:pStyle w:val="Header"/>
      <w:ind w:hanging="1276"/>
    </w:pPr>
  </w:p>
  <w:p w14:paraId="6AC2B47B" w14:textId="77777777" w:rsidR="00BC1C52" w:rsidRDefault="00BC1C52">
    <w:pPr>
      <w:pStyle w:val="Header"/>
    </w:pPr>
  </w:p>
  <w:p w14:paraId="4A92B3B7" w14:textId="77777777" w:rsidR="00BC1C52" w:rsidRDefault="00BC1C52">
    <w:pPr>
      <w:pStyle w:val="Header"/>
    </w:pPr>
  </w:p>
  <w:p w14:paraId="790555EF" w14:textId="77777777" w:rsidR="00BC1C52" w:rsidRDefault="00BC1C52">
    <w:pPr>
      <w:pStyle w:val="Header"/>
    </w:pPr>
  </w:p>
  <w:p w14:paraId="5CBEA596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5205D" w14:textId="77777777" w:rsidR="00140B26" w:rsidRDefault="00140B26" w:rsidP="00F85381">
    <w:pPr>
      <w:pStyle w:val="Header"/>
    </w:pPr>
  </w:p>
  <w:p w14:paraId="20B75E89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18EB"/>
    <w:multiLevelType w:val="multilevel"/>
    <w:tmpl w:val="685A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2B6B7F"/>
    <w:multiLevelType w:val="multilevel"/>
    <w:tmpl w:val="6646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A64F8"/>
    <w:multiLevelType w:val="multilevel"/>
    <w:tmpl w:val="7C00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96278"/>
    <w:multiLevelType w:val="multilevel"/>
    <w:tmpl w:val="C53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404B2"/>
    <w:multiLevelType w:val="multilevel"/>
    <w:tmpl w:val="86C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02D12"/>
    <w:multiLevelType w:val="multilevel"/>
    <w:tmpl w:val="82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1B51"/>
    <w:multiLevelType w:val="multilevel"/>
    <w:tmpl w:val="3FE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36E3C"/>
    <w:multiLevelType w:val="multilevel"/>
    <w:tmpl w:val="6F2C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97F67"/>
    <w:multiLevelType w:val="multilevel"/>
    <w:tmpl w:val="C05E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44B2D"/>
    <w:multiLevelType w:val="multilevel"/>
    <w:tmpl w:val="979A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1"/>
  </w:num>
  <w:num w:numId="2" w16cid:durableId="581305027">
    <w:abstractNumId w:val="7"/>
  </w:num>
  <w:num w:numId="3" w16cid:durableId="802386750">
    <w:abstractNumId w:val="3"/>
  </w:num>
  <w:num w:numId="4" w16cid:durableId="1820491478">
    <w:abstractNumId w:val="5"/>
  </w:num>
  <w:num w:numId="5" w16cid:durableId="779179862">
    <w:abstractNumId w:val="6"/>
  </w:num>
  <w:num w:numId="6" w16cid:durableId="211770921">
    <w:abstractNumId w:val="8"/>
  </w:num>
  <w:num w:numId="7" w16cid:durableId="924803291">
    <w:abstractNumId w:val="2"/>
  </w:num>
  <w:num w:numId="8" w16cid:durableId="255989105">
    <w:abstractNumId w:val="11"/>
  </w:num>
  <w:num w:numId="9" w16cid:durableId="1671178032">
    <w:abstractNumId w:val="9"/>
  </w:num>
  <w:num w:numId="10" w16cid:durableId="290286421">
    <w:abstractNumId w:val="4"/>
  </w:num>
  <w:num w:numId="11" w16cid:durableId="935480317">
    <w:abstractNumId w:val="10"/>
  </w:num>
  <w:num w:numId="12" w16cid:durableId="114670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35"/>
    <w:rsid w:val="00022B91"/>
    <w:rsid w:val="000B4321"/>
    <w:rsid w:val="000D1E55"/>
    <w:rsid w:val="000E777D"/>
    <w:rsid w:val="000F36F9"/>
    <w:rsid w:val="00100C66"/>
    <w:rsid w:val="00140B26"/>
    <w:rsid w:val="001812D8"/>
    <w:rsid w:val="00193766"/>
    <w:rsid w:val="00194CB7"/>
    <w:rsid w:val="001D08C3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486E37"/>
    <w:rsid w:val="0053192A"/>
    <w:rsid w:val="00572A75"/>
    <w:rsid w:val="00591B19"/>
    <w:rsid w:val="005D5120"/>
    <w:rsid w:val="0067231D"/>
    <w:rsid w:val="006800BC"/>
    <w:rsid w:val="006B43C6"/>
    <w:rsid w:val="00741EC2"/>
    <w:rsid w:val="007718D8"/>
    <w:rsid w:val="007805A7"/>
    <w:rsid w:val="007F5985"/>
    <w:rsid w:val="00810261"/>
    <w:rsid w:val="00812935"/>
    <w:rsid w:val="00926696"/>
    <w:rsid w:val="009A16F7"/>
    <w:rsid w:val="009B57D2"/>
    <w:rsid w:val="009D22A0"/>
    <w:rsid w:val="00A55CF3"/>
    <w:rsid w:val="00B16FB9"/>
    <w:rsid w:val="00B31625"/>
    <w:rsid w:val="00B33CF5"/>
    <w:rsid w:val="00B41DD9"/>
    <w:rsid w:val="00BA4481"/>
    <w:rsid w:val="00BC1C52"/>
    <w:rsid w:val="00CC6569"/>
    <w:rsid w:val="00CD79F2"/>
    <w:rsid w:val="00CE75BF"/>
    <w:rsid w:val="00D52311"/>
    <w:rsid w:val="00DB40A2"/>
    <w:rsid w:val="00E455C4"/>
    <w:rsid w:val="00E959EB"/>
    <w:rsid w:val="00ED4C35"/>
    <w:rsid w:val="00F27AE8"/>
    <w:rsid w:val="00F43BDE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B6157"/>
  <w15:docId w15:val="{48215519-7537-40F8-888B-904698D9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81293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29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29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29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4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9</TotalTime>
  <Pages>5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2024-09-02T08:59:00Z</dcterms:created>
  <dcterms:modified xsi:type="dcterms:W3CDTF">2025-02-19T22:25:00Z</dcterms:modified>
</cp:coreProperties>
</file>