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5E12" w:rsidRPr="00A05E12" w:rsidRDefault="00A05E12" w:rsidP="00A05E12">
      <w:pPr>
        <w:widowControl/>
        <w:shd w:val="clear" w:color="auto" w:fill="FFFFFF"/>
        <w:jc w:val="center"/>
        <w:outlineLvl w:val="2"/>
        <w:rPr>
          <w:rFonts w:ascii="Open Sans" w:eastAsia="新細明體" w:hAnsi="Open Sans" w:cs="Open Sans"/>
          <w:b/>
          <w:bCs/>
          <w:color w:val="3930B4"/>
          <w:kern w:val="0"/>
          <w:sz w:val="45"/>
          <w:szCs w:val="45"/>
        </w:rPr>
      </w:pPr>
      <w:r w:rsidRPr="00A05E12">
        <w:rPr>
          <w:rFonts w:ascii="Open Sans" w:eastAsia="新細明體" w:hAnsi="Open Sans" w:cs="Open Sans"/>
          <w:b/>
          <w:bCs/>
          <w:color w:val="3930B4"/>
          <w:kern w:val="0"/>
          <w:sz w:val="45"/>
          <w:szCs w:val="45"/>
        </w:rPr>
        <w:t xml:space="preserve">Sample Code &amp; </w:t>
      </w:r>
      <w:r w:rsidRPr="00A05E12">
        <w:rPr>
          <w:rFonts w:ascii="Open Sans" w:eastAsia="新細明體" w:hAnsi="Open Sans" w:cs="Open Sans"/>
          <w:b/>
          <w:bCs/>
          <w:color w:val="3930B4"/>
          <w:kern w:val="0"/>
          <w:sz w:val="45"/>
          <w:szCs w:val="45"/>
        </w:rPr>
        <w:t>作業內容</w:t>
      </w:r>
    </w:p>
    <w:p w:rsidR="00A05E12" w:rsidRPr="00A05E12" w:rsidRDefault="00A05E12" w:rsidP="00A05E12">
      <w:pPr>
        <w:widowControl/>
        <w:shd w:val="clear" w:color="auto" w:fill="FFFFFF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</w:p>
    <w:p w:rsidR="00A05E12" w:rsidRPr="00A05E12" w:rsidRDefault="00A05E12" w:rsidP="00A05E12">
      <w:pPr>
        <w:widowControl/>
        <w:shd w:val="clear" w:color="auto" w:fill="FFFFFF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  <w:r w:rsidRPr="00A05E12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請參考範例程式碼Day085_CB_EarlyStop.ipynb，完成以下作業：</w:t>
      </w:r>
    </w:p>
    <w:p w:rsidR="00A05E12" w:rsidRPr="00A05E12" w:rsidRDefault="00A05E12" w:rsidP="00A05E12">
      <w:pPr>
        <w:widowControl/>
        <w:shd w:val="clear" w:color="auto" w:fill="FFFFFF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  <w:r w:rsidRPr="00A05E12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作業１：試改變 monitor "Validation Accuracy" 並比較結果</w:t>
      </w:r>
    </w:p>
    <w:p w:rsidR="00A05E12" w:rsidRPr="00A05E12" w:rsidRDefault="00A05E12" w:rsidP="00A05E12">
      <w:pPr>
        <w:widowControl/>
        <w:shd w:val="clear" w:color="auto" w:fill="FFFFFF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  <w:r w:rsidRPr="00A05E12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 xml:space="preserve">作業２：調整 </w:t>
      </w:r>
      <w:proofErr w:type="spellStart"/>
      <w:r w:rsidRPr="00A05E12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earlystop</w:t>
      </w:r>
      <w:proofErr w:type="spellEnd"/>
      <w:r w:rsidRPr="00A05E12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 xml:space="preserve"> 的等待次數至 10, 25 並比較結果</w:t>
      </w:r>
    </w:p>
    <w:p w:rsidR="00A05E12" w:rsidRPr="00A05E12" w:rsidRDefault="00A05E12" w:rsidP="00A05E12">
      <w:pPr>
        <w:widowControl/>
        <w:shd w:val="clear" w:color="auto" w:fill="FFFFFF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  <w:r w:rsidRPr="00A05E12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作業請提交Day085_HW.ipynb</w:t>
      </w:r>
    </w:p>
    <w:p w:rsidR="00A05E12" w:rsidRPr="00A05E12" w:rsidRDefault="00A05E12" w:rsidP="00A05E12">
      <w:pPr>
        <w:widowControl/>
        <w:shd w:val="clear" w:color="auto" w:fill="FFFFFF"/>
        <w:rPr>
          <w:rFonts w:ascii="新細明體" w:eastAsia="新細明體" w:hAnsi="新細明體" w:cs="新細明體"/>
          <w:kern w:val="0"/>
          <w:szCs w:val="24"/>
        </w:rPr>
      </w:pPr>
      <w:hyperlink r:id="rId5" w:history="1">
        <w:r w:rsidRPr="00A05E12">
          <w:rPr>
            <w:rFonts w:ascii="新細明體" w:eastAsia="新細明體" w:hAnsi="新細明體" w:cs="新細明體"/>
            <w:color w:val="313131"/>
            <w:kern w:val="0"/>
            <w:sz w:val="30"/>
            <w:szCs w:val="30"/>
            <w:bdr w:val="single" w:sz="6" w:space="0" w:color="3930B4" w:frame="1"/>
          </w:rPr>
          <w:t>檢視範例</w:t>
        </w:r>
      </w:hyperlink>
    </w:p>
    <w:p w:rsidR="00A05E12" w:rsidRPr="00A05E12" w:rsidRDefault="00A05E12" w:rsidP="00A05E12">
      <w:pPr>
        <w:widowControl/>
        <w:shd w:val="clear" w:color="auto" w:fill="F5F5F5"/>
        <w:jc w:val="center"/>
        <w:outlineLvl w:val="2"/>
        <w:rPr>
          <w:rFonts w:ascii="Open Sans" w:eastAsia="新細明體" w:hAnsi="Open Sans" w:cs="Open Sans"/>
          <w:b/>
          <w:bCs/>
          <w:color w:val="3930B4"/>
          <w:kern w:val="0"/>
          <w:sz w:val="45"/>
          <w:szCs w:val="45"/>
        </w:rPr>
      </w:pPr>
      <w:r w:rsidRPr="00A05E12">
        <w:rPr>
          <w:rFonts w:ascii="Open Sans" w:eastAsia="新細明體" w:hAnsi="Open Sans" w:cs="Open Sans"/>
          <w:b/>
          <w:bCs/>
          <w:color w:val="3930B4"/>
          <w:kern w:val="0"/>
          <w:sz w:val="45"/>
          <w:szCs w:val="45"/>
        </w:rPr>
        <w:t>參考資料</w:t>
      </w:r>
    </w:p>
    <w:p w:rsidR="00A05E12" w:rsidRPr="00A05E12" w:rsidRDefault="00A05E12" w:rsidP="00A05E12">
      <w:pPr>
        <w:widowControl/>
        <w:shd w:val="clear" w:color="auto" w:fill="F5F5F5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</w:p>
    <w:p w:rsidR="00A05E12" w:rsidRPr="00A05E12" w:rsidRDefault="00A05E12" w:rsidP="00A05E12">
      <w:pPr>
        <w:widowControl/>
        <w:shd w:val="clear" w:color="auto" w:fill="F5F5F5"/>
        <w:spacing w:before="450" w:after="150"/>
        <w:outlineLvl w:val="3"/>
        <w:rPr>
          <w:rFonts w:ascii="Open Sans" w:eastAsia="新細明體" w:hAnsi="Open Sans" w:cs="Open Sans"/>
          <w:b/>
          <w:bCs/>
          <w:color w:val="333333"/>
          <w:kern w:val="0"/>
          <w:sz w:val="30"/>
          <w:szCs w:val="30"/>
        </w:rPr>
      </w:pPr>
      <w:r w:rsidRPr="00A05E12">
        <w:rPr>
          <w:rFonts w:ascii="Open Sans" w:eastAsia="新細明體" w:hAnsi="Open Sans" w:cs="Open Sans"/>
          <w:b/>
          <w:bCs/>
          <w:color w:val="333333"/>
          <w:kern w:val="0"/>
          <w:sz w:val="30"/>
          <w:szCs w:val="30"/>
        </w:rPr>
        <w:t xml:space="preserve">CSDN - </w:t>
      </w:r>
      <w:proofErr w:type="spellStart"/>
      <w:r w:rsidRPr="00A05E12">
        <w:rPr>
          <w:rFonts w:ascii="Open Sans" w:eastAsia="新細明體" w:hAnsi="Open Sans" w:cs="Open Sans"/>
          <w:b/>
          <w:bCs/>
          <w:color w:val="333333"/>
          <w:kern w:val="0"/>
          <w:sz w:val="30"/>
          <w:szCs w:val="30"/>
        </w:rPr>
        <w:t>Earlystopping</w:t>
      </w:r>
      <w:proofErr w:type="spellEnd"/>
      <w:r w:rsidRPr="00A05E12">
        <w:rPr>
          <w:rFonts w:ascii="Open Sans" w:eastAsia="新細明體" w:hAnsi="Open Sans" w:cs="Open Sans"/>
          <w:b/>
          <w:bCs/>
          <w:color w:val="333333"/>
          <w:kern w:val="0"/>
          <w:sz w:val="30"/>
          <w:szCs w:val="30"/>
        </w:rPr>
        <w:t xml:space="preserve"> </w:t>
      </w:r>
      <w:r w:rsidRPr="00A05E12">
        <w:rPr>
          <w:rFonts w:ascii="Open Sans" w:eastAsia="新細明體" w:hAnsi="Open Sans" w:cs="Open Sans"/>
          <w:b/>
          <w:bCs/>
          <w:color w:val="333333"/>
          <w:kern w:val="0"/>
          <w:sz w:val="30"/>
          <w:szCs w:val="30"/>
        </w:rPr>
        <w:t>的使用與技巧</w:t>
      </w:r>
    </w:p>
    <w:p w:rsidR="00A05E12" w:rsidRPr="00A05E12" w:rsidRDefault="00A05E12" w:rsidP="00A05E12">
      <w:pPr>
        <w:widowControl/>
        <w:shd w:val="clear" w:color="auto" w:fill="F5F5F5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</w:p>
    <w:p w:rsidR="00A05E12" w:rsidRPr="00A05E12" w:rsidRDefault="00A05E12" w:rsidP="00A05E12">
      <w:pPr>
        <w:widowControl/>
        <w:shd w:val="clear" w:color="auto" w:fill="F5F5F5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  <w:r w:rsidRPr="00A05E12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 xml:space="preserve">為何要使用 </w:t>
      </w:r>
      <w:proofErr w:type="spellStart"/>
      <w:r w:rsidRPr="00A05E12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EarlyStopping</w:t>
      </w:r>
      <w:proofErr w:type="spellEnd"/>
      <w:r w:rsidRPr="00A05E12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：繼續訓練會導致測試集準確率下降。</w:t>
      </w:r>
    </w:p>
    <w:p w:rsidR="00A05E12" w:rsidRPr="00A05E12" w:rsidRDefault="00A05E12" w:rsidP="00A05E12">
      <w:pPr>
        <w:widowControl/>
        <w:numPr>
          <w:ilvl w:val="0"/>
          <w:numId w:val="1"/>
        </w:numPr>
        <w:shd w:val="clear" w:color="auto" w:fill="F5F5F5"/>
        <w:spacing w:before="100" w:beforeAutospacing="1" w:after="100" w:afterAutospacing="1" w:line="420" w:lineRule="atLeast"/>
        <w:ind w:left="360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  <w:r w:rsidRPr="00A05E12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過度擬合</w:t>
      </w:r>
    </w:p>
    <w:p w:rsidR="00A05E12" w:rsidRPr="00A05E12" w:rsidRDefault="00A05E12" w:rsidP="00A05E12">
      <w:pPr>
        <w:widowControl/>
        <w:numPr>
          <w:ilvl w:val="0"/>
          <w:numId w:val="1"/>
        </w:numPr>
        <w:shd w:val="clear" w:color="auto" w:fill="F5F5F5"/>
        <w:spacing w:before="100" w:beforeAutospacing="1" w:after="100" w:afterAutospacing="1" w:line="420" w:lineRule="atLeast"/>
        <w:ind w:left="360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  <w:r w:rsidRPr="00A05E12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學習率過大導致不收斂</w:t>
      </w:r>
    </w:p>
    <w:p w:rsidR="00A05E12" w:rsidRPr="00A05E12" w:rsidRDefault="00A05E12" w:rsidP="00A05E12">
      <w:pPr>
        <w:widowControl/>
        <w:numPr>
          <w:ilvl w:val="0"/>
          <w:numId w:val="1"/>
        </w:numPr>
        <w:shd w:val="clear" w:color="auto" w:fill="F5F5F5"/>
        <w:spacing w:before="100" w:beforeAutospacing="1" w:after="100" w:afterAutospacing="1" w:line="420" w:lineRule="atLeast"/>
        <w:ind w:left="360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  <w:r w:rsidRPr="00A05E12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 xml:space="preserve">使用 </w:t>
      </w:r>
      <w:proofErr w:type="spellStart"/>
      <w:r w:rsidRPr="00A05E12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Regulizers</w:t>
      </w:r>
      <w:proofErr w:type="spellEnd"/>
      <w:r w:rsidRPr="00A05E12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 xml:space="preserve"> 時，Loss 減少未必是準確率上升，可能是 weights 變少而已。</w:t>
      </w:r>
    </w:p>
    <w:p w:rsidR="00A05E12" w:rsidRPr="00A05E12" w:rsidRDefault="00A05E12" w:rsidP="00A05E12">
      <w:pPr>
        <w:widowControl/>
        <w:shd w:val="clear" w:color="auto" w:fill="F5F5F5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</w:p>
    <w:p w:rsidR="00A05E12" w:rsidRPr="00A05E12" w:rsidRDefault="00A05E12" w:rsidP="00A05E12">
      <w:pPr>
        <w:widowControl/>
        <w:shd w:val="clear" w:color="auto" w:fill="F5F5F5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  <w:proofErr w:type="spellStart"/>
      <w:r w:rsidRPr="00A05E12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EarlyStopping</w:t>
      </w:r>
      <w:proofErr w:type="spellEnd"/>
      <w:r w:rsidRPr="00A05E12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 xml:space="preserve"> 可以監控的項目</w:t>
      </w:r>
    </w:p>
    <w:p w:rsidR="00A05E12" w:rsidRPr="00A05E12" w:rsidRDefault="00A05E12" w:rsidP="00A05E12">
      <w:pPr>
        <w:widowControl/>
        <w:numPr>
          <w:ilvl w:val="0"/>
          <w:numId w:val="2"/>
        </w:numPr>
        <w:shd w:val="clear" w:color="auto" w:fill="F5F5F5"/>
        <w:spacing w:before="100" w:beforeAutospacing="1" w:after="100" w:afterAutospacing="1" w:line="420" w:lineRule="atLeast"/>
        <w:ind w:left="360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  <w:proofErr w:type="spellStart"/>
      <w:r w:rsidRPr="00A05E12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acc</w:t>
      </w:r>
      <w:proofErr w:type="spellEnd"/>
      <w:r w:rsidRPr="00A05E12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 xml:space="preserve">, </w:t>
      </w:r>
      <w:proofErr w:type="spellStart"/>
      <w:r w:rsidRPr="00A05E12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val_acc</w:t>
      </w:r>
      <w:proofErr w:type="spellEnd"/>
      <w:r w:rsidRPr="00A05E12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 xml:space="preserve">, loss, </w:t>
      </w:r>
      <w:proofErr w:type="spellStart"/>
      <w:r w:rsidRPr="00A05E12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val_loss</w:t>
      </w:r>
      <w:proofErr w:type="spellEnd"/>
      <w:r w:rsidRPr="00A05E12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, ...</w:t>
      </w:r>
      <w:proofErr w:type="spellStart"/>
      <w:r w:rsidRPr="00A05E12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etc</w:t>
      </w:r>
      <w:proofErr w:type="spellEnd"/>
      <w:r w:rsidRPr="00A05E12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 xml:space="preserve"> 等 loss 與 metrics</w:t>
      </w:r>
    </w:p>
    <w:p w:rsidR="00A05E12" w:rsidRPr="00A05E12" w:rsidRDefault="00A05E12" w:rsidP="00A05E12">
      <w:pPr>
        <w:widowControl/>
        <w:shd w:val="clear" w:color="auto" w:fill="F5F5F5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</w:p>
    <w:p w:rsidR="00A05E12" w:rsidRPr="00A05E12" w:rsidRDefault="00A05E12" w:rsidP="00A05E12">
      <w:pPr>
        <w:widowControl/>
        <w:shd w:val="clear" w:color="auto" w:fill="F5F5F5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  <w:r w:rsidRPr="00A05E12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有時候要監控的項目不是越小越好 (“min”)，這時候要可以手動將 mode 設成 “max”</w:t>
      </w:r>
    </w:p>
    <w:p w:rsidR="00A05E12" w:rsidRPr="00A05E12" w:rsidRDefault="00A05E12" w:rsidP="00A05E12">
      <w:pPr>
        <w:widowControl/>
        <w:shd w:val="clear" w:color="auto" w:fill="F5F5F5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</w:p>
    <w:p w:rsidR="00A05E12" w:rsidRPr="00A05E12" w:rsidRDefault="00A05E12" w:rsidP="00A05E12">
      <w:pPr>
        <w:widowControl/>
        <w:shd w:val="clear" w:color="auto" w:fill="F5F5F5"/>
        <w:spacing w:line="0" w:lineRule="auto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  <w:r w:rsidRPr="00A05E12">
        <w:rPr>
          <w:rFonts w:ascii="新細明體" w:eastAsia="新細明體" w:hAnsi="新細明體" w:cs="新細明體"/>
          <w:noProof/>
          <w:color w:val="333333"/>
          <w:kern w:val="0"/>
          <w:sz w:val="27"/>
          <w:szCs w:val="27"/>
        </w:rPr>
        <w:lastRenderedPageBreak/>
        <w:drawing>
          <wp:inline distT="0" distB="0" distL="0" distR="0" wp14:anchorId="44DA6624" wp14:editId="7EE71B1B">
            <wp:extent cx="4197350" cy="4197350"/>
            <wp:effectExtent l="0" t="0" r="0" b="0"/>
            <wp:docPr id="1" name="圖片 1" descr="https://ai100-fileentity.cupoy.com/2nd/homework/D85/1563339717197/lar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ai100-fileentity.cupoy.com/2nd/homework/D85/1563339717197/lar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350" cy="419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5E12" w:rsidRPr="00A05E12" w:rsidRDefault="00A05E12" w:rsidP="00A05E12">
      <w:pPr>
        <w:widowControl/>
        <w:shd w:val="clear" w:color="auto" w:fill="F5F5F5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  <w:r w:rsidRPr="00A05E12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參考連結：</w:t>
      </w:r>
    </w:p>
    <w:p w:rsidR="00A05E12" w:rsidRPr="00A05E12" w:rsidRDefault="00A05E12" w:rsidP="00A05E12">
      <w:pPr>
        <w:widowControl/>
        <w:shd w:val="clear" w:color="auto" w:fill="F5F5F5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  <w:hyperlink r:id="rId7" w:tgtFrame="_blank" w:history="1">
        <w:r w:rsidRPr="00A05E12">
          <w:rPr>
            <w:rFonts w:ascii="新細明體" w:eastAsia="新細明體" w:hAnsi="新細明體" w:cs="新細明體"/>
            <w:b/>
            <w:bCs/>
            <w:color w:val="333333"/>
            <w:kern w:val="0"/>
            <w:sz w:val="27"/>
            <w:szCs w:val="27"/>
            <w:u w:val="single"/>
          </w:rPr>
          <w:t xml:space="preserve">Keras 的 EarlyStopping callbacks的使用與技巧 </w:t>
        </w:r>
        <w:proofErr w:type="gramStart"/>
        <w:r w:rsidRPr="00A05E12">
          <w:rPr>
            <w:rFonts w:ascii="新細明體" w:eastAsia="新細明體" w:hAnsi="新細明體" w:cs="新細明體"/>
            <w:b/>
            <w:bCs/>
            <w:color w:val="333333"/>
            <w:kern w:val="0"/>
            <w:sz w:val="27"/>
            <w:szCs w:val="27"/>
            <w:u w:val="single"/>
          </w:rPr>
          <w:t>–</w:t>
        </w:r>
        <w:proofErr w:type="gramEnd"/>
        <w:r w:rsidRPr="00A05E12">
          <w:rPr>
            <w:rFonts w:ascii="新細明體" w:eastAsia="新細明體" w:hAnsi="新細明體" w:cs="新細明體"/>
            <w:b/>
            <w:bCs/>
            <w:color w:val="333333"/>
            <w:kern w:val="0"/>
            <w:sz w:val="27"/>
            <w:szCs w:val="27"/>
            <w:u w:val="single"/>
          </w:rPr>
          <w:t xml:space="preserve"> CSND blog</w:t>
        </w:r>
      </w:hyperlink>
    </w:p>
    <w:p w:rsidR="00204A43" w:rsidRDefault="00204A43">
      <w:bookmarkStart w:id="0" w:name="_GoBack"/>
      <w:bookmarkEnd w:id="0"/>
    </w:p>
    <w:sectPr w:rsidR="00204A4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3622C"/>
    <w:multiLevelType w:val="multilevel"/>
    <w:tmpl w:val="E3524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2B17CC"/>
    <w:multiLevelType w:val="multilevel"/>
    <w:tmpl w:val="290E6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E12"/>
    <w:rsid w:val="00204A43"/>
    <w:rsid w:val="00A05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0E0751-FDF1-4217-8D89-2FF72B599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593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73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296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645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378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4377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808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31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619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540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795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344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034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5352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FFFFFF"/>
                                            <w:left w:val="single" w:sz="6" w:space="0" w:color="FFFFFF"/>
                                            <w:bottom w:val="single" w:sz="6" w:space="0" w:color="FFFFFF"/>
                                            <w:right w:val="single" w:sz="6" w:space="0" w:color="FFFFFF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log.csdn.net/silent56_th/article/details/7284591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ai100-2.cupoy.com/samplecodelist/D85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1</cp:revision>
  <dcterms:created xsi:type="dcterms:W3CDTF">2019-09-28T14:05:00Z</dcterms:created>
  <dcterms:modified xsi:type="dcterms:W3CDTF">2019-09-28T14:05:00Z</dcterms:modified>
</cp:coreProperties>
</file>