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5420" w14:textId="7B4E6879" w:rsidR="00854286" w:rsidRPr="00B46112" w:rsidRDefault="00B46112" w:rsidP="00B46112">
      <w:pPr>
        <w:spacing w:after="0" w:line="240" w:lineRule="auto"/>
        <w:jc w:val="center"/>
        <w:rPr>
          <w:rFonts w:ascii="Courier New" w:hAnsi="Courier New" w:cs="Courier New"/>
          <w:b/>
          <w:bCs/>
        </w:rPr>
      </w:pPr>
      <w:r w:rsidRPr="00B46112">
        <w:rPr>
          <w:rFonts w:ascii="Courier New" w:hAnsi="Courier New" w:cs="Courier New"/>
          <w:b/>
          <w:bCs/>
        </w:rPr>
        <w:t>DCIT 21 Reviewer</w:t>
      </w:r>
    </w:p>
    <w:p w14:paraId="24733935" w14:textId="77777777" w:rsidR="00B46112" w:rsidRPr="00B46112" w:rsidRDefault="00B46112" w:rsidP="00B46112">
      <w:pPr>
        <w:spacing w:after="0" w:line="240" w:lineRule="auto"/>
        <w:rPr>
          <w:rFonts w:ascii="Courier New" w:hAnsi="Courier New" w:cs="Courier New"/>
          <w:b/>
          <w:bCs/>
        </w:rPr>
      </w:pPr>
    </w:p>
    <w:p w14:paraId="22C4D72C" w14:textId="52305215" w:rsidR="00771E48" w:rsidRPr="00771E48" w:rsidRDefault="00771E48" w:rsidP="00B46112">
      <w:pPr>
        <w:spacing w:after="0" w:line="240" w:lineRule="auto"/>
        <w:rPr>
          <w:rFonts w:ascii="Courier New" w:hAnsi="Courier New" w:cs="Courier New"/>
          <w:b/>
          <w:bCs/>
          <w:sz w:val="28"/>
          <w:szCs w:val="28"/>
        </w:rPr>
      </w:pPr>
      <w:r w:rsidRPr="00771E48">
        <w:rPr>
          <w:rFonts w:ascii="Courier New" w:hAnsi="Courier New" w:cs="Courier New"/>
          <w:b/>
          <w:bCs/>
          <w:sz w:val="28"/>
          <w:szCs w:val="28"/>
        </w:rPr>
        <w:t>Multiple Choice</w:t>
      </w:r>
    </w:p>
    <w:p w14:paraId="5728A76D" w14:textId="77777777" w:rsidR="00771E48" w:rsidRDefault="00771E48" w:rsidP="00B46112">
      <w:pPr>
        <w:spacing w:after="0" w:line="240" w:lineRule="auto"/>
        <w:rPr>
          <w:rFonts w:ascii="Courier New" w:hAnsi="Courier New" w:cs="Courier New"/>
          <w:b/>
          <w:bCs/>
        </w:rPr>
      </w:pPr>
    </w:p>
    <w:p w14:paraId="26945B92" w14:textId="07641837"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Patent Protection Period</w:t>
      </w:r>
    </w:p>
    <w:p w14:paraId="544397B8" w14:textId="2997F620"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Patent protection generally lasts for 20 years from the filing date. After this period, the patent protection expires according to the applicable rules.</w:t>
      </w:r>
    </w:p>
    <w:p w14:paraId="40206368" w14:textId="77777777" w:rsidR="001A5AE9" w:rsidRPr="001A5AE9" w:rsidRDefault="001A5AE9" w:rsidP="001A5AE9">
      <w:pPr>
        <w:spacing w:after="0" w:line="240" w:lineRule="auto"/>
        <w:rPr>
          <w:rFonts w:ascii="Courier New" w:hAnsi="Courier New" w:cs="Courier New"/>
        </w:rPr>
      </w:pPr>
    </w:p>
    <w:p w14:paraId="35926665" w14:textId="7DF318CA"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Green IT Practices</w:t>
      </w:r>
    </w:p>
    <w:p w14:paraId="5C58450A" w14:textId="2933C650"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Green IT promotes reducing the environmental impact of computing. One example is optimizing computing workloads and scheduling energy-intensive activities when renewable energy is more available.</w:t>
      </w:r>
    </w:p>
    <w:p w14:paraId="415D8419" w14:textId="77777777" w:rsidR="001A5AE9" w:rsidRPr="001A5AE9" w:rsidRDefault="001A5AE9" w:rsidP="001A5AE9">
      <w:pPr>
        <w:spacing w:after="0" w:line="240" w:lineRule="auto"/>
        <w:rPr>
          <w:rFonts w:ascii="Courier New" w:hAnsi="Courier New" w:cs="Courier New"/>
        </w:rPr>
      </w:pPr>
    </w:p>
    <w:p w14:paraId="3BA18966" w14:textId="2DE91E08"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Digital Rights Management</w:t>
      </w:r>
    </w:p>
    <w:p w14:paraId="6DDCFD4F" w14:textId="0D826357"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Digital Rights Management (DRM) uses technological controls to restrict unauthorized access, copying, reproduction, or use of digital content.</w:t>
      </w:r>
    </w:p>
    <w:p w14:paraId="51EEA2AE" w14:textId="77777777" w:rsidR="001A5AE9" w:rsidRPr="001A5AE9" w:rsidRDefault="001A5AE9" w:rsidP="001A5AE9">
      <w:pPr>
        <w:spacing w:after="0" w:line="240" w:lineRule="auto"/>
        <w:rPr>
          <w:rFonts w:ascii="Courier New" w:hAnsi="Courier New" w:cs="Courier New"/>
        </w:rPr>
      </w:pPr>
    </w:p>
    <w:p w14:paraId="4AE3C51A" w14:textId="1B844235"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CCPA and CPRA</w:t>
      </w:r>
    </w:p>
    <w:p w14:paraId="5D2CADEC" w14:textId="02190083"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California privacy laws emphasize consumer control over personal information. They include rights related to opting out of the sale or sharing of information and limiting certain uses of sensitive personal information.</w:t>
      </w:r>
    </w:p>
    <w:p w14:paraId="16192196" w14:textId="77777777" w:rsidR="001A5AE9" w:rsidRPr="001A5AE9" w:rsidRDefault="001A5AE9" w:rsidP="001A5AE9">
      <w:pPr>
        <w:spacing w:after="0" w:line="240" w:lineRule="auto"/>
        <w:rPr>
          <w:rFonts w:ascii="Courier New" w:hAnsi="Courier New" w:cs="Courier New"/>
        </w:rPr>
      </w:pPr>
    </w:p>
    <w:p w14:paraId="5D2A2BB7" w14:textId="4FC9B095"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Algorithmic Exclusion</w:t>
      </w:r>
    </w:p>
    <w:p w14:paraId="53718480" w14:textId="0F7EDBE7"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Algorithmic exclusion can occur when systems are developed using narrow or biased datasets or when development teams lack diverse perspectives. These conditions may cause certain groups to be unfairly excluded.</w:t>
      </w:r>
    </w:p>
    <w:p w14:paraId="44F4F479" w14:textId="77777777" w:rsidR="001A5AE9" w:rsidRPr="001A5AE9" w:rsidRDefault="001A5AE9" w:rsidP="001A5AE9">
      <w:pPr>
        <w:spacing w:after="0" w:line="240" w:lineRule="auto"/>
        <w:rPr>
          <w:rFonts w:ascii="Courier New" w:hAnsi="Courier New" w:cs="Courier New"/>
        </w:rPr>
      </w:pPr>
    </w:p>
    <w:p w14:paraId="045394DC" w14:textId="78ABCBC2"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Dual Licensing</w:t>
      </w:r>
    </w:p>
    <w:p w14:paraId="49823C02" w14:textId="40D9F22A"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Dual licensing allows the same software or codebase to be distributed under both an open-source license and a separate commercial or proprietary license.</w:t>
      </w:r>
    </w:p>
    <w:p w14:paraId="2444FCFC" w14:textId="77777777" w:rsidR="001A5AE9" w:rsidRPr="001A5AE9" w:rsidRDefault="001A5AE9" w:rsidP="001A5AE9">
      <w:pPr>
        <w:spacing w:after="0" w:line="240" w:lineRule="auto"/>
        <w:rPr>
          <w:rFonts w:ascii="Courier New" w:hAnsi="Courier New" w:cs="Courier New"/>
        </w:rPr>
      </w:pPr>
    </w:p>
    <w:p w14:paraId="05AA0460" w14:textId="52802A7D"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Informational Self-Determination</w:t>
      </w:r>
    </w:p>
    <w:p w14:paraId="6CF9CC9D" w14:textId="651EF814"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Informational self-determination refers to an individual's ability to exercise control over the collection, storage, use, and dissemination of their personal information.</w:t>
      </w:r>
    </w:p>
    <w:p w14:paraId="462B9E5E" w14:textId="77777777" w:rsidR="001A5AE9" w:rsidRPr="001A5AE9" w:rsidRDefault="001A5AE9" w:rsidP="001A5AE9">
      <w:pPr>
        <w:spacing w:after="0" w:line="240" w:lineRule="auto"/>
        <w:rPr>
          <w:rFonts w:ascii="Courier New" w:hAnsi="Courier New" w:cs="Courier New"/>
        </w:rPr>
      </w:pPr>
    </w:p>
    <w:p w14:paraId="12675564" w14:textId="76AD87D4"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Privacy as Default</w:t>
      </w:r>
    </w:p>
    <w:p w14:paraId="3A028A65" w14:textId="2202775E"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Privacy by Design includes the principle that privacy should be automatically protected by default. Users should not have to take additional steps just to receive basic privacy protection.</w:t>
      </w:r>
    </w:p>
    <w:p w14:paraId="0E840FEC" w14:textId="77777777" w:rsidR="001A5AE9" w:rsidRPr="001A5AE9" w:rsidRDefault="001A5AE9" w:rsidP="001A5AE9">
      <w:pPr>
        <w:spacing w:after="0" w:line="240" w:lineRule="auto"/>
        <w:rPr>
          <w:rFonts w:ascii="Courier New" w:hAnsi="Courier New" w:cs="Courier New"/>
        </w:rPr>
      </w:pPr>
    </w:p>
    <w:p w14:paraId="7B63924B" w14:textId="1E9659E8"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Professional Codes of Ethics</w:t>
      </w:r>
    </w:p>
    <w:p w14:paraId="5D92FCDE" w14:textId="71D30025"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Professional codes from organizations such as ACM and IEEE provide ethical guidance for computing professionals. They establish principles that help professionals deal with difficult technical and social situations.</w:t>
      </w:r>
    </w:p>
    <w:p w14:paraId="6AFBA684" w14:textId="77777777" w:rsidR="001A5AE9" w:rsidRPr="001A5AE9" w:rsidRDefault="001A5AE9" w:rsidP="001A5AE9">
      <w:pPr>
        <w:spacing w:after="0" w:line="240" w:lineRule="auto"/>
        <w:rPr>
          <w:rFonts w:ascii="Courier New" w:hAnsi="Courier New" w:cs="Courier New"/>
        </w:rPr>
      </w:pPr>
    </w:p>
    <w:p w14:paraId="532FF5EF" w14:textId="21D74A7B"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Software Interoperability</w:t>
      </w:r>
    </w:p>
    <w:p w14:paraId="3C867D2B" w14:textId="4EA6443B"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 xml:space="preserve">Under the applicable fair-use provision, certain acts of </w:t>
      </w:r>
      <w:proofErr w:type="spellStart"/>
      <w:r w:rsidRPr="001A5AE9">
        <w:rPr>
          <w:rFonts w:ascii="Courier New" w:hAnsi="Courier New" w:cs="Courier New"/>
        </w:rPr>
        <w:t>decompilation</w:t>
      </w:r>
      <w:proofErr w:type="spellEnd"/>
      <w:r w:rsidRPr="001A5AE9">
        <w:rPr>
          <w:rFonts w:ascii="Courier New" w:hAnsi="Courier New" w:cs="Courier New"/>
        </w:rPr>
        <w:t xml:space="preserve"> or reverse engineering may be allowed when they are performed solely to achieve interoperability with an independently created computer program.</w:t>
      </w:r>
    </w:p>
    <w:p w14:paraId="0E7C9D16" w14:textId="77777777" w:rsidR="001A5AE9" w:rsidRPr="001A5AE9" w:rsidRDefault="001A5AE9" w:rsidP="001A5AE9">
      <w:pPr>
        <w:spacing w:after="0" w:line="240" w:lineRule="auto"/>
        <w:rPr>
          <w:rFonts w:ascii="Courier New" w:hAnsi="Courier New" w:cs="Courier New"/>
        </w:rPr>
      </w:pPr>
    </w:p>
    <w:p w14:paraId="5DA30CE3" w14:textId="33E84165"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Data Brokers</w:t>
      </w:r>
    </w:p>
    <w:p w14:paraId="4BD932A4" w14:textId="506B51DA"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 xml:space="preserve">Data brokers collect, combine, analyze, and trade large amounts of information about individuals. They may obtain information from numerous </w:t>
      </w:r>
      <w:r w:rsidRPr="001A5AE9">
        <w:rPr>
          <w:rFonts w:ascii="Courier New" w:hAnsi="Courier New" w:cs="Courier New"/>
        </w:rPr>
        <w:lastRenderedPageBreak/>
        <w:t>sources without having direct interaction with the people whose data they process.</w:t>
      </w:r>
    </w:p>
    <w:p w14:paraId="6678A1E8" w14:textId="77777777" w:rsidR="001A5AE9" w:rsidRPr="001A5AE9" w:rsidRDefault="001A5AE9" w:rsidP="001A5AE9">
      <w:pPr>
        <w:spacing w:after="0" w:line="240" w:lineRule="auto"/>
        <w:rPr>
          <w:rFonts w:ascii="Courier New" w:hAnsi="Courier New" w:cs="Courier New"/>
        </w:rPr>
      </w:pPr>
    </w:p>
    <w:p w14:paraId="3CE82370" w14:textId="1BC77BDB"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C2PA</w:t>
      </w:r>
    </w:p>
    <w:p w14:paraId="2BC0A514" w14:textId="19C94C28"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Coalition for Content Provenance and Authenticity (C2PA) provides a framework for recording information about the origin and history of digital content through provenance information and cryptographic mechanisms.</w:t>
      </w:r>
    </w:p>
    <w:p w14:paraId="1889C1B7" w14:textId="77777777" w:rsidR="001A5AE9" w:rsidRPr="001A5AE9" w:rsidRDefault="001A5AE9" w:rsidP="001A5AE9">
      <w:pPr>
        <w:spacing w:after="0" w:line="240" w:lineRule="auto"/>
        <w:rPr>
          <w:rFonts w:ascii="Courier New" w:hAnsi="Courier New" w:cs="Courier New"/>
        </w:rPr>
      </w:pPr>
    </w:p>
    <w:p w14:paraId="77D94DF6" w14:textId="63D82FA8"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Software Copyright Duration</w:t>
      </w:r>
    </w:p>
    <w:p w14:paraId="5DA12F7E" w14:textId="31183D3C"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Copyright protection for a qualifying software work generally follows the copyright term applicable to the author, which in the examination material is identified as the life of the author plus 70 years.</w:t>
      </w:r>
    </w:p>
    <w:p w14:paraId="0BA7D24A" w14:textId="77777777" w:rsidR="001A5AE9" w:rsidRPr="001A5AE9" w:rsidRDefault="001A5AE9" w:rsidP="001A5AE9">
      <w:pPr>
        <w:spacing w:after="0" w:line="240" w:lineRule="auto"/>
        <w:rPr>
          <w:rFonts w:ascii="Courier New" w:hAnsi="Courier New" w:cs="Courier New"/>
        </w:rPr>
      </w:pPr>
    </w:p>
    <w:p w14:paraId="403B085F" w14:textId="397E594C"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GDPR Administrative Fine</w:t>
      </w:r>
    </w:p>
    <w:p w14:paraId="72E14699" w14:textId="604D4727"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GDPR provides a maximum level of administrative fine that can reach €20 million or 4% of worldwide annual turnover, whichever is higher, for certain serious violations.</w:t>
      </w:r>
    </w:p>
    <w:p w14:paraId="475E60F4" w14:textId="77777777" w:rsidR="001A5AE9" w:rsidRPr="001A5AE9" w:rsidRDefault="001A5AE9" w:rsidP="001A5AE9">
      <w:pPr>
        <w:spacing w:after="0" w:line="240" w:lineRule="auto"/>
        <w:rPr>
          <w:rFonts w:ascii="Courier New" w:hAnsi="Courier New" w:cs="Courier New"/>
        </w:rPr>
      </w:pPr>
    </w:p>
    <w:p w14:paraId="0ABA56C5" w14:textId="5C12C2CE"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Sarbanes-Oxley Act</w:t>
      </w:r>
    </w:p>
    <w:p w14:paraId="68F6AC84" w14:textId="5DF8B2B8"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Sarbanes-Oxley Act (SOX) is a United States federal law that includes protections for certain corporate whistleblowers who report wrongdoing.</w:t>
      </w:r>
    </w:p>
    <w:p w14:paraId="5A452941" w14:textId="77777777" w:rsidR="001A5AE9" w:rsidRPr="001A5AE9" w:rsidRDefault="001A5AE9" w:rsidP="001A5AE9">
      <w:pPr>
        <w:spacing w:after="0" w:line="240" w:lineRule="auto"/>
        <w:rPr>
          <w:rFonts w:ascii="Courier New" w:hAnsi="Courier New" w:cs="Courier New"/>
        </w:rPr>
      </w:pPr>
    </w:p>
    <w:p w14:paraId="2A4C92A2" w14:textId="1FC6B1C4"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Intellectual Property Protection</w:t>
      </w:r>
    </w:p>
    <w:p w14:paraId="23BA5797" w14:textId="6EDCD8EF"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four major intellectual property mechanisms emphasized in the examination are copyright, patents, trademarks, and trade secrets. Each protects a different type of intellectual creation or business asset.</w:t>
      </w:r>
    </w:p>
    <w:p w14:paraId="3EBF05E3" w14:textId="77777777" w:rsidR="001A5AE9" w:rsidRPr="001A5AE9" w:rsidRDefault="001A5AE9" w:rsidP="001A5AE9">
      <w:pPr>
        <w:spacing w:after="0" w:line="240" w:lineRule="auto"/>
        <w:rPr>
          <w:rFonts w:ascii="Courier New" w:hAnsi="Courier New" w:cs="Courier New"/>
        </w:rPr>
      </w:pPr>
    </w:p>
    <w:p w14:paraId="41519AA0" w14:textId="4253D067"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Dark Patterns</w:t>
      </w:r>
    </w:p>
    <w:p w14:paraId="5AAB9D4B" w14:textId="493305F0"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Dark patterns are interface designs that intentionally manipulate users into making decisions they might not otherwise make, often by making certain choices difficult or misleading.</w:t>
      </w:r>
    </w:p>
    <w:p w14:paraId="04BE203D" w14:textId="77777777" w:rsidR="001A5AE9" w:rsidRPr="001A5AE9" w:rsidRDefault="001A5AE9" w:rsidP="001A5AE9">
      <w:pPr>
        <w:spacing w:after="0" w:line="240" w:lineRule="auto"/>
        <w:rPr>
          <w:rFonts w:ascii="Courier New" w:hAnsi="Courier New" w:cs="Courier New"/>
        </w:rPr>
      </w:pPr>
    </w:p>
    <w:p w14:paraId="0CE77D69" w14:textId="4564BE1C"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Software Bill of Materials</w:t>
      </w:r>
    </w:p>
    <w:p w14:paraId="77AFAC6F" w14:textId="179C40CC"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A Software Bill of Materials (SBOM) is a structured inventory of the software components, packages, and dependencies used in a software product. It helps organizations track licensing and security risks.</w:t>
      </w:r>
    </w:p>
    <w:p w14:paraId="29770966" w14:textId="77777777" w:rsidR="001A5AE9" w:rsidRPr="001A5AE9" w:rsidRDefault="001A5AE9" w:rsidP="001A5AE9">
      <w:pPr>
        <w:spacing w:after="0" w:line="240" w:lineRule="auto"/>
        <w:rPr>
          <w:rFonts w:ascii="Courier New" w:hAnsi="Courier New" w:cs="Courier New"/>
        </w:rPr>
      </w:pPr>
    </w:p>
    <w:p w14:paraId="56B05742" w14:textId="3D67E6C8"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COPPA</w:t>
      </w:r>
    </w:p>
    <w:p w14:paraId="7ED55CF2" w14:textId="5B442DE9"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Children's Online Privacy Protection Act (COPPA) provides special privacy protections for children under 13 years old, including requirements concerning parental consent.</w:t>
      </w:r>
    </w:p>
    <w:p w14:paraId="5A5B9E0F" w14:textId="77777777" w:rsidR="001A5AE9" w:rsidRPr="001A5AE9" w:rsidRDefault="001A5AE9" w:rsidP="001A5AE9">
      <w:pPr>
        <w:spacing w:after="0" w:line="240" w:lineRule="auto"/>
        <w:rPr>
          <w:rFonts w:ascii="Courier New" w:hAnsi="Courier New" w:cs="Courier New"/>
        </w:rPr>
      </w:pPr>
    </w:p>
    <w:p w14:paraId="07CB7FE4" w14:textId="24CBC26F"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Non-Disclosure Agreement</w:t>
      </w:r>
    </w:p>
    <w:p w14:paraId="0DFE6F1B" w14:textId="647505CB"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A Non-Disclosure Agreement (NDA) establishes legal obligations concerning confidential information. It can restrict unauthorized disclosure or use of protected information.</w:t>
      </w:r>
    </w:p>
    <w:p w14:paraId="74F909AA" w14:textId="77777777" w:rsidR="001A5AE9" w:rsidRPr="001A5AE9" w:rsidRDefault="001A5AE9" w:rsidP="001A5AE9">
      <w:pPr>
        <w:spacing w:after="0" w:line="240" w:lineRule="auto"/>
        <w:rPr>
          <w:rFonts w:ascii="Courier New" w:hAnsi="Courier New" w:cs="Courier New"/>
        </w:rPr>
      </w:pPr>
    </w:p>
    <w:p w14:paraId="10F4BB11" w14:textId="2AF554A0"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Whistleblowing Escalation</w:t>
      </w:r>
    </w:p>
    <w:p w14:paraId="38397794" w14:textId="74877066"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When reporting serious wrongdoing, professionals should generally use appropriate internal reporting mechanisms first when those mechanisms are available and effective before escalating the matter to external authorities.</w:t>
      </w:r>
    </w:p>
    <w:p w14:paraId="0FAD45C1" w14:textId="77777777" w:rsidR="001A5AE9" w:rsidRPr="001A5AE9" w:rsidRDefault="001A5AE9" w:rsidP="001A5AE9">
      <w:pPr>
        <w:spacing w:after="0" w:line="240" w:lineRule="auto"/>
        <w:rPr>
          <w:rFonts w:ascii="Courier New" w:hAnsi="Courier New" w:cs="Courier New"/>
        </w:rPr>
      </w:pPr>
    </w:p>
    <w:p w14:paraId="3CCA2470" w14:textId="77777777" w:rsidR="001A5AE9" w:rsidRDefault="001A5AE9" w:rsidP="001A5AE9">
      <w:pPr>
        <w:spacing w:after="0" w:line="240" w:lineRule="auto"/>
        <w:rPr>
          <w:rFonts w:ascii="Courier New" w:hAnsi="Courier New" w:cs="Courier New"/>
          <w:b/>
          <w:bCs/>
        </w:rPr>
      </w:pPr>
    </w:p>
    <w:p w14:paraId="2D2A1701" w14:textId="77777777" w:rsidR="001A5AE9" w:rsidRDefault="001A5AE9" w:rsidP="001A5AE9">
      <w:pPr>
        <w:spacing w:after="0" w:line="240" w:lineRule="auto"/>
        <w:rPr>
          <w:rFonts w:ascii="Courier New" w:hAnsi="Courier New" w:cs="Courier New"/>
          <w:b/>
          <w:bCs/>
        </w:rPr>
      </w:pPr>
    </w:p>
    <w:p w14:paraId="0A3180FA" w14:textId="77777777" w:rsidR="001A5AE9" w:rsidRDefault="001A5AE9" w:rsidP="001A5AE9">
      <w:pPr>
        <w:spacing w:after="0" w:line="240" w:lineRule="auto"/>
        <w:rPr>
          <w:rFonts w:ascii="Courier New" w:hAnsi="Courier New" w:cs="Courier New"/>
          <w:b/>
          <w:bCs/>
        </w:rPr>
      </w:pPr>
    </w:p>
    <w:p w14:paraId="74E3E854" w14:textId="42C13C42" w:rsidR="001A5AE9" w:rsidRDefault="001A5AE9" w:rsidP="001A5AE9">
      <w:pPr>
        <w:spacing w:after="0" w:line="240" w:lineRule="auto"/>
        <w:rPr>
          <w:rFonts w:ascii="Courier New" w:hAnsi="Courier New" w:cs="Courier New"/>
          <w:b/>
          <w:bCs/>
        </w:rPr>
      </w:pPr>
      <w:r w:rsidRPr="001A5AE9">
        <w:rPr>
          <w:rFonts w:ascii="Courier New" w:hAnsi="Courier New" w:cs="Courier New"/>
          <w:b/>
          <w:bCs/>
        </w:rPr>
        <w:lastRenderedPageBreak/>
        <w:t>NFTs and Copyright</w:t>
      </w:r>
    </w:p>
    <w:p w14:paraId="34DEC925" w14:textId="5EFCE117" w:rsidR="001A5AE9" w:rsidRPr="001A5AE9" w:rsidRDefault="001A5AE9" w:rsidP="001A5AE9">
      <w:pPr>
        <w:spacing w:after="0" w:line="240" w:lineRule="auto"/>
        <w:rPr>
          <w:rFonts w:ascii="Courier New" w:hAnsi="Courier New" w:cs="Courier New"/>
          <w:b/>
          <w:bCs/>
        </w:rPr>
      </w:pPr>
      <w:r>
        <w:rPr>
          <w:rFonts w:ascii="Courier New" w:hAnsi="Courier New" w:cs="Courier New"/>
          <w:b/>
          <w:bCs/>
        </w:rPr>
        <w:t xml:space="preserve">- </w:t>
      </w:r>
      <w:r w:rsidRPr="001A5AE9">
        <w:rPr>
          <w:rFonts w:ascii="Courier New" w:hAnsi="Courier New" w:cs="Courier New"/>
        </w:rPr>
        <w:t>Purchasing an NFT associated with an artwork does not automatically transfer the copyright of the underlying artwork. Ownership of the token and ownership of copyright are separate matters.</w:t>
      </w:r>
    </w:p>
    <w:p w14:paraId="61D761BD" w14:textId="77777777" w:rsidR="001A5AE9" w:rsidRPr="001A5AE9" w:rsidRDefault="001A5AE9" w:rsidP="001A5AE9">
      <w:pPr>
        <w:spacing w:after="0" w:line="240" w:lineRule="auto"/>
        <w:rPr>
          <w:rFonts w:ascii="Courier New" w:hAnsi="Courier New" w:cs="Courier New"/>
        </w:rPr>
      </w:pPr>
    </w:p>
    <w:p w14:paraId="1ECD6C93" w14:textId="282DB7DC"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Right to Be Let Alone</w:t>
      </w:r>
    </w:p>
    <w:p w14:paraId="0BC6D7E5" w14:textId="1AE63CC2"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concept known as the Right to Be Let Alone is associated with Samuel Warren and Louis Brandeis and is an important historical foundation of privacy rights.</w:t>
      </w:r>
    </w:p>
    <w:p w14:paraId="66552369" w14:textId="77777777" w:rsidR="001A5AE9" w:rsidRPr="001A5AE9" w:rsidRDefault="001A5AE9" w:rsidP="001A5AE9">
      <w:pPr>
        <w:spacing w:after="0" w:line="240" w:lineRule="auto"/>
        <w:rPr>
          <w:rFonts w:ascii="Courier New" w:hAnsi="Courier New" w:cs="Courier New"/>
        </w:rPr>
      </w:pPr>
    </w:p>
    <w:p w14:paraId="6B3C6E53" w14:textId="0071B0A9"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Permissive Open-Source Licensing</w:t>
      </w:r>
    </w:p>
    <w:p w14:paraId="196D1C28" w14:textId="35AB13F6"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A permissive open-source license, such as the MIT License, generally allows broad reuse and modification of software, subject to the conditions contained in the license.</w:t>
      </w:r>
    </w:p>
    <w:p w14:paraId="09DDE6A1" w14:textId="77777777" w:rsidR="001A5AE9" w:rsidRPr="001A5AE9" w:rsidRDefault="001A5AE9" w:rsidP="001A5AE9">
      <w:pPr>
        <w:spacing w:after="0" w:line="240" w:lineRule="auto"/>
        <w:rPr>
          <w:rFonts w:ascii="Courier New" w:hAnsi="Courier New" w:cs="Courier New"/>
        </w:rPr>
      </w:pPr>
    </w:p>
    <w:p w14:paraId="20E55587" w14:textId="1E9FB8AA"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Zero-Knowledge Proofs</w:t>
      </w:r>
    </w:p>
    <w:p w14:paraId="6BE228F4" w14:textId="617CD97C"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A zero-knowledge proof allows one party to demonstrate that a particular statement is true without revealing the underlying sensitive information used to establish that truth.</w:t>
      </w:r>
    </w:p>
    <w:p w14:paraId="5E4A1BC3" w14:textId="77777777" w:rsidR="001A5AE9" w:rsidRPr="001A5AE9" w:rsidRDefault="001A5AE9" w:rsidP="001A5AE9">
      <w:pPr>
        <w:spacing w:after="0" w:line="240" w:lineRule="auto"/>
        <w:rPr>
          <w:rFonts w:ascii="Courier New" w:hAnsi="Courier New" w:cs="Courier New"/>
        </w:rPr>
      </w:pPr>
    </w:p>
    <w:p w14:paraId="5C18033F" w14:textId="5DA493A1"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Explainable AI</w:t>
      </w:r>
    </w:p>
    <w:p w14:paraId="083D8383" w14:textId="2900BE14"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Explainable AI (XAI) aims to make the reasoning or factors behind AI-generated decisions more understandable and auditable, particularly for systems whose decisions might otherwise appear as a black box.</w:t>
      </w:r>
    </w:p>
    <w:p w14:paraId="3AEAEED7" w14:textId="77777777" w:rsidR="001A5AE9" w:rsidRPr="001A5AE9" w:rsidRDefault="001A5AE9" w:rsidP="001A5AE9">
      <w:pPr>
        <w:spacing w:after="0" w:line="240" w:lineRule="auto"/>
        <w:rPr>
          <w:rFonts w:ascii="Courier New" w:hAnsi="Courier New" w:cs="Courier New"/>
        </w:rPr>
      </w:pPr>
    </w:p>
    <w:p w14:paraId="61D97510" w14:textId="566B67C4"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Trademarks</w:t>
      </w:r>
    </w:p>
    <w:p w14:paraId="5D3BB76F" w14:textId="3BD85011"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Trademarks protect distinctive identifiers associated with goods or services, including names, logos, symbols, and slogans that distinguish one source from another.</w:t>
      </w:r>
    </w:p>
    <w:p w14:paraId="56F9004E" w14:textId="77777777" w:rsidR="001A5AE9" w:rsidRPr="001A5AE9" w:rsidRDefault="001A5AE9" w:rsidP="001A5AE9">
      <w:pPr>
        <w:spacing w:after="0" w:line="240" w:lineRule="auto"/>
        <w:rPr>
          <w:rFonts w:ascii="Courier New" w:hAnsi="Courier New" w:cs="Courier New"/>
        </w:rPr>
      </w:pPr>
    </w:p>
    <w:p w14:paraId="298D8827" w14:textId="4DC170D6"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Informational Privacy</w:t>
      </w:r>
    </w:p>
    <w:p w14:paraId="4C1F1828" w14:textId="108BA474"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Informational privacy concerns an individual's ability to exercise control over personal information, including how such information is created, collected, aggregated, and disseminated.</w:t>
      </w:r>
    </w:p>
    <w:p w14:paraId="5FEEA101" w14:textId="77777777" w:rsidR="001A5AE9" w:rsidRPr="001A5AE9" w:rsidRDefault="001A5AE9" w:rsidP="001A5AE9">
      <w:pPr>
        <w:spacing w:after="0" w:line="240" w:lineRule="auto"/>
        <w:rPr>
          <w:rFonts w:ascii="Courier New" w:hAnsi="Courier New" w:cs="Courier New"/>
        </w:rPr>
      </w:pPr>
    </w:p>
    <w:p w14:paraId="60A38179" w14:textId="03D72537"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AI Training Data</w:t>
      </w:r>
    </w:p>
    <w:p w14:paraId="651AD278" w14:textId="03D0E7C4"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fact that information is publicly accessible does not automatically mean that it is public-domain material or free from copyright and other legal restrictions. AI training datasets therefore require appropriate consideration of intellectual property rights.</w:t>
      </w:r>
    </w:p>
    <w:p w14:paraId="51092953" w14:textId="77777777" w:rsidR="001A5AE9" w:rsidRPr="001A5AE9" w:rsidRDefault="001A5AE9" w:rsidP="001A5AE9">
      <w:pPr>
        <w:spacing w:after="0" w:line="240" w:lineRule="auto"/>
        <w:rPr>
          <w:rFonts w:ascii="Courier New" w:hAnsi="Courier New" w:cs="Courier New"/>
        </w:rPr>
      </w:pPr>
    </w:p>
    <w:p w14:paraId="678325EC" w14:textId="7D1BC5BF"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Avoid Harm</w:t>
      </w:r>
    </w:p>
    <w:p w14:paraId="5BBFEB88" w14:textId="5D4040D8"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ACM ethical imperative to Avoid Harm requires computing professionals to prioritize public safety and well-being. If a system presents a serious unresolved danger, deployment may need to be delayed until the risk is addressed.</w:t>
      </w:r>
    </w:p>
    <w:p w14:paraId="6CBBAE06" w14:textId="77777777" w:rsidR="001A5AE9" w:rsidRPr="001A5AE9" w:rsidRDefault="001A5AE9" w:rsidP="001A5AE9">
      <w:pPr>
        <w:spacing w:after="0" w:line="240" w:lineRule="auto"/>
        <w:rPr>
          <w:rFonts w:ascii="Courier New" w:hAnsi="Courier New" w:cs="Courier New"/>
        </w:rPr>
      </w:pPr>
    </w:p>
    <w:p w14:paraId="7710126A" w14:textId="5260F033"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Self-Sovereign Identity</w:t>
      </w:r>
    </w:p>
    <w:p w14:paraId="02FDEC2E" w14:textId="4E41DEA7"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Self-Sovereign Identity (SSI) is an identity approach that gives individuals greater direct control over their digital identity credentials, commonly using decentralized identifiers and related technologies.</w:t>
      </w:r>
    </w:p>
    <w:p w14:paraId="625A6232" w14:textId="77777777" w:rsidR="001A5AE9" w:rsidRPr="001A5AE9" w:rsidRDefault="001A5AE9" w:rsidP="001A5AE9">
      <w:pPr>
        <w:spacing w:after="0" w:line="240" w:lineRule="auto"/>
        <w:rPr>
          <w:rFonts w:ascii="Courier New" w:hAnsi="Courier New" w:cs="Courier New"/>
        </w:rPr>
      </w:pPr>
    </w:p>
    <w:p w14:paraId="40760EEE" w14:textId="70B863E7"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GDPR Right to Erasure</w:t>
      </w:r>
    </w:p>
    <w:p w14:paraId="63776EC0" w14:textId="69647571"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 xml:space="preserve">The right to erasure requires organizations to appropriately delete personal information when the legal conditions for erasure are satisfied. </w:t>
      </w:r>
      <w:r w:rsidRPr="001A5AE9">
        <w:rPr>
          <w:rFonts w:ascii="Courier New" w:hAnsi="Courier New" w:cs="Courier New"/>
        </w:rPr>
        <w:lastRenderedPageBreak/>
        <w:t>Simply removing a record from one active database may not be enough if copies remain in relevant systems.</w:t>
      </w:r>
    </w:p>
    <w:p w14:paraId="77E0A851" w14:textId="77777777" w:rsidR="001A5AE9" w:rsidRPr="001A5AE9" w:rsidRDefault="001A5AE9" w:rsidP="001A5AE9">
      <w:pPr>
        <w:spacing w:after="0" w:line="240" w:lineRule="auto"/>
        <w:rPr>
          <w:rFonts w:ascii="Courier New" w:hAnsi="Courier New" w:cs="Courier New"/>
        </w:rPr>
      </w:pPr>
    </w:p>
    <w:p w14:paraId="00A63333" w14:textId="28688342"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DMCA Section 1201</w:t>
      </w:r>
    </w:p>
    <w:p w14:paraId="3A69723E" w14:textId="704E7E19"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Section 1201 of the DMCA generally prohibits circumventing technological measures that control access to copyrighted works, although the law provides certain exemptions and exceptions.</w:t>
      </w:r>
    </w:p>
    <w:p w14:paraId="7A508DB8" w14:textId="77777777" w:rsidR="001A5AE9" w:rsidRPr="001A5AE9" w:rsidRDefault="001A5AE9" w:rsidP="001A5AE9">
      <w:pPr>
        <w:spacing w:after="0" w:line="240" w:lineRule="auto"/>
        <w:rPr>
          <w:rFonts w:ascii="Courier New" w:hAnsi="Courier New" w:cs="Courier New"/>
        </w:rPr>
      </w:pPr>
    </w:p>
    <w:p w14:paraId="7F59D196" w14:textId="0FEFF6B6"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Web Content Accessibility Guidelines</w:t>
      </w:r>
    </w:p>
    <w:p w14:paraId="784C1A26" w14:textId="1F432145"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WCAG provides accessibility guidance for digital content so that people with disabilities can use websites and applications. Examples include support for screen readers and keyboard navigation.</w:t>
      </w:r>
    </w:p>
    <w:p w14:paraId="1A94109A" w14:textId="77777777" w:rsidR="001A5AE9" w:rsidRPr="001A5AE9" w:rsidRDefault="001A5AE9" w:rsidP="001A5AE9">
      <w:pPr>
        <w:spacing w:after="0" w:line="240" w:lineRule="auto"/>
        <w:rPr>
          <w:rFonts w:ascii="Courier New" w:hAnsi="Courier New" w:cs="Courier New"/>
        </w:rPr>
      </w:pPr>
    </w:p>
    <w:p w14:paraId="3D4DB3E5" w14:textId="327CD40F"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Behavioral Surplus</w:t>
      </w:r>
    </w:p>
    <w:p w14:paraId="06A45B20" w14:textId="21A321AB"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In the concept of surveillance capitalism, behavioral surplus refers to data collected beyond what is necessary for the immediate functional purpose of a service. Such data may be analyzed to infer behavior and psychological characteristics.</w:t>
      </w:r>
    </w:p>
    <w:p w14:paraId="6A489DC2" w14:textId="77777777" w:rsidR="001A5AE9" w:rsidRPr="001A5AE9" w:rsidRDefault="001A5AE9" w:rsidP="001A5AE9">
      <w:pPr>
        <w:spacing w:after="0" w:line="240" w:lineRule="auto"/>
        <w:rPr>
          <w:rFonts w:ascii="Courier New" w:hAnsi="Courier New" w:cs="Courier New"/>
        </w:rPr>
      </w:pPr>
    </w:p>
    <w:p w14:paraId="7ED91216" w14:textId="097355D3"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Idea–Expression Dichotomy</w:t>
      </w:r>
    </w:p>
    <w:p w14:paraId="2157CCA3" w14:textId="0D9A48A7" w:rsidR="001A5AE9" w:rsidRPr="001A5AE9" w:rsidRDefault="001A5AE9" w:rsidP="001A5AE9">
      <w:pPr>
        <w:spacing w:after="0" w:line="240" w:lineRule="auto"/>
        <w:rPr>
          <w:rFonts w:ascii="Courier New" w:hAnsi="Courier New" w:cs="Courier New"/>
        </w:rPr>
      </w:pPr>
      <w:r>
        <w:rPr>
          <w:rFonts w:ascii="Courier New" w:hAnsi="Courier New" w:cs="Courier New"/>
          <w:b/>
          <w:bCs/>
        </w:rPr>
        <w:t xml:space="preserve">- </w:t>
      </w:r>
      <w:r w:rsidRPr="001A5AE9">
        <w:rPr>
          <w:rFonts w:ascii="Courier New" w:hAnsi="Courier New" w:cs="Courier New"/>
        </w:rPr>
        <w:t xml:space="preserve">Copyright generally protects the </w:t>
      </w:r>
      <w:proofErr w:type="gramStart"/>
      <w:r w:rsidRPr="001A5AE9">
        <w:rPr>
          <w:rFonts w:ascii="Courier New" w:hAnsi="Courier New" w:cs="Courier New"/>
        </w:rPr>
        <w:t>particular creative</w:t>
      </w:r>
      <w:proofErr w:type="gramEnd"/>
      <w:r w:rsidRPr="001A5AE9">
        <w:rPr>
          <w:rFonts w:ascii="Courier New" w:hAnsi="Courier New" w:cs="Courier New"/>
        </w:rPr>
        <w:t xml:space="preserve"> expression of an idea rather than the underlying idea itself. Functional concepts or general ideas may therefore receive different forms of legal protection, if any.</w:t>
      </w:r>
    </w:p>
    <w:p w14:paraId="40525BC9" w14:textId="77777777" w:rsidR="001A5AE9" w:rsidRPr="001A5AE9" w:rsidRDefault="001A5AE9" w:rsidP="001A5AE9">
      <w:pPr>
        <w:spacing w:after="0" w:line="240" w:lineRule="auto"/>
        <w:rPr>
          <w:rFonts w:ascii="Courier New" w:hAnsi="Courier New" w:cs="Courier New"/>
        </w:rPr>
      </w:pPr>
    </w:p>
    <w:p w14:paraId="32980E4E" w14:textId="28E511E2"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Copyleft Licensing</w:t>
      </w:r>
    </w:p>
    <w:p w14:paraId="01CBB736" w14:textId="52BAC339"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 xml:space="preserve">Copyleft licenses require certain redistributed or modified versions of software to remain available under the same or compatible open-source terms, depending on the </w:t>
      </w:r>
      <w:proofErr w:type="gramStart"/>
      <w:r w:rsidRPr="001A5AE9">
        <w:rPr>
          <w:rFonts w:ascii="Courier New" w:hAnsi="Courier New" w:cs="Courier New"/>
        </w:rPr>
        <w:t>particular license</w:t>
      </w:r>
      <w:proofErr w:type="gramEnd"/>
      <w:r w:rsidRPr="001A5AE9">
        <w:rPr>
          <w:rFonts w:ascii="Courier New" w:hAnsi="Courier New" w:cs="Courier New"/>
        </w:rPr>
        <w:t>.</w:t>
      </w:r>
    </w:p>
    <w:p w14:paraId="7F403455" w14:textId="77777777" w:rsidR="001A5AE9" w:rsidRPr="001A5AE9" w:rsidRDefault="001A5AE9" w:rsidP="001A5AE9">
      <w:pPr>
        <w:spacing w:after="0" w:line="240" w:lineRule="auto"/>
        <w:rPr>
          <w:rFonts w:ascii="Courier New" w:hAnsi="Courier New" w:cs="Courier New"/>
        </w:rPr>
      </w:pPr>
    </w:p>
    <w:p w14:paraId="5D24970B" w14:textId="6B30614F"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Diversity in Technology Teams</w:t>
      </w:r>
    </w:p>
    <w:p w14:paraId="64C5924F" w14:textId="5D7F111E"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Diverse technology teams can provide different experiences and perspectives. This can help identify design problems, assumptions, and potential biases that a more homogeneous team might overlook.</w:t>
      </w:r>
    </w:p>
    <w:p w14:paraId="0A8ACA47" w14:textId="77777777" w:rsidR="001A5AE9" w:rsidRPr="001A5AE9" w:rsidRDefault="001A5AE9" w:rsidP="001A5AE9">
      <w:pPr>
        <w:spacing w:after="0" w:line="240" w:lineRule="auto"/>
        <w:rPr>
          <w:rFonts w:ascii="Courier New" w:hAnsi="Courier New" w:cs="Courier New"/>
        </w:rPr>
      </w:pPr>
    </w:p>
    <w:p w14:paraId="097EB6A6" w14:textId="66CC2326"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Asymmetric Choice Friction</w:t>
      </w:r>
    </w:p>
    <w:p w14:paraId="58F67AE0" w14:textId="3ADC0307"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Asymmetric choice friction occurs when an interface makes one option extremely easy while making another option unnecessarily difficult. An example is making “Accept All” prominent while hiding or complicating the rejection option.</w:t>
      </w:r>
    </w:p>
    <w:p w14:paraId="02D4CADB" w14:textId="77777777" w:rsidR="001A5AE9" w:rsidRPr="001A5AE9" w:rsidRDefault="001A5AE9" w:rsidP="001A5AE9">
      <w:pPr>
        <w:spacing w:after="0" w:line="240" w:lineRule="auto"/>
        <w:rPr>
          <w:rFonts w:ascii="Courier New" w:hAnsi="Courier New" w:cs="Courier New"/>
        </w:rPr>
      </w:pPr>
    </w:p>
    <w:p w14:paraId="3876E11E" w14:textId="578DE6DE"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AI and Copyright Eligibility</w:t>
      </w:r>
    </w:p>
    <w:p w14:paraId="78BE0194" w14:textId="706653BE"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examination material emphasizes that human creative contribution is central when considering copyright eligibility for AI-related content.</w:t>
      </w:r>
    </w:p>
    <w:p w14:paraId="2C4F7F0E" w14:textId="77777777" w:rsidR="001A5AE9" w:rsidRPr="001A5AE9" w:rsidRDefault="001A5AE9" w:rsidP="001A5AE9">
      <w:pPr>
        <w:spacing w:after="0" w:line="240" w:lineRule="auto"/>
        <w:rPr>
          <w:rFonts w:ascii="Courier New" w:hAnsi="Courier New" w:cs="Courier New"/>
        </w:rPr>
      </w:pPr>
    </w:p>
    <w:p w14:paraId="00CA1255" w14:textId="5F97C64D"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Medical Device Safety</w:t>
      </w:r>
    </w:p>
    <w:p w14:paraId="764EE234" w14:textId="6BC4028F"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When a serious software defect in a medical device could endanger patients, protecting public welfare should take priority. Deployment should be halted or corrective action taken when a critical safety problem is discovered.</w:t>
      </w:r>
    </w:p>
    <w:p w14:paraId="4B48D2F6" w14:textId="77777777" w:rsidR="001A5AE9" w:rsidRPr="001A5AE9" w:rsidRDefault="001A5AE9" w:rsidP="001A5AE9">
      <w:pPr>
        <w:spacing w:after="0" w:line="240" w:lineRule="auto"/>
        <w:rPr>
          <w:rFonts w:ascii="Courier New" w:hAnsi="Courier New" w:cs="Courier New"/>
        </w:rPr>
      </w:pPr>
    </w:p>
    <w:p w14:paraId="698DEB0C" w14:textId="6D87BAFF"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Trade Secrets</w:t>
      </w:r>
    </w:p>
    <w:p w14:paraId="047F0DE5" w14:textId="0CEBBD1B"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Trade secret protection depends on maintaining confidentiality through reasonable measures. Examples include access restrictions, confidentiality procedures, and Non-Disclosure Agreements.</w:t>
      </w:r>
    </w:p>
    <w:p w14:paraId="1944B833" w14:textId="77777777" w:rsidR="001A5AE9" w:rsidRDefault="001A5AE9" w:rsidP="001A5AE9">
      <w:pPr>
        <w:spacing w:after="0" w:line="240" w:lineRule="auto"/>
        <w:rPr>
          <w:rFonts w:ascii="Courier New" w:hAnsi="Courier New" w:cs="Courier New"/>
        </w:rPr>
      </w:pPr>
    </w:p>
    <w:p w14:paraId="3DA413D6" w14:textId="77777777" w:rsidR="001A5AE9" w:rsidRPr="001A5AE9" w:rsidRDefault="001A5AE9" w:rsidP="001A5AE9">
      <w:pPr>
        <w:spacing w:after="0" w:line="240" w:lineRule="auto"/>
        <w:rPr>
          <w:rFonts w:ascii="Courier New" w:hAnsi="Courier New" w:cs="Courier New"/>
        </w:rPr>
      </w:pPr>
    </w:p>
    <w:p w14:paraId="7C5B443B" w14:textId="5A99DF65"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lastRenderedPageBreak/>
        <w:t>Decisional Privacy</w:t>
      </w:r>
    </w:p>
    <w:p w14:paraId="6FE0A923" w14:textId="3846A02B"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Decisional privacy concerns an individual's ability to make personal or important decisions without inappropriate interference. Secretly manipulating people's choices through predictive algorithms can raise decisional privacy concerns.</w:t>
      </w:r>
    </w:p>
    <w:p w14:paraId="18C58A5F" w14:textId="77777777" w:rsidR="001A5AE9" w:rsidRPr="001A5AE9" w:rsidRDefault="001A5AE9" w:rsidP="001A5AE9">
      <w:pPr>
        <w:spacing w:after="0" w:line="240" w:lineRule="auto"/>
        <w:rPr>
          <w:rFonts w:ascii="Courier New" w:hAnsi="Courier New" w:cs="Courier New"/>
        </w:rPr>
      </w:pPr>
    </w:p>
    <w:p w14:paraId="6D5A0C4A" w14:textId="6AE0D68A"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Prediction Products</w:t>
      </w:r>
    </w:p>
    <w:p w14:paraId="50B005FA" w14:textId="084595DA"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In surveillance capitalism, collected behavioral data can be processed into predictions about people's future actions. These predictions can become products used in commercial activities such as targeted advertising.</w:t>
      </w:r>
    </w:p>
    <w:p w14:paraId="0BE22DE0" w14:textId="77777777" w:rsidR="001A5AE9" w:rsidRPr="001A5AE9" w:rsidRDefault="001A5AE9" w:rsidP="001A5AE9">
      <w:pPr>
        <w:spacing w:after="0" w:line="240" w:lineRule="auto"/>
        <w:rPr>
          <w:rFonts w:ascii="Courier New" w:hAnsi="Courier New" w:cs="Courier New"/>
        </w:rPr>
      </w:pPr>
    </w:p>
    <w:p w14:paraId="7F06ACFC" w14:textId="39AAA36D"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Copyright and Expression</w:t>
      </w:r>
    </w:p>
    <w:p w14:paraId="7FC5FCF3" w14:textId="27700EF5"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Copyright protection applies to qualifying original creative expression rather than merely the underlying idea, concept, or functional principle. The specific form in which an idea is expressed is what receives copyright protection.</w:t>
      </w:r>
    </w:p>
    <w:p w14:paraId="6985E9D1" w14:textId="77777777" w:rsidR="001A5AE9" w:rsidRPr="001A5AE9" w:rsidRDefault="001A5AE9" w:rsidP="001A5AE9">
      <w:pPr>
        <w:spacing w:after="0" w:line="240" w:lineRule="auto"/>
        <w:rPr>
          <w:rFonts w:ascii="Courier New" w:hAnsi="Courier New" w:cs="Courier New"/>
        </w:rPr>
      </w:pPr>
    </w:p>
    <w:p w14:paraId="5167D45C" w14:textId="5A436946"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Contextual Integrity</w:t>
      </w:r>
    </w:p>
    <w:p w14:paraId="28E80585" w14:textId="65E25E3C"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Contextual integrity views privacy in relation to the social context in which information is shared. Privacy can be violated when information flows in ways that conflict with the appropriate norms of that context.</w:t>
      </w:r>
    </w:p>
    <w:p w14:paraId="68287929" w14:textId="77777777" w:rsidR="001A5AE9" w:rsidRPr="001A5AE9" w:rsidRDefault="001A5AE9" w:rsidP="001A5AE9">
      <w:pPr>
        <w:spacing w:after="0" w:line="240" w:lineRule="auto"/>
        <w:rPr>
          <w:rFonts w:ascii="Courier New" w:hAnsi="Courier New" w:cs="Courier New"/>
        </w:rPr>
      </w:pPr>
    </w:p>
    <w:p w14:paraId="342CB5F8" w14:textId="2827D314"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Differential Privacy</w:t>
      </w:r>
    </w:p>
    <w:p w14:paraId="324DB2F3" w14:textId="49936B24"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 xml:space="preserve">Differential privacy protects individual information by introducing </w:t>
      </w:r>
      <w:proofErr w:type="gramStart"/>
      <w:r w:rsidRPr="001A5AE9">
        <w:rPr>
          <w:rFonts w:ascii="Courier New" w:hAnsi="Courier New" w:cs="Courier New"/>
        </w:rPr>
        <w:t>carefully calculated</w:t>
      </w:r>
      <w:proofErr w:type="gramEnd"/>
      <w:r w:rsidRPr="001A5AE9">
        <w:rPr>
          <w:rFonts w:ascii="Courier New" w:hAnsi="Courier New" w:cs="Courier New"/>
        </w:rPr>
        <w:t xml:space="preserve"> statistical noise into datasets or queries. This allows useful overall patterns to remain visible while reducing the possibility of identifying individuals.</w:t>
      </w:r>
    </w:p>
    <w:p w14:paraId="69D6F588" w14:textId="77777777" w:rsidR="001A5AE9" w:rsidRPr="001A5AE9" w:rsidRDefault="001A5AE9" w:rsidP="001A5AE9">
      <w:pPr>
        <w:spacing w:after="0" w:line="240" w:lineRule="auto"/>
        <w:rPr>
          <w:rFonts w:ascii="Courier New" w:hAnsi="Courier New" w:cs="Courier New"/>
        </w:rPr>
      </w:pPr>
    </w:p>
    <w:p w14:paraId="769659C4" w14:textId="1AD964E9"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HIPAA</w:t>
      </w:r>
    </w:p>
    <w:p w14:paraId="42A45643" w14:textId="3B7AEAC3"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HIPAA establishes privacy and security requirements concerning protected health information (PHI) handled by covered healthcare entities and applicable business associates.</w:t>
      </w:r>
    </w:p>
    <w:p w14:paraId="358E10B9" w14:textId="77777777" w:rsidR="001A5AE9" w:rsidRPr="001A5AE9" w:rsidRDefault="001A5AE9" w:rsidP="001A5AE9">
      <w:pPr>
        <w:spacing w:after="0" w:line="240" w:lineRule="auto"/>
        <w:rPr>
          <w:rFonts w:ascii="Courier New" w:hAnsi="Courier New" w:cs="Courier New"/>
        </w:rPr>
      </w:pPr>
    </w:p>
    <w:p w14:paraId="262459FB" w14:textId="1E71DEFB"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Patent Requirements</w:t>
      </w:r>
    </w:p>
    <w:p w14:paraId="28322087" w14:textId="1263377D"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Patent protection requires qualifying conditions such as novelty and other legal requirements. Absolute confidentiality or secrecy is not itself a patentability requirement.</w:t>
      </w:r>
    </w:p>
    <w:p w14:paraId="2616A24D" w14:textId="77777777" w:rsidR="001A5AE9" w:rsidRPr="001A5AE9" w:rsidRDefault="001A5AE9" w:rsidP="001A5AE9">
      <w:pPr>
        <w:spacing w:after="0" w:line="240" w:lineRule="auto"/>
        <w:rPr>
          <w:rFonts w:ascii="Courier New" w:hAnsi="Courier New" w:cs="Courier New"/>
        </w:rPr>
      </w:pPr>
    </w:p>
    <w:p w14:paraId="4D5D33D9" w14:textId="75832731"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 xml:space="preserve">Volkswagen </w:t>
      </w:r>
      <w:proofErr w:type="spellStart"/>
      <w:r w:rsidRPr="001A5AE9">
        <w:rPr>
          <w:rFonts w:ascii="Courier New" w:hAnsi="Courier New" w:cs="Courier New"/>
          <w:b/>
          <w:bCs/>
        </w:rPr>
        <w:t>Dieselgate</w:t>
      </w:r>
      <w:proofErr w:type="spellEnd"/>
    </w:p>
    <w:p w14:paraId="4E47A1BA" w14:textId="10B138A2" w:rsidR="001A5AE9"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 xml:space="preserve">The Volkswagen </w:t>
      </w:r>
      <w:proofErr w:type="spellStart"/>
      <w:r w:rsidRPr="001A5AE9">
        <w:rPr>
          <w:rFonts w:ascii="Courier New" w:hAnsi="Courier New" w:cs="Courier New"/>
        </w:rPr>
        <w:t>Dieselgate</w:t>
      </w:r>
      <w:proofErr w:type="spellEnd"/>
      <w:r w:rsidRPr="001A5AE9">
        <w:rPr>
          <w:rFonts w:ascii="Courier New" w:hAnsi="Courier New" w:cs="Courier New"/>
        </w:rPr>
        <w:t xml:space="preserve"> case illustrates an ethical problem involving software deliberately designed to detect emissions testing conditions and manipulate system behavior, raising serious issues concerning honesty, professional responsibility, and public harm.</w:t>
      </w:r>
    </w:p>
    <w:p w14:paraId="2D1445B2" w14:textId="77777777" w:rsidR="001A5AE9" w:rsidRPr="001A5AE9" w:rsidRDefault="001A5AE9" w:rsidP="001A5AE9">
      <w:pPr>
        <w:spacing w:after="0" w:line="240" w:lineRule="auto"/>
        <w:rPr>
          <w:rFonts w:ascii="Courier New" w:hAnsi="Courier New" w:cs="Courier New"/>
        </w:rPr>
      </w:pPr>
    </w:p>
    <w:p w14:paraId="7DC2916E" w14:textId="6F3C835D" w:rsidR="001A5AE9" w:rsidRPr="001A5AE9" w:rsidRDefault="001A5AE9" w:rsidP="001A5AE9">
      <w:pPr>
        <w:spacing w:after="0" w:line="240" w:lineRule="auto"/>
        <w:rPr>
          <w:rFonts w:ascii="Courier New" w:hAnsi="Courier New" w:cs="Courier New"/>
          <w:b/>
          <w:bCs/>
        </w:rPr>
      </w:pPr>
      <w:r w:rsidRPr="001A5AE9">
        <w:rPr>
          <w:rFonts w:ascii="Courier New" w:hAnsi="Courier New" w:cs="Courier New"/>
          <w:b/>
          <w:bCs/>
        </w:rPr>
        <w:t>Corporate Whistleblower Protection</w:t>
      </w:r>
    </w:p>
    <w:p w14:paraId="39732243" w14:textId="31D23F20" w:rsidR="00B46112" w:rsidRPr="001A5AE9" w:rsidRDefault="001A5AE9" w:rsidP="001A5AE9">
      <w:pPr>
        <w:spacing w:after="0" w:line="240" w:lineRule="auto"/>
        <w:rPr>
          <w:rFonts w:ascii="Courier New" w:hAnsi="Courier New" w:cs="Courier New"/>
        </w:rPr>
      </w:pPr>
      <w:r>
        <w:rPr>
          <w:rFonts w:ascii="Courier New" w:hAnsi="Courier New" w:cs="Courier New"/>
        </w:rPr>
        <w:t xml:space="preserve">- </w:t>
      </w:r>
      <w:r w:rsidRPr="001A5AE9">
        <w:rPr>
          <w:rFonts w:ascii="Courier New" w:hAnsi="Courier New" w:cs="Courier New"/>
        </w:rPr>
        <w:t>The Sarbanes-Oxley Act provides a legal framework in the United States that includes protections for employees who report certain forms of corporate misconduct.</w:t>
      </w:r>
    </w:p>
    <w:p w14:paraId="35292B04" w14:textId="77777777" w:rsidR="001A5AE9" w:rsidRDefault="001A5AE9" w:rsidP="001A5AE9">
      <w:pPr>
        <w:spacing w:after="0" w:line="240" w:lineRule="auto"/>
      </w:pPr>
    </w:p>
    <w:p w14:paraId="4D1174D1" w14:textId="77777777" w:rsidR="001A5AE9" w:rsidRDefault="001A5AE9" w:rsidP="00B46112">
      <w:pPr>
        <w:spacing w:after="0" w:line="240" w:lineRule="auto"/>
        <w:rPr>
          <w:rFonts w:ascii="Courier New" w:hAnsi="Courier New" w:cs="Courier New"/>
          <w:b/>
          <w:bCs/>
          <w:sz w:val="28"/>
          <w:szCs w:val="28"/>
        </w:rPr>
      </w:pPr>
    </w:p>
    <w:p w14:paraId="7B3A7500" w14:textId="77777777" w:rsidR="001A5AE9" w:rsidRDefault="001A5AE9" w:rsidP="00B46112">
      <w:pPr>
        <w:spacing w:after="0" w:line="240" w:lineRule="auto"/>
        <w:rPr>
          <w:rFonts w:ascii="Courier New" w:hAnsi="Courier New" w:cs="Courier New"/>
          <w:b/>
          <w:bCs/>
          <w:sz w:val="28"/>
          <w:szCs w:val="28"/>
        </w:rPr>
      </w:pPr>
    </w:p>
    <w:p w14:paraId="0EFAF1C0" w14:textId="77777777" w:rsidR="001A5AE9" w:rsidRDefault="001A5AE9" w:rsidP="00B46112">
      <w:pPr>
        <w:spacing w:after="0" w:line="240" w:lineRule="auto"/>
        <w:rPr>
          <w:rFonts w:ascii="Courier New" w:hAnsi="Courier New" w:cs="Courier New"/>
          <w:b/>
          <w:bCs/>
          <w:sz w:val="28"/>
          <w:szCs w:val="28"/>
        </w:rPr>
      </w:pPr>
    </w:p>
    <w:p w14:paraId="7780CBB2" w14:textId="77777777" w:rsidR="001A5AE9" w:rsidRDefault="001A5AE9" w:rsidP="00B46112">
      <w:pPr>
        <w:spacing w:after="0" w:line="240" w:lineRule="auto"/>
        <w:rPr>
          <w:rFonts w:ascii="Courier New" w:hAnsi="Courier New" w:cs="Courier New"/>
          <w:b/>
          <w:bCs/>
          <w:sz w:val="28"/>
          <w:szCs w:val="28"/>
        </w:rPr>
      </w:pPr>
    </w:p>
    <w:p w14:paraId="39F5E2A4" w14:textId="77777777" w:rsidR="001A5AE9" w:rsidRDefault="001A5AE9" w:rsidP="00B46112">
      <w:pPr>
        <w:spacing w:after="0" w:line="240" w:lineRule="auto"/>
        <w:rPr>
          <w:rFonts w:ascii="Courier New" w:hAnsi="Courier New" w:cs="Courier New"/>
          <w:b/>
          <w:bCs/>
          <w:sz w:val="28"/>
          <w:szCs w:val="28"/>
        </w:rPr>
      </w:pPr>
    </w:p>
    <w:p w14:paraId="6B74EB64" w14:textId="23136427" w:rsidR="00771E48" w:rsidRPr="00771E48" w:rsidRDefault="00771E48" w:rsidP="00B46112">
      <w:pPr>
        <w:spacing w:after="0" w:line="240" w:lineRule="auto"/>
        <w:rPr>
          <w:rFonts w:ascii="Courier New" w:hAnsi="Courier New" w:cs="Courier New"/>
          <w:b/>
          <w:bCs/>
          <w:sz w:val="28"/>
          <w:szCs w:val="28"/>
        </w:rPr>
      </w:pPr>
      <w:r w:rsidRPr="00771E48">
        <w:rPr>
          <w:rFonts w:ascii="Courier New" w:hAnsi="Courier New" w:cs="Courier New"/>
          <w:b/>
          <w:bCs/>
          <w:sz w:val="28"/>
          <w:szCs w:val="28"/>
        </w:rPr>
        <w:lastRenderedPageBreak/>
        <w:t>Identification</w:t>
      </w:r>
    </w:p>
    <w:p w14:paraId="3C584C71" w14:textId="77777777" w:rsidR="00771E48" w:rsidRDefault="00771E48" w:rsidP="00771E48">
      <w:pPr>
        <w:spacing w:after="0" w:line="240" w:lineRule="auto"/>
        <w:rPr>
          <w:rFonts w:ascii="Courier New" w:hAnsi="Courier New" w:cs="Courier New"/>
          <w:b/>
          <w:bCs/>
        </w:rPr>
      </w:pPr>
    </w:p>
    <w:p w14:paraId="12915DDE" w14:textId="104224FC"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Differential Privacy</w:t>
      </w:r>
    </w:p>
    <w:p w14:paraId="169937B7" w14:textId="721E6DDA"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 xml:space="preserve">A privacy-preserving technique that adds </w:t>
      </w:r>
      <w:proofErr w:type="gramStart"/>
      <w:r w:rsidRPr="005C7EFA">
        <w:rPr>
          <w:rFonts w:ascii="Courier New" w:hAnsi="Courier New" w:cs="Courier New"/>
        </w:rPr>
        <w:t>carefully calculated</w:t>
      </w:r>
      <w:proofErr w:type="gramEnd"/>
      <w:r w:rsidRPr="005C7EFA">
        <w:rPr>
          <w:rFonts w:ascii="Courier New" w:hAnsi="Courier New" w:cs="Courier New"/>
        </w:rPr>
        <w:t xml:space="preserve"> statistical noise to information or queries. It helps reveal useful overall patterns while reducing the risk of identifying individual persons.</w:t>
      </w:r>
    </w:p>
    <w:p w14:paraId="0EFB14F7" w14:textId="77777777" w:rsidR="005C7EFA" w:rsidRPr="005C7EFA" w:rsidRDefault="005C7EFA" w:rsidP="005C7EFA">
      <w:pPr>
        <w:spacing w:after="0" w:line="240" w:lineRule="auto"/>
        <w:rPr>
          <w:rFonts w:ascii="Courier New" w:hAnsi="Courier New" w:cs="Courier New"/>
        </w:rPr>
      </w:pPr>
    </w:p>
    <w:p w14:paraId="51600505" w14:textId="57CAE6F1"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Sarbanes-Oxley Act (SOX)</w:t>
      </w:r>
    </w:p>
    <w:p w14:paraId="7A3A1A29" w14:textId="14A09F85"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 United States federal law that includes protections for certain employees who report corporate wrongdoing or misconduct.</w:t>
      </w:r>
    </w:p>
    <w:p w14:paraId="220A9633" w14:textId="77777777" w:rsidR="005C7EFA" w:rsidRPr="005C7EFA" w:rsidRDefault="005C7EFA" w:rsidP="005C7EFA">
      <w:pPr>
        <w:spacing w:after="0" w:line="240" w:lineRule="auto"/>
        <w:rPr>
          <w:rFonts w:ascii="Courier New" w:hAnsi="Courier New" w:cs="Courier New"/>
        </w:rPr>
      </w:pPr>
    </w:p>
    <w:p w14:paraId="0B30ED62" w14:textId="6DDD8318"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Trade Secret</w:t>
      </w:r>
    </w:p>
    <w:p w14:paraId="42BB5E8C" w14:textId="6CFD89FF"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Confidential business information that has economic value because it is not generally known and is protected through reasonable measures to maintain its secrecy.</w:t>
      </w:r>
    </w:p>
    <w:p w14:paraId="2926F0F6" w14:textId="77777777" w:rsidR="005C7EFA" w:rsidRPr="005C7EFA" w:rsidRDefault="005C7EFA" w:rsidP="005C7EFA">
      <w:pPr>
        <w:spacing w:after="0" w:line="240" w:lineRule="auto"/>
        <w:rPr>
          <w:rFonts w:ascii="Courier New" w:hAnsi="Courier New" w:cs="Courier New"/>
        </w:rPr>
      </w:pPr>
    </w:p>
    <w:p w14:paraId="55F6C783" w14:textId="0949B3AB"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The Right to Be Let Alone</w:t>
      </w:r>
    </w:p>
    <w:p w14:paraId="70943EBC" w14:textId="68FC1609"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 foundational privacy concept associated with Samuel Warren and Louis Brandeis. It emphasizes an individual's right to be free from unwanted intrusion into private life.</w:t>
      </w:r>
    </w:p>
    <w:p w14:paraId="0237A205" w14:textId="77777777" w:rsidR="005C7EFA" w:rsidRPr="005C7EFA" w:rsidRDefault="005C7EFA" w:rsidP="005C7EFA">
      <w:pPr>
        <w:spacing w:after="0" w:line="240" w:lineRule="auto"/>
        <w:rPr>
          <w:rFonts w:ascii="Courier New" w:hAnsi="Courier New" w:cs="Courier New"/>
        </w:rPr>
      </w:pPr>
    </w:p>
    <w:p w14:paraId="2B4F46B3" w14:textId="35EB944B"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Copyright</w:t>
      </w:r>
    </w:p>
    <w:p w14:paraId="1CE94C63" w14:textId="32FA3DBC"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 form of intellectual property protection granted to qualifying original creative works, including specific forms of expression.</w:t>
      </w:r>
    </w:p>
    <w:p w14:paraId="3D243C85" w14:textId="77777777" w:rsidR="005C7EFA" w:rsidRPr="005C7EFA" w:rsidRDefault="005C7EFA" w:rsidP="005C7EFA">
      <w:pPr>
        <w:spacing w:after="0" w:line="240" w:lineRule="auto"/>
        <w:rPr>
          <w:rFonts w:ascii="Courier New" w:hAnsi="Courier New" w:cs="Courier New"/>
        </w:rPr>
      </w:pPr>
    </w:p>
    <w:p w14:paraId="323289E4" w14:textId="666AEB83"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Surveillance Capitalism</w:t>
      </w:r>
    </w:p>
    <w:p w14:paraId="6515BD42" w14:textId="76E83C44"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 concept associated with Shoshana Zuboff describing the use of human behavioral data as a source of prediction and commercial value.</w:t>
      </w:r>
    </w:p>
    <w:p w14:paraId="0E0A749B" w14:textId="77777777" w:rsidR="005C7EFA" w:rsidRPr="005C7EFA" w:rsidRDefault="005C7EFA" w:rsidP="005C7EFA">
      <w:pPr>
        <w:spacing w:after="0" w:line="240" w:lineRule="auto"/>
        <w:rPr>
          <w:rFonts w:ascii="Courier New" w:hAnsi="Courier New" w:cs="Courier New"/>
        </w:rPr>
      </w:pPr>
    </w:p>
    <w:p w14:paraId="422819CD" w14:textId="389FE388"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C2PA</w:t>
      </w:r>
    </w:p>
    <w:p w14:paraId="25D12AFE" w14:textId="3F61AB36"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The Coalition for Content Provenance and Authenticity, a framework designed to provide information about the origin and history of digital content through provenance technologies.</w:t>
      </w:r>
    </w:p>
    <w:p w14:paraId="646B2238" w14:textId="77777777" w:rsidR="005C7EFA" w:rsidRPr="005C7EFA" w:rsidRDefault="005C7EFA" w:rsidP="005C7EFA">
      <w:pPr>
        <w:spacing w:after="0" w:line="240" w:lineRule="auto"/>
        <w:rPr>
          <w:rFonts w:ascii="Courier New" w:hAnsi="Courier New" w:cs="Courier New"/>
        </w:rPr>
      </w:pPr>
    </w:p>
    <w:p w14:paraId="7D0CB746" w14:textId="4CC6D0E4"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Software Bill of Materials</w:t>
      </w:r>
    </w:p>
    <w:p w14:paraId="0B49657B" w14:textId="3459E2DB"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An SBOM is a structured inventory identifying the software components, packages, and dependencies contained in a software product.</w:t>
      </w:r>
    </w:p>
    <w:p w14:paraId="19C6D09D" w14:textId="77777777" w:rsidR="005C7EFA" w:rsidRPr="005C7EFA" w:rsidRDefault="005C7EFA" w:rsidP="005C7EFA">
      <w:pPr>
        <w:spacing w:after="0" w:line="240" w:lineRule="auto"/>
        <w:rPr>
          <w:rFonts w:ascii="Courier New" w:hAnsi="Courier New" w:cs="Courier New"/>
        </w:rPr>
      </w:pPr>
    </w:p>
    <w:p w14:paraId="7B3DE1F6" w14:textId="6C7C6C6C"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HIPAA</w:t>
      </w:r>
    </w:p>
    <w:p w14:paraId="32AFBC95" w14:textId="63E57E79"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 United States law that establishes requirements concerning protected health information handled by covered healthcare organizations and applicable business associates.</w:t>
      </w:r>
    </w:p>
    <w:p w14:paraId="1AE2777F" w14:textId="77777777" w:rsidR="005C7EFA" w:rsidRPr="005C7EFA" w:rsidRDefault="005C7EFA" w:rsidP="005C7EFA">
      <w:pPr>
        <w:spacing w:after="0" w:line="240" w:lineRule="auto"/>
        <w:rPr>
          <w:rFonts w:ascii="Courier New" w:hAnsi="Courier New" w:cs="Courier New"/>
        </w:rPr>
      </w:pPr>
    </w:p>
    <w:p w14:paraId="7D0F1508" w14:textId="497C5E12"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Patent</w:t>
      </w:r>
    </w:p>
    <w:p w14:paraId="067506C2" w14:textId="62C359DC"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An intellectual property right that provides qualifying inventions with legal protection for a limited period in exchange for disclosure of the invention.</w:t>
      </w:r>
    </w:p>
    <w:p w14:paraId="5290E6FD" w14:textId="77777777" w:rsidR="005C7EFA" w:rsidRPr="005C7EFA" w:rsidRDefault="005C7EFA" w:rsidP="005C7EFA">
      <w:pPr>
        <w:spacing w:after="0" w:line="240" w:lineRule="auto"/>
        <w:rPr>
          <w:rFonts w:ascii="Courier New" w:hAnsi="Courier New" w:cs="Courier New"/>
        </w:rPr>
      </w:pPr>
    </w:p>
    <w:p w14:paraId="1BFA5FB0" w14:textId="382AA37E"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Dark Patterns</w:t>
      </w:r>
    </w:p>
    <w:p w14:paraId="79226C49" w14:textId="5A753745"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User-interface techniques intentionally designed to manipulate, mislead, or pressure users into making choices that may not serve their interests.</w:t>
      </w:r>
    </w:p>
    <w:p w14:paraId="38A11A24" w14:textId="77777777" w:rsidR="005C7EFA" w:rsidRPr="005C7EFA" w:rsidRDefault="005C7EFA" w:rsidP="005C7EFA">
      <w:pPr>
        <w:spacing w:after="0" w:line="240" w:lineRule="auto"/>
        <w:rPr>
          <w:rFonts w:ascii="Courier New" w:hAnsi="Courier New" w:cs="Courier New"/>
        </w:rPr>
      </w:pPr>
    </w:p>
    <w:p w14:paraId="079A3750" w14:textId="77777777" w:rsidR="005C7EFA" w:rsidRDefault="005C7EFA" w:rsidP="005C7EFA">
      <w:pPr>
        <w:spacing w:after="0" w:line="240" w:lineRule="auto"/>
        <w:rPr>
          <w:rFonts w:ascii="Courier New" w:hAnsi="Courier New" w:cs="Courier New"/>
          <w:b/>
          <w:bCs/>
        </w:rPr>
      </w:pPr>
    </w:p>
    <w:p w14:paraId="76883A38" w14:textId="77777777" w:rsidR="005C7EFA" w:rsidRDefault="005C7EFA" w:rsidP="005C7EFA">
      <w:pPr>
        <w:spacing w:after="0" w:line="240" w:lineRule="auto"/>
        <w:rPr>
          <w:rFonts w:ascii="Courier New" w:hAnsi="Courier New" w:cs="Courier New"/>
          <w:b/>
          <w:bCs/>
        </w:rPr>
      </w:pPr>
    </w:p>
    <w:p w14:paraId="69A76323" w14:textId="42489BA7" w:rsidR="005C7EFA" w:rsidRDefault="005C7EFA" w:rsidP="005C7EFA">
      <w:pPr>
        <w:spacing w:after="0" w:line="240" w:lineRule="auto"/>
        <w:rPr>
          <w:rFonts w:ascii="Courier New" w:hAnsi="Courier New" w:cs="Courier New"/>
          <w:b/>
          <w:bCs/>
        </w:rPr>
      </w:pPr>
      <w:r w:rsidRPr="005C7EFA">
        <w:rPr>
          <w:rFonts w:ascii="Courier New" w:hAnsi="Courier New" w:cs="Courier New"/>
          <w:b/>
          <w:bCs/>
        </w:rPr>
        <w:lastRenderedPageBreak/>
        <w:t>Privacy by Design</w:t>
      </w:r>
    </w:p>
    <w:p w14:paraId="21175AD2" w14:textId="0727FA63" w:rsidR="005C7EFA" w:rsidRPr="005C7EFA" w:rsidRDefault="005C7EFA" w:rsidP="005C7EFA">
      <w:pPr>
        <w:spacing w:after="0" w:line="240" w:lineRule="auto"/>
        <w:rPr>
          <w:rFonts w:ascii="Courier New" w:hAnsi="Courier New" w:cs="Courier New"/>
          <w:b/>
          <w:bCs/>
        </w:rPr>
      </w:pPr>
      <w:r>
        <w:rPr>
          <w:rFonts w:ascii="Courier New" w:hAnsi="Courier New" w:cs="Courier New"/>
        </w:rPr>
        <w:t xml:space="preserve">- </w:t>
      </w:r>
      <w:r w:rsidRPr="005C7EFA">
        <w:rPr>
          <w:rFonts w:ascii="Courier New" w:hAnsi="Courier New" w:cs="Courier New"/>
        </w:rPr>
        <w:t>A privacy approach associated with Dr. Ann Cavoukian that incorporates privacy considerations directly into systems, products, and processes rather than treating privacy as an afterthought.</w:t>
      </w:r>
    </w:p>
    <w:p w14:paraId="1803ED81" w14:textId="77777777" w:rsidR="005C7EFA" w:rsidRPr="005C7EFA" w:rsidRDefault="005C7EFA" w:rsidP="005C7EFA">
      <w:pPr>
        <w:spacing w:after="0" w:line="240" w:lineRule="auto"/>
        <w:rPr>
          <w:rFonts w:ascii="Courier New" w:hAnsi="Courier New" w:cs="Courier New"/>
        </w:rPr>
      </w:pPr>
    </w:p>
    <w:p w14:paraId="69BB1EB7" w14:textId="4857D777"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Avoid Harm</w:t>
      </w:r>
    </w:p>
    <w:p w14:paraId="00A77B03" w14:textId="13074488"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An ACM ethical imperative requiring computing professionals to avoid or minimize harm and to prioritize safety and public well-being when developing or deploying technology.</w:t>
      </w:r>
    </w:p>
    <w:p w14:paraId="3426E334" w14:textId="77777777" w:rsidR="005C7EFA" w:rsidRPr="005C7EFA" w:rsidRDefault="005C7EFA" w:rsidP="005C7EFA">
      <w:pPr>
        <w:spacing w:after="0" w:line="240" w:lineRule="auto"/>
        <w:rPr>
          <w:rFonts w:ascii="Courier New" w:hAnsi="Courier New" w:cs="Courier New"/>
        </w:rPr>
      </w:pPr>
    </w:p>
    <w:p w14:paraId="52E715D0" w14:textId="6F147BDD"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Trademark</w:t>
      </w:r>
    </w:p>
    <w:p w14:paraId="5E45F085" w14:textId="6E6BC3D4" w:rsidR="005C7EFA" w:rsidRPr="005C7EFA"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An intellectual property protection for distinctive identifiers such as names, logos, symbols, or slogans that distinguish goods or services from others.</w:t>
      </w:r>
    </w:p>
    <w:p w14:paraId="3C290C63" w14:textId="77777777" w:rsidR="005C7EFA" w:rsidRPr="005C7EFA" w:rsidRDefault="005C7EFA" w:rsidP="005C7EFA">
      <w:pPr>
        <w:spacing w:after="0" w:line="240" w:lineRule="auto"/>
        <w:rPr>
          <w:rFonts w:ascii="Courier New" w:hAnsi="Courier New" w:cs="Courier New"/>
        </w:rPr>
      </w:pPr>
    </w:p>
    <w:p w14:paraId="0DCD054A" w14:textId="51684850" w:rsidR="005C7EFA" w:rsidRPr="005C7EFA" w:rsidRDefault="005C7EFA" w:rsidP="005C7EFA">
      <w:pPr>
        <w:spacing w:after="0" w:line="240" w:lineRule="auto"/>
        <w:rPr>
          <w:rFonts w:ascii="Courier New" w:hAnsi="Courier New" w:cs="Courier New"/>
          <w:b/>
          <w:bCs/>
        </w:rPr>
      </w:pPr>
      <w:r w:rsidRPr="005C7EFA">
        <w:rPr>
          <w:rFonts w:ascii="Courier New" w:hAnsi="Courier New" w:cs="Courier New"/>
          <w:b/>
          <w:bCs/>
        </w:rPr>
        <w:t>Contextual Integrity</w:t>
      </w:r>
    </w:p>
    <w:p w14:paraId="33AD9404" w14:textId="418C0667" w:rsidR="00B46112" w:rsidRDefault="005C7EFA" w:rsidP="005C7EFA">
      <w:pPr>
        <w:spacing w:after="0" w:line="240" w:lineRule="auto"/>
        <w:rPr>
          <w:rFonts w:ascii="Courier New" w:hAnsi="Courier New" w:cs="Courier New"/>
        </w:rPr>
      </w:pPr>
      <w:r>
        <w:rPr>
          <w:rFonts w:ascii="Courier New" w:hAnsi="Courier New" w:cs="Courier New"/>
        </w:rPr>
        <w:t xml:space="preserve">- </w:t>
      </w:r>
      <w:r w:rsidRPr="005C7EFA">
        <w:rPr>
          <w:rFonts w:ascii="Courier New" w:hAnsi="Courier New" w:cs="Courier New"/>
        </w:rPr>
        <w:t>A privacy framework associated with Helen Nissenbaum that evaluates privacy according to the norms and expectations governing the flow of information within a particular social context.</w:t>
      </w:r>
    </w:p>
    <w:p w14:paraId="30E4220B" w14:textId="77777777" w:rsidR="00771E48" w:rsidRDefault="00771E48" w:rsidP="00771E48">
      <w:pPr>
        <w:spacing w:after="0" w:line="240" w:lineRule="auto"/>
        <w:rPr>
          <w:rFonts w:ascii="Courier New" w:hAnsi="Courier New" w:cs="Courier New"/>
        </w:rPr>
      </w:pPr>
    </w:p>
    <w:p w14:paraId="450DB235" w14:textId="530EF7AA" w:rsidR="00771E48" w:rsidRDefault="00771E48" w:rsidP="00771E48">
      <w:pPr>
        <w:spacing w:after="0" w:line="240" w:lineRule="auto"/>
        <w:rPr>
          <w:rFonts w:ascii="Courier New" w:hAnsi="Courier New" w:cs="Courier New"/>
          <w:b/>
          <w:bCs/>
          <w:sz w:val="28"/>
          <w:szCs w:val="28"/>
        </w:rPr>
      </w:pPr>
      <w:r w:rsidRPr="00771E48">
        <w:rPr>
          <w:rFonts w:ascii="Courier New" w:hAnsi="Courier New" w:cs="Courier New"/>
          <w:b/>
          <w:bCs/>
          <w:sz w:val="28"/>
          <w:szCs w:val="28"/>
        </w:rPr>
        <w:t>True or False</w:t>
      </w:r>
    </w:p>
    <w:p w14:paraId="378D91F3" w14:textId="77777777" w:rsidR="00771E48" w:rsidRDefault="00771E48" w:rsidP="00771E48">
      <w:pPr>
        <w:spacing w:after="0" w:line="240" w:lineRule="auto"/>
        <w:rPr>
          <w:rFonts w:ascii="Courier New" w:hAnsi="Courier New" w:cs="Courier New"/>
          <w:b/>
          <w:bCs/>
          <w:sz w:val="28"/>
          <w:szCs w:val="28"/>
        </w:rPr>
      </w:pPr>
    </w:p>
    <w:p w14:paraId="4AE22831" w14:textId="2C950163"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End-to-End Encryption (E2EE)</w:t>
      </w:r>
    </w:p>
    <w:p w14:paraId="612CB764" w14:textId="50FD975F"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TRUE. E2EE is designed so that the communicating endpoints hold the decryption capability, preventing intermediary or transit nodes from inspecting the encrypted content.</w:t>
      </w:r>
    </w:p>
    <w:p w14:paraId="0B845E22" w14:textId="77777777" w:rsidR="00B54C82" w:rsidRPr="00B54C82" w:rsidRDefault="00B54C82" w:rsidP="00B54C82">
      <w:pPr>
        <w:spacing w:after="0" w:line="240" w:lineRule="auto"/>
        <w:rPr>
          <w:rFonts w:ascii="Courier New" w:hAnsi="Courier New" w:cs="Courier New"/>
        </w:rPr>
      </w:pPr>
    </w:p>
    <w:p w14:paraId="701BF9EB" w14:textId="3B5DFA04"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Non-Fungible Tokens (NFTs) and Copyright</w:t>
      </w:r>
    </w:p>
    <w:p w14:paraId="7C4F95B8" w14:textId="734575F5"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Purchasing an NFT does not automatically transfer copyright ownership of the associated digital artwork. An NFT represents a blockchain token; copyright ownership and reproduction/commercial rights require a separate legal basis or explicit license.</w:t>
      </w:r>
    </w:p>
    <w:p w14:paraId="142F9CAC" w14:textId="77777777" w:rsidR="00B54C82" w:rsidRPr="00B54C82" w:rsidRDefault="00B54C82" w:rsidP="00B54C82">
      <w:pPr>
        <w:spacing w:after="0" w:line="240" w:lineRule="auto"/>
        <w:rPr>
          <w:rFonts w:ascii="Courier New" w:hAnsi="Courier New" w:cs="Courier New"/>
        </w:rPr>
      </w:pPr>
    </w:p>
    <w:p w14:paraId="019A2A76" w14:textId="62FB6C50"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Whistleblowing and Internal Escalation</w:t>
      </w:r>
    </w:p>
    <w:p w14:paraId="125B9848" w14:textId="0E9B53DB"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TRUE. When serious illegal or unethical practices are discovered, professionals should ideally exhaust appropriate internal corporate escalation mechanisms before reporting the matter to external public regulatory bodies.</w:t>
      </w:r>
    </w:p>
    <w:p w14:paraId="5EEDCA76" w14:textId="77777777" w:rsidR="00B54C82" w:rsidRPr="00B54C82" w:rsidRDefault="00B54C82" w:rsidP="00B54C82">
      <w:pPr>
        <w:spacing w:after="0" w:line="240" w:lineRule="auto"/>
        <w:rPr>
          <w:rFonts w:ascii="Courier New" w:hAnsi="Courier New" w:cs="Courier New"/>
        </w:rPr>
      </w:pPr>
    </w:p>
    <w:p w14:paraId="637D0112" w14:textId="35C5FDC5"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Pseudonymization vs. Anonymization</w:t>
      </w:r>
    </w:p>
    <w:p w14:paraId="4D9EFCC9" w14:textId="6B8127D2"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Pseudonymization does not permanently eliminate the possibility of linking information back to an individual. Pseudonymized information can potentially be linked using additional information.</w:t>
      </w:r>
    </w:p>
    <w:p w14:paraId="67547E6A" w14:textId="77777777" w:rsidR="00B54C82" w:rsidRPr="00B54C82" w:rsidRDefault="00B54C82" w:rsidP="00B54C82">
      <w:pPr>
        <w:spacing w:after="0" w:line="240" w:lineRule="auto"/>
        <w:rPr>
          <w:rFonts w:ascii="Courier New" w:hAnsi="Courier New" w:cs="Courier New"/>
        </w:rPr>
      </w:pPr>
    </w:p>
    <w:p w14:paraId="2F8288B8" w14:textId="570E5863"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Permissive Open-Source Licenses</w:t>
      </w:r>
    </w:p>
    <w:p w14:paraId="3DC3B703" w14:textId="2A27533C"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TRUE. Permissive licenses such as the MIT License and Apache License 2.0 generally permit commercial reuse, subject to their license conditions.</w:t>
      </w:r>
    </w:p>
    <w:p w14:paraId="1850C276" w14:textId="77777777" w:rsidR="00B54C82" w:rsidRPr="00B54C82" w:rsidRDefault="00B54C82" w:rsidP="00B54C82">
      <w:pPr>
        <w:spacing w:after="0" w:line="240" w:lineRule="auto"/>
        <w:rPr>
          <w:rFonts w:ascii="Courier New" w:hAnsi="Courier New" w:cs="Courier New"/>
        </w:rPr>
      </w:pPr>
    </w:p>
    <w:p w14:paraId="6D40F092" w14:textId="7C04DAF7"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GDPR Right to Erasure</w:t>
      </w:r>
    </w:p>
    <w:p w14:paraId="6F5A0AB8" w14:textId="04A5B6F5"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Deleting a user's row from only the primary database is not necessarily sufficient. Personal information may also exist in distributed logs, analytics systems, backups, and other storage layers.</w:t>
      </w:r>
    </w:p>
    <w:p w14:paraId="6C5A3472" w14:textId="77777777" w:rsidR="00B54C82" w:rsidRPr="00B54C82" w:rsidRDefault="00B54C82" w:rsidP="00B54C82">
      <w:pPr>
        <w:spacing w:after="0" w:line="240" w:lineRule="auto"/>
        <w:rPr>
          <w:rFonts w:ascii="Courier New" w:hAnsi="Courier New" w:cs="Courier New"/>
        </w:rPr>
      </w:pPr>
    </w:p>
    <w:p w14:paraId="5B9AE024" w14:textId="477BE2F3"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lastRenderedPageBreak/>
        <w:t>Professional Licensing of Software Engineers</w:t>
      </w:r>
    </w:p>
    <w:p w14:paraId="5F95A01D" w14:textId="7EDD25B3"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Software engineers traditionally operate without mandatory state occupational licensing, unlike professions such as medicine or law.</w:t>
      </w:r>
    </w:p>
    <w:p w14:paraId="0A2C6CFA" w14:textId="77777777" w:rsidR="00B54C82" w:rsidRPr="00B54C82" w:rsidRDefault="00B54C82" w:rsidP="00B54C82">
      <w:pPr>
        <w:spacing w:after="0" w:line="240" w:lineRule="auto"/>
        <w:rPr>
          <w:rFonts w:ascii="Courier New" w:hAnsi="Courier New" w:cs="Courier New"/>
        </w:rPr>
      </w:pPr>
    </w:p>
    <w:p w14:paraId="655D70A2" w14:textId="5305F78B"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Data Brokers and Consent</w:t>
      </w:r>
    </w:p>
    <w:p w14:paraId="4CB6F16F" w14:textId="57D78708"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The examination describes specialized data brokers as entities that quietly harvest, cross-reference, and trade large amounts of individual data. The statement incorrectly claims that they are legally required to obtain direct, explicit opt-in consent before doing so.</w:t>
      </w:r>
    </w:p>
    <w:p w14:paraId="21590F76" w14:textId="77777777" w:rsidR="00B54C82" w:rsidRPr="00B54C82" w:rsidRDefault="00B54C82" w:rsidP="00B54C82">
      <w:pPr>
        <w:spacing w:after="0" w:line="240" w:lineRule="auto"/>
        <w:rPr>
          <w:rFonts w:ascii="Courier New" w:hAnsi="Courier New" w:cs="Courier New"/>
        </w:rPr>
      </w:pPr>
    </w:p>
    <w:p w14:paraId="70B2D710" w14:textId="18DF40B9"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Copyright and Software Ideas</w:t>
      </w:r>
    </w:p>
    <w:p w14:paraId="17F17FAB" w14:textId="02174FA3"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Copyright protects the specific creative expression of software, such as source code, rather than the underlying functional idea or concept. This is the Idea vs. Expression Dichotomy.</w:t>
      </w:r>
    </w:p>
    <w:p w14:paraId="26BB8A88" w14:textId="77777777" w:rsidR="00B54C82" w:rsidRPr="00B54C82" w:rsidRDefault="00B54C82" w:rsidP="00B54C82">
      <w:pPr>
        <w:spacing w:after="0" w:line="240" w:lineRule="auto"/>
        <w:rPr>
          <w:rFonts w:ascii="Courier New" w:hAnsi="Courier New" w:cs="Courier New"/>
        </w:rPr>
      </w:pPr>
    </w:p>
    <w:p w14:paraId="03BE3ADB" w14:textId="4496864E"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Children's Online Privacy Protection Act (COPPA)</w:t>
      </w:r>
    </w:p>
    <w:p w14:paraId="33E4A6EC" w14:textId="0A9CFEC9"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TRUE. COPPA requires verifiable parental consent before collecting personal information online from children under 13 years old.</w:t>
      </w:r>
    </w:p>
    <w:p w14:paraId="65E46A86" w14:textId="77777777" w:rsidR="00B54C82" w:rsidRPr="00B54C82" w:rsidRDefault="00B54C82" w:rsidP="00B54C82">
      <w:pPr>
        <w:spacing w:after="0" w:line="240" w:lineRule="auto"/>
        <w:rPr>
          <w:rFonts w:ascii="Courier New" w:hAnsi="Courier New" w:cs="Courier New"/>
        </w:rPr>
      </w:pPr>
    </w:p>
    <w:p w14:paraId="06D778C4" w14:textId="5CD4BB75"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Web Content Accessibility Guidelines (WCAG)</w:t>
      </w:r>
    </w:p>
    <w:p w14:paraId="1340A1C4" w14:textId="6E46C8D2"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WCAG is important for government and public-facing web services because accessibility helps accommodate users with physical, visual, sensory, and cognitive impairments. Accessibility should not be treated as unnecessary.</w:t>
      </w:r>
    </w:p>
    <w:p w14:paraId="318A9646" w14:textId="77777777" w:rsidR="00B54C82" w:rsidRPr="00B54C82" w:rsidRDefault="00B54C82" w:rsidP="00B54C82">
      <w:pPr>
        <w:spacing w:after="0" w:line="240" w:lineRule="auto"/>
        <w:rPr>
          <w:rFonts w:ascii="Courier New" w:hAnsi="Courier New" w:cs="Courier New"/>
        </w:rPr>
      </w:pPr>
    </w:p>
    <w:p w14:paraId="2CB3CC81" w14:textId="67130008"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 xml:space="preserve">Software </w:t>
      </w:r>
      <w:proofErr w:type="spellStart"/>
      <w:r w:rsidRPr="00B54C82">
        <w:rPr>
          <w:rFonts w:ascii="Courier New" w:hAnsi="Courier New" w:cs="Courier New"/>
          <w:b/>
          <w:bCs/>
        </w:rPr>
        <w:t>Decompilation</w:t>
      </w:r>
      <w:proofErr w:type="spellEnd"/>
      <w:r w:rsidRPr="00B54C82">
        <w:rPr>
          <w:rFonts w:ascii="Courier New" w:hAnsi="Courier New" w:cs="Courier New"/>
          <w:b/>
          <w:bCs/>
        </w:rPr>
        <w:t xml:space="preserve"> and Fair Use</w:t>
      </w:r>
    </w:p>
    <w:p w14:paraId="08B938E0" w14:textId="7C6F309A"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 xml:space="preserve">The statement is TRUE. Under the examination's treatment of RA 8293 Section 185.1, software </w:t>
      </w:r>
      <w:proofErr w:type="spellStart"/>
      <w:r w:rsidRPr="00B54C82">
        <w:rPr>
          <w:rFonts w:ascii="Courier New" w:hAnsi="Courier New" w:cs="Courier New"/>
        </w:rPr>
        <w:t>decompilation</w:t>
      </w:r>
      <w:proofErr w:type="spellEnd"/>
      <w:r w:rsidRPr="00B54C82">
        <w:rPr>
          <w:rFonts w:ascii="Courier New" w:hAnsi="Courier New" w:cs="Courier New"/>
        </w:rPr>
        <w:t xml:space="preserve"> or reverse engineering undertaken solely to achieve interoperability of an independently created computer program can constitute Fair Use.</w:t>
      </w:r>
    </w:p>
    <w:p w14:paraId="44C78BD8" w14:textId="77777777" w:rsidR="00B54C82" w:rsidRPr="00B54C82" w:rsidRDefault="00B54C82" w:rsidP="00B54C82">
      <w:pPr>
        <w:spacing w:after="0" w:line="240" w:lineRule="auto"/>
        <w:rPr>
          <w:rFonts w:ascii="Courier New" w:hAnsi="Courier New" w:cs="Courier New"/>
        </w:rPr>
      </w:pPr>
    </w:p>
    <w:p w14:paraId="364CA63A" w14:textId="45CF336F"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Explainable Artificial Intelligence (XAI)</w:t>
      </w:r>
    </w:p>
    <w:p w14:paraId="3591C0DC" w14:textId="2A47F6C7"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TRUE. Explainable AI aims to make decisions produced by "black box" machine-learning systems understandable and auditable by humans.</w:t>
      </w:r>
    </w:p>
    <w:p w14:paraId="33A07DD5" w14:textId="77777777" w:rsidR="00B54C82" w:rsidRPr="00B54C82" w:rsidRDefault="00B54C82" w:rsidP="00B54C82">
      <w:pPr>
        <w:spacing w:after="0" w:line="240" w:lineRule="auto"/>
        <w:rPr>
          <w:rFonts w:ascii="Courier New" w:hAnsi="Courier New" w:cs="Courier New"/>
        </w:rPr>
      </w:pPr>
    </w:p>
    <w:p w14:paraId="2F0819EA" w14:textId="517FF969"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Privacy as Default</w:t>
      </w:r>
    </w:p>
    <w:p w14:paraId="64D6EF10" w14:textId="743E3D7B" w:rsidR="00B54C82"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FALSE. Under Privacy as Default, systems should automatically provide maximum privacy protection without requiring users to manually configure privacy settings.</w:t>
      </w:r>
    </w:p>
    <w:p w14:paraId="249E167A" w14:textId="77777777" w:rsidR="00B54C82" w:rsidRPr="00B54C82" w:rsidRDefault="00B54C82" w:rsidP="00B54C82">
      <w:pPr>
        <w:spacing w:after="0" w:line="240" w:lineRule="auto"/>
        <w:rPr>
          <w:rFonts w:ascii="Courier New" w:hAnsi="Courier New" w:cs="Courier New"/>
        </w:rPr>
      </w:pPr>
    </w:p>
    <w:p w14:paraId="5FD0FBBE" w14:textId="106B458D" w:rsidR="00B54C82" w:rsidRPr="00B54C82" w:rsidRDefault="00B54C82" w:rsidP="00B54C82">
      <w:pPr>
        <w:spacing w:after="0" w:line="240" w:lineRule="auto"/>
        <w:rPr>
          <w:rFonts w:ascii="Courier New" w:hAnsi="Courier New" w:cs="Courier New"/>
          <w:b/>
          <w:bCs/>
        </w:rPr>
      </w:pPr>
      <w:r w:rsidRPr="00B54C82">
        <w:rPr>
          <w:rFonts w:ascii="Courier New" w:hAnsi="Courier New" w:cs="Courier New"/>
          <w:b/>
          <w:bCs/>
        </w:rPr>
        <w:t>Copyright Protection of Open-Source Software</w:t>
      </w:r>
    </w:p>
    <w:p w14:paraId="1B51A255" w14:textId="0E3A7872" w:rsidR="00771E48" w:rsidRPr="00B54C82" w:rsidRDefault="00B54C82" w:rsidP="00B54C82">
      <w:pPr>
        <w:spacing w:after="0" w:line="240" w:lineRule="auto"/>
        <w:rPr>
          <w:rFonts w:ascii="Courier New" w:hAnsi="Courier New" w:cs="Courier New"/>
        </w:rPr>
      </w:pPr>
      <w:r>
        <w:rPr>
          <w:rFonts w:ascii="Courier New" w:hAnsi="Courier New" w:cs="Courier New"/>
        </w:rPr>
        <w:t xml:space="preserve">- </w:t>
      </w:r>
      <w:r w:rsidRPr="00B54C82">
        <w:rPr>
          <w:rFonts w:ascii="Courier New" w:hAnsi="Courier New" w:cs="Courier New"/>
        </w:rPr>
        <w:t>The statement is TRUE. Open-source software remains protected by copyright and is distributed under specific binding license terms. Open source does not mean that the software is free from copyright protection.</w:t>
      </w:r>
    </w:p>
    <w:p w14:paraId="66963C52" w14:textId="77777777" w:rsidR="00B54C82" w:rsidRDefault="00B54C82" w:rsidP="00B54C82">
      <w:pPr>
        <w:spacing w:after="0" w:line="240" w:lineRule="auto"/>
        <w:rPr>
          <w:rFonts w:ascii="Courier New" w:hAnsi="Courier New" w:cs="Courier New"/>
        </w:rPr>
      </w:pPr>
    </w:p>
    <w:p w14:paraId="6E31C3FE" w14:textId="097CAAB1" w:rsidR="00BE2562" w:rsidRPr="00BE2562" w:rsidRDefault="00BE2562" w:rsidP="00771E48">
      <w:pPr>
        <w:spacing w:after="0" w:line="240" w:lineRule="auto"/>
        <w:rPr>
          <w:rFonts w:ascii="Courier New" w:hAnsi="Courier New" w:cs="Courier New"/>
          <w:b/>
          <w:bCs/>
          <w:sz w:val="28"/>
          <w:szCs w:val="28"/>
        </w:rPr>
      </w:pPr>
      <w:r w:rsidRPr="00BE2562">
        <w:rPr>
          <w:rFonts w:ascii="Courier New" w:hAnsi="Courier New" w:cs="Courier New"/>
          <w:b/>
          <w:bCs/>
          <w:sz w:val="28"/>
          <w:szCs w:val="28"/>
        </w:rPr>
        <w:t>Enumeration</w:t>
      </w:r>
    </w:p>
    <w:p w14:paraId="0FF5D9C9" w14:textId="77777777" w:rsidR="00BE2562" w:rsidRDefault="00BE2562" w:rsidP="00771E48">
      <w:pPr>
        <w:spacing w:after="0" w:line="240" w:lineRule="auto"/>
        <w:rPr>
          <w:rFonts w:ascii="Courier New" w:hAnsi="Courier New" w:cs="Courier New"/>
        </w:rPr>
      </w:pPr>
    </w:p>
    <w:p w14:paraId="4E21CC5E" w14:textId="307DD534" w:rsidR="00B54C82" w:rsidRDefault="00B54C82" w:rsidP="00B54C82">
      <w:pPr>
        <w:spacing w:after="0" w:line="240" w:lineRule="auto"/>
        <w:rPr>
          <w:rFonts w:ascii="Courier New" w:hAnsi="Courier New" w:cs="Courier New"/>
        </w:rPr>
      </w:pPr>
      <w:r>
        <w:rPr>
          <w:rFonts w:ascii="Courier New" w:hAnsi="Courier New" w:cs="Courier New"/>
        </w:rPr>
        <w:t>C</w:t>
      </w:r>
      <w:r w:rsidRPr="00B54C82">
        <w:rPr>
          <w:rFonts w:ascii="Courier New" w:hAnsi="Courier New" w:cs="Courier New"/>
        </w:rPr>
        <w:t>ore principles or imperatives outlined in the ACM/IEEE Code of Ethics</w:t>
      </w:r>
    </w:p>
    <w:p w14:paraId="41E07269" w14:textId="19C5A398" w:rsidR="00B54C82" w:rsidRPr="00B54C82" w:rsidRDefault="00B54C82" w:rsidP="00B54C82">
      <w:pPr>
        <w:pStyle w:val="ListParagraph"/>
        <w:numPr>
          <w:ilvl w:val="0"/>
          <w:numId w:val="6"/>
        </w:numPr>
        <w:spacing w:after="0" w:line="240" w:lineRule="auto"/>
        <w:rPr>
          <w:rFonts w:ascii="Courier New" w:hAnsi="Courier New" w:cs="Courier New"/>
        </w:rPr>
      </w:pPr>
      <w:r w:rsidRPr="00B54C82">
        <w:rPr>
          <w:rFonts w:ascii="Courier New" w:hAnsi="Courier New" w:cs="Courier New"/>
        </w:rPr>
        <w:t>Avoid Harm</w:t>
      </w:r>
    </w:p>
    <w:p w14:paraId="5A91FD6F" w14:textId="6D0CD64A" w:rsidR="00B54C82" w:rsidRPr="00B54C82" w:rsidRDefault="00B54C82" w:rsidP="00B54C82">
      <w:pPr>
        <w:pStyle w:val="ListParagraph"/>
        <w:numPr>
          <w:ilvl w:val="0"/>
          <w:numId w:val="6"/>
        </w:numPr>
        <w:spacing w:after="0" w:line="240" w:lineRule="auto"/>
        <w:rPr>
          <w:rFonts w:ascii="Courier New" w:hAnsi="Courier New" w:cs="Courier New"/>
        </w:rPr>
      </w:pPr>
      <w:r w:rsidRPr="00B54C82">
        <w:rPr>
          <w:rFonts w:ascii="Courier New" w:hAnsi="Courier New" w:cs="Courier New"/>
        </w:rPr>
        <w:t>Honesty and Transparency</w:t>
      </w:r>
    </w:p>
    <w:p w14:paraId="2DB47C9E" w14:textId="069054F2" w:rsidR="00B54C82" w:rsidRPr="00B54C82" w:rsidRDefault="00B54C82" w:rsidP="00B54C82">
      <w:pPr>
        <w:pStyle w:val="ListParagraph"/>
        <w:numPr>
          <w:ilvl w:val="0"/>
          <w:numId w:val="6"/>
        </w:numPr>
        <w:spacing w:after="0" w:line="240" w:lineRule="auto"/>
        <w:rPr>
          <w:rFonts w:ascii="Courier New" w:hAnsi="Courier New" w:cs="Courier New"/>
        </w:rPr>
      </w:pPr>
      <w:r w:rsidRPr="00B54C82">
        <w:rPr>
          <w:rFonts w:ascii="Courier New" w:hAnsi="Courier New" w:cs="Courier New"/>
        </w:rPr>
        <w:t>Professional Competence / Respect Privacy</w:t>
      </w:r>
    </w:p>
    <w:p w14:paraId="001D8574" w14:textId="64D69F4D" w:rsidR="00B54C82" w:rsidRPr="00B54C82" w:rsidRDefault="00B54C82" w:rsidP="00B54C82">
      <w:pPr>
        <w:pStyle w:val="ListParagraph"/>
        <w:numPr>
          <w:ilvl w:val="0"/>
          <w:numId w:val="6"/>
        </w:numPr>
        <w:spacing w:after="0" w:line="240" w:lineRule="auto"/>
        <w:rPr>
          <w:rFonts w:ascii="Courier New" w:hAnsi="Courier New" w:cs="Courier New"/>
        </w:rPr>
      </w:pPr>
      <w:r w:rsidRPr="00B54C82">
        <w:rPr>
          <w:rFonts w:ascii="Courier New" w:hAnsi="Courier New" w:cs="Courier New"/>
        </w:rPr>
        <w:t>Public Good / Public Welfare First</w:t>
      </w:r>
    </w:p>
    <w:p w14:paraId="079574A2" w14:textId="77777777" w:rsidR="00B54C82" w:rsidRDefault="00B54C82" w:rsidP="00B54C82">
      <w:pPr>
        <w:spacing w:after="0" w:line="240" w:lineRule="auto"/>
        <w:rPr>
          <w:rFonts w:ascii="Courier New" w:hAnsi="Courier New" w:cs="Courier New"/>
        </w:rPr>
      </w:pPr>
    </w:p>
    <w:p w14:paraId="5BDF6F6C" w14:textId="4AE01A4C" w:rsidR="00B54C82" w:rsidRPr="00B54C82" w:rsidRDefault="00B54C82" w:rsidP="00B54C82">
      <w:pPr>
        <w:spacing w:after="0" w:line="240" w:lineRule="auto"/>
        <w:rPr>
          <w:rFonts w:ascii="Courier New" w:hAnsi="Courier New" w:cs="Courier New"/>
        </w:rPr>
      </w:pPr>
      <w:r>
        <w:rPr>
          <w:rFonts w:ascii="Courier New" w:hAnsi="Courier New" w:cs="Courier New"/>
        </w:rPr>
        <w:lastRenderedPageBreak/>
        <w:t>D</w:t>
      </w:r>
      <w:r w:rsidRPr="00B54C82">
        <w:rPr>
          <w:rFonts w:ascii="Courier New" w:hAnsi="Courier New" w:cs="Courier New"/>
        </w:rPr>
        <w:t>istinct Types of Privacy</w:t>
      </w:r>
    </w:p>
    <w:p w14:paraId="0BA814E4" w14:textId="125DC46E"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Informational Privacy</w:t>
      </w:r>
    </w:p>
    <w:p w14:paraId="4A362CDC" w14:textId="32457C3D"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Physical Privacy</w:t>
      </w:r>
    </w:p>
    <w:p w14:paraId="1B63CDCB" w14:textId="2EBC068E"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Decisional Privacy</w:t>
      </w:r>
    </w:p>
    <w:p w14:paraId="5EDA9779" w14:textId="7E54399E" w:rsid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Spatial / Locational Privacy</w:t>
      </w:r>
    </w:p>
    <w:p w14:paraId="62E8CCD1" w14:textId="77777777" w:rsidR="00B54C82" w:rsidRDefault="00B54C82" w:rsidP="00B54C82">
      <w:pPr>
        <w:spacing w:after="0" w:line="240" w:lineRule="auto"/>
        <w:rPr>
          <w:rFonts w:ascii="Courier New" w:hAnsi="Courier New" w:cs="Courier New"/>
        </w:rPr>
      </w:pPr>
    </w:p>
    <w:p w14:paraId="12D27FB3" w14:textId="3A7B6045" w:rsidR="00B54C82" w:rsidRPr="00B54C82" w:rsidRDefault="00B54C82" w:rsidP="00B54C82">
      <w:pPr>
        <w:spacing w:after="0" w:line="240" w:lineRule="auto"/>
        <w:rPr>
          <w:rFonts w:ascii="Courier New" w:hAnsi="Courier New" w:cs="Courier New"/>
        </w:rPr>
      </w:pPr>
      <w:r w:rsidRPr="00B54C82">
        <w:rPr>
          <w:rFonts w:ascii="Courier New" w:hAnsi="Courier New" w:cs="Courier New"/>
        </w:rPr>
        <w:t>Privacy-Enhancing Technologies (PETs)</w:t>
      </w:r>
    </w:p>
    <w:p w14:paraId="02F1D5AD" w14:textId="4F5E1430"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End-to-End Encryption (E2EE)</w:t>
      </w:r>
    </w:p>
    <w:p w14:paraId="129F03B9" w14:textId="74BFAAE5"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Zero-Knowledge Proofs (ZKPs)</w:t>
      </w:r>
    </w:p>
    <w:p w14:paraId="795E9AAF" w14:textId="7385A0FC"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Differential Privacy / Onion Routing (Tor)</w:t>
      </w:r>
    </w:p>
    <w:p w14:paraId="3D61318C" w14:textId="77777777" w:rsidR="00B54C82" w:rsidRDefault="00B54C82" w:rsidP="00B54C82">
      <w:pPr>
        <w:spacing w:after="0" w:line="240" w:lineRule="auto"/>
        <w:rPr>
          <w:rFonts w:ascii="Courier New" w:hAnsi="Courier New" w:cs="Courier New"/>
        </w:rPr>
      </w:pPr>
    </w:p>
    <w:p w14:paraId="5D672A66" w14:textId="721453C4" w:rsidR="00B54C82" w:rsidRPr="00B54C82" w:rsidRDefault="00B54C82" w:rsidP="00B54C82">
      <w:pPr>
        <w:spacing w:after="0" w:line="240" w:lineRule="auto"/>
        <w:rPr>
          <w:rFonts w:ascii="Courier New" w:hAnsi="Courier New" w:cs="Courier New"/>
        </w:rPr>
      </w:pPr>
      <w:r>
        <w:rPr>
          <w:rFonts w:ascii="Courier New" w:hAnsi="Courier New" w:cs="Courier New"/>
        </w:rPr>
        <w:t>M</w:t>
      </w:r>
      <w:r w:rsidRPr="00B54C82">
        <w:rPr>
          <w:rFonts w:ascii="Courier New" w:hAnsi="Courier New" w:cs="Courier New"/>
        </w:rPr>
        <w:t>ain legal mechanisms of Intellectual Property Protection in IT (C-P-T-T)</w:t>
      </w:r>
    </w:p>
    <w:p w14:paraId="54B69901" w14:textId="51D77ADD"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Copyright</w:t>
      </w:r>
    </w:p>
    <w:p w14:paraId="7C18B0B3" w14:textId="07CA087C"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Patent</w:t>
      </w:r>
    </w:p>
    <w:p w14:paraId="5A3FAE19" w14:textId="7BFC81AC"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Trademark</w:t>
      </w:r>
    </w:p>
    <w:p w14:paraId="5806E4A6" w14:textId="11A80A95"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Trade Secret</w:t>
      </w:r>
    </w:p>
    <w:p w14:paraId="1B7E9FE7" w14:textId="77777777" w:rsidR="00B54C82" w:rsidRDefault="00B54C82" w:rsidP="00B54C82">
      <w:pPr>
        <w:spacing w:after="0" w:line="240" w:lineRule="auto"/>
        <w:rPr>
          <w:rFonts w:ascii="Courier New" w:hAnsi="Courier New" w:cs="Courier New"/>
        </w:rPr>
      </w:pPr>
    </w:p>
    <w:p w14:paraId="4542ED32" w14:textId="33D6A4ED" w:rsidR="00B54C82" w:rsidRPr="00B54C82" w:rsidRDefault="00B54C82" w:rsidP="00B54C82">
      <w:pPr>
        <w:spacing w:after="0" w:line="240" w:lineRule="auto"/>
        <w:rPr>
          <w:rFonts w:ascii="Courier New" w:hAnsi="Courier New" w:cs="Courier New"/>
        </w:rPr>
      </w:pPr>
      <w:r>
        <w:rPr>
          <w:rFonts w:ascii="Courier New" w:hAnsi="Courier New" w:cs="Courier New"/>
        </w:rPr>
        <w:t>S</w:t>
      </w:r>
      <w:r w:rsidRPr="00B54C82">
        <w:rPr>
          <w:rFonts w:ascii="Courier New" w:hAnsi="Courier New" w:cs="Courier New"/>
        </w:rPr>
        <w:t>tatutory legal requirements for an invention to be granted a Patent</w:t>
      </w:r>
    </w:p>
    <w:p w14:paraId="63C93476" w14:textId="6D54EB97"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Novelty (Newness)</w:t>
      </w:r>
    </w:p>
    <w:p w14:paraId="38EE8103" w14:textId="57E04DCD"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Inventive Step / Non-obviousness</w:t>
      </w:r>
    </w:p>
    <w:p w14:paraId="30D82A61" w14:textId="2DC768EC"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Industrial Applicability / Utility</w:t>
      </w:r>
    </w:p>
    <w:p w14:paraId="6FDEA05B" w14:textId="77777777" w:rsidR="00B54C82" w:rsidRDefault="00B54C82" w:rsidP="00B54C82">
      <w:pPr>
        <w:spacing w:after="0" w:line="240" w:lineRule="auto"/>
        <w:rPr>
          <w:rFonts w:ascii="Courier New" w:hAnsi="Courier New" w:cs="Courier New"/>
        </w:rPr>
      </w:pPr>
    </w:p>
    <w:p w14:paraId="6B02B62D" w14:textId="368A84F7" w:rsidR="00B54C82" w:rsidRPr="00B54C82" w:rsidRDefault="00B54C82" w:rsidP="00B54C82">
      <w:pPr>
        <w:spacing w:after="0" w:line="240" w:lineRule="auto"/>
        <w:rPr>
          <w:rFonts w:ascii="Courier New" w:hAnsi="Courier New" w:cs="Courier New"/>
        </w:rPr>
      </w:pPr>
      <w:r>
        <w:rPr>
          <w:rFonts w:ascii="Courier New" w:hAnsi="Courier New" w:cs="Courier New"/>
        </w:rPr>
        <w:t>P</w:t>
      </w:r>
      <w:r w:rsidRPr="00B54C82">
        <w:rPr>
          <w:rFonts w:ascii="Courier New" w:hAnsi="Courier New" w:cs="Courier New"/>
        </w:rPr>
        <w:t>rominent examples of Permissive Open-Source Software Licenses</w:t>
      </w:r>
    </w:p>
    <w:p w14:paraId="4ABAAA16" w14:textId="18471527" w:rsidR="00B54C82" w:rsidRPr="00B54C8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MIT License</w:t>
      </w:r>
    </w:p>
    <w:p w14:paraId="6A984FA0" w14:textId="4C5FDB86" w:rsidR="00BE2562" w:rsidRPr="00BE2562" w:rsidRDefault="00B54C82" w:rsidP="00B54C82">
      <w:pPr>
        <w:pStyle w:val="ListParagraph"/>
        <w:numPr>
          <w:ilvl w:val="0"/>
          <w:numId w:val="1"/>
        </w:numPr>
        <w:spacing w:after="0" w:line="240" w:lineRule="auto"/>
        <w:rPr>
          <w:rFonts w:ascii="Courier New" w:hAnsi="Courier New" w:cs="Courier New"/>
        </w:rPr>
      </w:pPr>
      <w:r w:rsidRPr="00B54C82">
        <w:rPr>
          <w:rFonts w:ascii="Courier New" w:hAnsi="Courier New" w:cs="Courier New"/>
        </w:rPr>
        <w:t>Apache License 2.0 / BSD License</w:t>
      </w:r>
    </w:p>
    <w:sectPr w:rsidR="00BE2562" w:rsidRPr="00BE2562" w:rsidSect="00B46112">
      <w:pgSz w:w="12240" w:h="15840"/>
      <w:pgMar w:top="284" w:right="474"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05A"/>
    <w:multiLevelType w:val="hybridMultilevel"/>
    <w:tmpl w:val="576428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D6D1DFB"/>
    <w:multiLevelType w:val="hybridMultilevel"/>
    <w:tmpl w:val="D4A096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F5476B2"/>
    <w:multiLevelType w:val="hybridMultilevel"/>
    <w:tmpl w:val="CB866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07703BA"/>
    <w:multiLevelType w:val="hybridMultilevel"/>
    <w:tmpl w:val="5016C5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51CA08DE"/>
    <w:multiLevelType w:val="hybridMultilevel"/>
    <w:tmpl w:val="AB289E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33B71DB"/>
    <w:multiLevelType w:val="hybridMultilevel"/>
    <w:tmpl w:val="5E5088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46055295">
    <w:abstractNumId w:val="2"/>
  </w:num>
  <w:num w:numId="2" w16cid:durableId="741412715">
    <w:abstractNumId w:val="1"/>
  </w:num>
  <w:num w:numId="3" w16cid:durableId="48261650">
    <w:abstractNumId w:val="0"/>
  </w:num>
  <w:num w:numId="4" w16cid:durableId="1416590645">
    <w:abstractNumId w:val="3"/>
  </w:num>
  <w:num w:numId="5" w16cid:durableId="1285768109">
    <w:abstractNumId w:val="5"/>
  </w:num>
  <w:num w:numId="6" w16cid:durableId="1490750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112"/>
    <w:rsid w:val="001A5AE9"/>
    <w:rsid w:val="00350C18"/>
    <w:rsid w:val="004D3663"/>
    <w:rsid w:val="005C7EFA"/>
    <w:rsid w:val="00704453"/>
    <w:rsid w:val="00771E48"/>
    <w:rsid w:val="00854286"/>
    <w:rsid w:val="0093301E"/>
    <w:rsid w:val="00AA74DC"/>
    <w:rsid w:val="00B46112"/>
    <w:rsid w:val="00B54C82"/>
    <w:rsid w:val="00BE25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63BAF"/>
  <w15:chartTrackingRefBased/>
  <w15:docId w15:val="{24843C07-0BD7-43F1-A17F-A5BC79B7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1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1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1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1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1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1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1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1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1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1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112"/>
    <w:rPr>
      <w:rFonts w:eastAsiaTheme="majorEastAsia" w:cstheme="majorBidi"/>
      <w:color w:val="272727" w:themeColor="text1" w:themeTint="D8"/>
    </w:rPr>
  </w:style>
  <w:style w:type="paragraph" w:styleId="Title">
    <w:name w:val="Title"/>
    <w:basedOn w:val="Normal"/>
    <w:next w:val="Normal"/>
    <w:link w:val="TitleChar"/>
    <w:uiPriority w:val="10"/>
    <w:qFormat/>
    <w:rsid w:val="00B46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112"/>
    <w:pPr>
      <w:spacing w:before="160"/>
      <w:jc w:val="center"/>
    </w:pPr>
    <w:rPr>
      <w:i/>
      <w:iCs/>
      <w:color w:val="404040" w:themeColor="text1" w:themeTint="BF"/>
    </w:rPr>
  </w:style>
  <w:style w:type="character" w:customStyle="1" w:styleId="QuoteChar">
    <w:name w:val="Quote Char"/>
    <w:basedOn w:val="DefaultParagraphFont"/>
    <w:link w:val="Quote"/>
    <w:uiPriority w:val="29"/>
    <w:rsid w:val="00B46112"/>
    <w:rPr>
      <w:i/>
      <w:iCs/>
      <w:color w:val="404040" w:themeColor="text1" w:themeTint="BF"/>
    </w:rPr>
  </w:style>
  <w:style w:type="paragraph" w:styleId="ListParagraph">
    <w:name w:val="List Paragraph"/>
    <w:basedOn w:val="Normal"/>
    <w:uiPriority w:val="34"/>
    <w:qFormat/>
    <w:rsid w:val="00B46112"/>
    <w:pPr>
      <w:ind w:left="720"/>
      <w:contextualSpacing/>
    </w:pPr>
  </w:style>
  <w:style w:type="character" w:styleId="IntenseEmphasis">
    <w:name w:val="Intense Emphasis"/>
    <w:basedOn w:val="DefaultParagraphFont"/>
    <w:uiPriority w:val="21"/>
    <w:qFormat/>
    <w:rsid w:val="00B46112"/>
    <w:rPr>
      <w:i/>
      <w:iCs/>
      <w:color w:val="2F5496" w:themeColor="accent1" w:themeShade="BF"/>
    </w:rPr>
  </w:style>
  <w:style w:type="paragraph" w:styleId="IntenseQuote">
    <w:name w:val="Intense Quote"/>
    <w:basedOn w:val="Normal"/>
    <w:next w:val="Normal"/>
    <w:link w:val="IntenseQuoteChar"/>
    <w:uiPriority w:val="30"/>
    <w:qFormat/>
    <w:rsid w:val="00B461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112"/>
    <w:rPr>
      <w:i/>
      <w:iCs/>
      <w:color w:val="2F5496" w:themeColor="accent1" w:themeShade="BF"/>
    </w:rPr>
  </w:style>
  <w:style w:type="character" w:styleId="IntenseReference">
    <w:name w:val="Intense Reference"/>
    <w:basedOn w:val="DefaultParagraphFont"/>
    <w:uiPriority w:val="32"/>
    <w:qFormat/>
    <w:rsid w:val="00B461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2789</Words>
  <Characters>15900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 INTERN</dc:creator>
  <cp:keywords/>
  <dc:description/>
  <cp:lastModifiedBy>ITD INTERN</cp:lastModifiedBy>
  <cp:revision>2</cp:revision>
  <dcterms:created xsi:type="dcterms:W3CDTF">2026-10-03T02:12:00Z</dcterms:created>
  <dcterms:modified xsi:type="dcterms:W3CDTF">2026-10-06T03:24:00Z</dcterms:modified>
</cp:coreProperties>
</file>