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Experiment Title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Rahul Kumar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ab/>
        <w:t xml:space="preserve">          UID: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19BCS8016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                                        Section/Group: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Date of 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July 2020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Design &amp; Analysis of Algorithms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Subject Code: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CSP-309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to compute the greatest common divisor(GCD) of two numbers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Euclid’s algorithm to calculate the greatest common divisor(GCD)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Algorithm/Flowchart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(For programming based labs)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Step1: if n==0,return m and stop;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Otherwise go to step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Step2: Divide m by n and assign the value of the remainder to 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Step3: Assign the value n to m and value of r to 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go to step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While n=! 0 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</w:t>
        <w:tab/>
        <w:t xml:space="preserve">R&lt;-m mod 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m&lt;-n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n&lt;-r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return 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euclid(x, y): 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while(y): 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x, y = y, x % y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x 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60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 24 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prints value or r now....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("The gcd of 60 and 24 is : ",end="") 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(euclid(60,24))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Observations/Discussions/ Complexity Analysis: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Middle-school  procedure complexity is 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√n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Consecutive integer checking method complexity is O(n)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Euclid’s method complexity is O(log n)  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Result/Output/Writing Summary: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41092" cy="24688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092" cy="246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58000" cy="21863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Learn that how to program euclid’s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quickly find the GCD of 2 integers using this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will take less time complexity ( O(log 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pageBreakBefore w:val="0"/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5" name="image5.jpg"/>
          <a:graphic>
            <a:graphicData uri="http://schemas.openxmlformats.org/drawingml/2006/picture">
              <pic:pic>
                <pic:nvPicPr>
                  <pic:cNvPr descr="Footer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1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-453389</wp:posOffset>
          </wp:positionH>
          <wp:positionV relativeFrom="margin">
            <wp:posOffset>-453389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3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6" name="image6.jpg"/>
          <a:graphic>
            <a:graphicData uri="http://schemas.openxmlformats.org/drawingml/2006/picture">
              <pic:pic>
                <pic:nvPicPr>
                  <pic:cNvPr descr="Header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