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人力资源管理数据驾驶舱</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lang w:val="en-US" w:eastAsia="zh-CN"/>
        </w:rPr>
        <w:t>2026年5月末</w:t>
      </w:r>
      <w:r>
        <w:rPr>
          <w:rFonts w:hint="eastAsia" w:ascii="方正小标宋简体" w:hAnsi="方正小标宋简体" w:eastAsia="方正小标宋简体" w:cs="方正小标宋简体"/>
          <w:sz w:val="44"/>
          <w:szCs w:val="44"/>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组织架构情况</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截至目前，总行本部设立28个一级部门，总行直属机构设立2个一级部门、13 个二级部门。 </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楷体" w:hAnsi="楷体" w:eastAsia="楷体" w:cs="楷体"/>
          <w:sz w:val="32"/>
          <w:szCs w:val="32"/>
          <w:lang w:eastAsia="zh-CN"/>
        </w:rPr>
      </w:pPr>
      <w:r>
        <w:rPr>
          <w:rFonts w:hint="eastAsia" w:ascii="仿宋" w:hAnsi="仿宋" w:eastAsia="仿宋" w:cs="仿宋"/>
          <w:sz w:val="32"/>
          <w:szCs w:val="32"/>
          <w:lang w:val="en-US" w:eastAsia="zh-CN"/>
        </w:rPr>
        <w:t>全行设立24家分行级机构（含总行营业部、信用卡中心）；183家网点（</w:t>
      </w:r>
      <w:r>
        <w:rPr>
          <w:rFonts w:hint="eastAsia" w:ascii="仿宋" w:hAnsi="仿宋" w:eastAsia="仿宋" w:cs="仿宋"/>
          <w:sz w:val="32"/>
          <w:szCs w:val="32"/>
        </w:rPr>
        <w:t>其中正常对外营业179家，临时停业4家</w:t>
      </w:r>
      <w:r>
        <w:rPr>
          <w:rFonts w:hint="eastAsia" w:ascii="仿宋" w:hAnsi="仿宋" w:eastAsia="仿宋" w:cs="仿宋"/>
          <w:sz w:val="32"/>
          <w:szCs w:val="32"/>
          <w:lang w:val="en-US" w:eastAsia="zh-CN"/>
        </w:rPr>
        <w:t>），其中广州地区107家（行总行营业部1家、广州分行37家、海珠中心支行22家、天河中心支行14家、白云中心支行12家、开发区中心支行11家、增城中心支行4家、南沙分行5家、科技支行1家）；异地地区76家（深圳分行12家、南京分行9家、佛山分行12家、惠州分行7家、江门分行6家、中山分行8家，肇庆分行4家、东莞分行8家、横琴分行4家、清远分行2家、汕头分行1家、韶关分行1家、湛江分行1家、梅州分行1家）。</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楷体" w:hAnsi="楷体" w:eastAsia="楷体" w:cs="楷体"/>
          <w:sz w:val="32"/>
          <w:szCs w:val="32"/>
          <w:lang w:eastAsia="zh-CN"/>
        </w:rPr>
      </w:pPr>
      <w:r>
        <w:rPr>
          <w:rFonts w:hint="eastAsia" w:ascii="黑体" w:hAnsi="黑体" w:eastAsia="黑体" w:cs="黑体"/>
          <w:sz w:val="32"/>
          <w:szCs w:val="32"/>
          <w:lang w:eastAsia="zh-CN"/>
        </w:rPr>
        <w:t>二、员工基本情况</w:t>
      </w:r>
      <w:r>
        <w:rPr>
          <w:rFonts w:hint="eastAsia" w:ascii="楷体" w:hAnsi="楷体" w:eastAsia="楷体" w:cs="楷体"/>
          <w:sz w:val="32"/>
          <w:szCs w:val="32"/>
          <w:lang w:eastAsia="zh-CN"/>
        </w:rPr>
        <w:t>（口径：正式员工）</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本行</w:t>
      </w:r>
      <w:r>
        <w:rPr>
          <w:rFonts w:hint="eastAsia" w:ascii="仿宋" w:hAnsi="仿宋" w:eastAsia="仿宋" w:cs="仿宋"/>
          <w:sz w:val="32"/>
          <w:szCs w:val="32"/>
          <w:lang w:val="en-US" w:eastAsia="zh-CN"/>
        </w:rPr>
        <w:t>正式员工5901人（未含劳务派遣人员688人，含劳务派遣的合计总人数为6589人）。其中，总行机关716人，占比12.13%；总行直属机构476人，占比8.07%；经营机构4709人，占比79.80%。</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按前中后台划分，前台部门（包括分支行的网点正副行长、各类客户经理、客服经理、催收业务岗、直营直销中心，总行直营直销科室，不含信用卡中心） 3254人，中后台部门2372人，前台与中后台比例为1:0.73。</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本行在岗员工平均年龄36岁，其中30岁以下1526人，占比25.86%；31-40岁2851人，占比48.31%；41-50岁1123人，占比19.03%；51岁以上401人，占比6.80%。</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本行在岗男性员工2717人，女性员工3184人，男女比例为0.85:1。</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本行在岗员工硕士研究生及以上共1031人，占比17.47%；本科4514人，占比76.50%；专科326人，占比5.52%；专科以下30人，占比0.51%。</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全行客户经理共1692人（未含172名劳务派遣人员），其中</w:t>
      </w:r>
      <w:r>
        <w:rPr>
          <w:rFonts w:hint="default" w:ascii="仿宋" w:hAnsi="仿宋" w:eastAsia="仿宋" w:cs="仿宋"/>
          <w:sz w:val="32"/>
          <w:szCs w:val="32"/>
          <w:lang w:val="en-US" w:eastAsia="zh-CN"/>
        </w:rPr>
        <w:t>对公客户经理</w:t>
      </w:r>
      <w:r>
        <w:rPr>
          <w:rFonts w:hint="eastAsia" w:ascii="仿宋" w:hAnsi="仿宋" w:eastAsia="仿宋" w:cs="仿宋"/>
          <w:sz w:val="32"/>
          <w:szCs w:val="32"/>
          <w:lang w:val="en-US" w:eastAsia="zh-CN"/>
        </w:rPr>
        <w:t>850人，个人客户经理390人，个贷客户经理359人（未含172名劳务派遣人员），微贷客户经理93人；全行客服经理1165人，其中客服经理（非临柜）163人，客服经理（临柜）1002人。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三、人员优化情况</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楷体" w:hAnsi="楷体" w:eastAsia="楷体" w:cs="楷体"/>
          <w:sz w:val="32"/>
          <w:szCs w:val="32"/>
          <w:lang w:eastAsia="zh-CN"/>
        </w:rPr>
      </w:pPr>
      <w:r>
        <w:rPr>
          <w:rFonts w:hint="eastAsia" w:ascii="楷体" w:hAnsi="楷体" w:eastAsia="楷体" w:cs="楷体"/>
          <w:sz w:val="32"/>
          <w:szCs w:val="32"/>
          <w:lang w:eastAsia="zh-CN"/>
        </w:rPr>
        <w:t>（一）人才引进</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2026年以来，社招入职</w:t>
      </w:r>
      <w:r>
        <w:rPr>
          <w:rFonts w:hint="eastAsia" w:ascii="仿宋" w:hAnsi="仿宋" w:eastAsia="仿宋" w:cs="仿宋"/>
          <w:sz w:val="32"/>
          <w:szCs w:val="32"/>
          <w:lang w:val="en-US" w:eastAsia="zh-CN"/>
        </w:rPr>
        <w:t>34人，包括总行总经理助理级以上干部</w:t>
      </w:r>
      <w:r>
        <w:rPr>
          <w:rFonts w:hint="eastAsia" w:ascii="仿宋" w:hAnsi="仿宋" w:eastAsia="仿宋" w:cs="仿宋"/>
          <w:sz w:val="32"/>
          <w:szCs w:val="32"/>
          <w:lang w:val="en-US" w:eastAsia="zh-CN"/>
        </w:rPr>
        <w:t>2人，分支行部门班子4人，网点班子4人，各类客户经理9人，其他15人。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2026届校园招聘总体目标659人，目前已签约或签约中约721人，其中秋招约250人，春招约430人，微贷/特资约41人，一本及以上院校占比约73%（占比较去年提升7%）。其中总行管培生45人，总行金融科技岗54人，分行管培生112人，英才岗469人，微贷/特资定向41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楷体" w:hAnsi="楷体" w:eastAsia="楷体" w:cs="楷体"/>
          <w:sz w:val="32"/>
          <w:szCs w:val="32"/>
          <w:lang w:eastAsia="zh-CN"/>
        </w:rPr>
      </w:pPr>
      <w:r>
        <w:rPr>
          <w:rFonts w:hint="eastAsia" w:ascii="楷体" w:hAnsi="楷体" w:eastAsia="楷体" w:cs="楷体"/>
          <w:sz w:val="32"/>
          <w:szCs w:val="32"/>
          <w:lang w:eastAsia="zh-CN"/>
        </w:rPr>
        <w:t>（二）人员退出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2026年以来，全行累计退出</w:t>
      </w:r>
      <w:r>
        <w:rPr>
          <w:rFonts w:hint="eastAsia" w:ascii="仿宋" w:hAnsi="仿宋" w:eastAsia="仿宋" w:cs="仿宋"/>
          <w:sz w:val="32"/>
          <w:szCs w:val="32"/>
          <w:lang w:val="en-US" w:eastAsia="zh-CN"/>
        </w:rPr>
        <w:t>202人，分布如下：</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1.机构分布：总行机构及直属机构离职24人、退休6人；经营机构离职153人、退休19人。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2.职级分布：高管级人员退休1人（胡优华资深督导）；中层干部离职2人，员工离职175人、退休24人。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3.分支行“腾笼换鸟”情况：分支行全年退出任务410人，1-5月累计退出201人，任务完成率50%。其中： </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序时任务完成率排名前三：总营（295%）、惠州（259%）、东莞（255%）；</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任务完成量排名前三：广分（28人）、深圳（23人）、海珠（20人）；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序时任务完成率排名后三：佛山（44%）、汕头（48%）、广分（80%）。</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其中，绩差客户经理退出率目标50%，1-5月累计退出44人，占绩差客户经理总人数的46%。其中：</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退出率排名前三：开发区、南沙、江门、汕头、梅州（100%）；</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退出人数排名前三：深圳（8人）、东莞（7人）、海珠（6人）；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退出率排名后三：南京（20%）、中山（20%）、深圳（27%）。</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4.劳动</w:t>
      </w:r>
      <w:r>
        <w:rPr>
          <w:rFonts w:hint="default" w:ascii="仿宋" w:hAnsi="仿宋" w:eastAsia="仿宋" w:cs="仿宋"/>
          <w:sz w:val="32"/>
          <w:szCs w:val="32"/>
          <w:lang w:val="en-US" w:eastAsia="zh-CN"/>
        </w:rPr>
        <w:t>仲裁</w:t>
      </w:r>
      <w:r>
        <w:rPr>
          <w:rFonts w:hint="eastAsia" w:ascii="仿宋" w:hAnsi="仿宋" w:eastAsia="仿宋" w:cs="仿宋"/>
          <w:sz w:val="32"/>
          <w:szCs w:val="32"/>
          <w:lang w:val="en-US" w:eastAsia="zh-CN"/>
        </w:rPr>
        <w:t>情况：1-5月全行发生劳动仲裁</w:t>
      </w:r>
      <w:r>
        <w:rPr>
          <w:rFonts w:hint="default" w:ascii="仿宋" w:hAnsi="仿宋" w:eastAsia="仿宋" w:cs="仿宋"/>
          <w:sz w:val="32"/>
          <w:szCs w:val="32"/>
          <w:lang w:val="en-US" w:eastAsia="zh-CN"/>
        </w:rPr>
        <w:t>15人，其中已结案4人，进行中11人；已结案中</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我行胜</w:t>
      </w:r>
      <w:r>
        <w:rPr>
          <w:rFonts w:hint="eastAsia" w:ascii="仿宋" w:hAnsi="仿宋" w:eastAsia="仿宋" w:cs="仿宋"/>
          <w:sz w:val="32"/>
          <w:szCs w:val="32"/>
          <w:lang w:val="en-US" w:eastAsia="zh-CN"/>
        </w:rPr>
        <w:t>诉</w:t>
      </w:r>
      <w:r>
        <w:rPr>
          <w:rFonts w:hint="default" w:ascii="仿宋" w:hAnsi="仿宋" w:eastAsia="仿宋" w:cs="仿宋"/>
          <w:sz w:val="32"/>
          <w:szCs w:val="32"/>
          <w:lang w:val="en-US" w:eastAsia="zh-CN"/>
        </w:rPr>
        <w:t>2人</w:t>
      </w:r>
      <w:r>
        <w:rPr>
          <w:rFonts w:hint="eastAsia" w:ascii="仿宋" w:hAnsi="仿宋" w:eastAsia="仿宋" w:cs="仿宋"/>
          <w:sz w:val="32"/>
          <w:szCs w:val="32"/>
          <w:lang w:val="en-US" w:eastAsia="zh-CN"/>
        </w:rPr>
        <w:t>（广州分行、</w:t>
      </w:r>
      <w:r>
        <w:rPr>
          <w:rFonts w:hint="default" w:ascii="仿宋" w:hAnsi="仿宋" w:eastAsia="仿宋" w:cs="仿宋"/>
          <w:sz w:val="32"/>
          <w:szCs w:val="32"/>
          <w:lang w:val="en-US" w:eastAsia="zh-CN"/>
        </w:rPr>
        <w:t>信用卡</w:t>
      </w:r>
      <w:r>
        <w:rPr>
          <w:rFonts w:hint="eastAsia" w:ascii="仿宋" w:hAnsi="仿宋" w:eastAsia="仿宋" w:cs="仿宋"/>
          <w:sz w:val="32"/>
          <w:szCs w:val="32"/>
          <w:lang w:val="en-US" w:eastAsia="zh-CN"/>
        </w:rPr>
        <w:t>中心各</w:t>
      </w:r>
      <w:r>
        <w:rPr>
          <w:rFonts w:hint="default" w:ascii="仿宋" w:hAnsi="仿宋" w:eastAsia="仿宋" w:cs="仿宋"/>
          <w:sz w:val="32"/>
          <w:szCs w:val="32"/>
          <w:lang w:val="en-US" w:eastAsia="zh-CN"/>
        </w:rPr>
        <w:t>1人</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，败</w:t>
      </w:r>
      <w:r>
        <w:rPr>
          <w:rFonts w:hint="eastAsia" w:ascii="仿宋" w:hAnsi="仿宋" w:eastAsia="仿宋" w:cs="仿宋"/>
          <w:sz w:val="32"/>
          <w:szCs w:val="32"/>
          <w:lang w:val="en-US" w:eastAsia="zh-CN"/>
        </w:rPr>
        <w:t>诉</w:t>
      </w:r>
      <w:r>
        <w:rPr>
          <w:rFonts w:hint="default" w:ascii="仿宋" w:hAnsi="仿宋" w:eastAsia="仿宋" w:cs="仿宋"/>
          <w:sz w:val="32"/>
          <w:szCs w:val="32"/>
          <w:lang w:val="en-US" w:eastAsia="zh-CN"/>
        </w:rPr>
        <w:t>2人</w:t>
      </w:r>
      <w:r>
        <w:rPr>
          <w:rFonts w:hint="eastAsia" w:ascii="仿宋" w:hAnsi="仿宋" w:eastAsia="仿宋" w:cs="仿宋"/>
          <w:sz w:val="32"/>
          <w:szCs w:val="32"/>
          <w:lang w:val="en-US" w:eastAsia="zh-CN"/>
        </w:rPr>
        <w:t>（其中</w:t>
      </w:r>
      <w:r>
        <w:rPr>
          <w:rFonts w:hint="default" w:ascii="仿宋" w:hAnsi="仿宋" w:eastAsia="仿宋" w:cs="仿宋"/>
          <w:sz w:val="32"/>
          <w:szCs w:val="32"/>
          <w:lang w:val="en-US" w:eastAsia="zh-CN"/>
        </w:rPr>
        <w:t>汕头</w:t>
      </w:r>
      <w:r>
        <w:rPr>
          <w:rFonts w:hint="eastAsia" w:ascii="仿宋" w:hAnsi="仿宋" w:eastAsia="仿宋" w:cs="仿宋"/>
          <w:sz w:val="32"/>
          <w:szCs w:val="32"/>
          <w:lang w:val="en-US" w:eastAsia="zh-CN"/>
        </w:rPr>
        <w:t>分行1人，目前在劳动仲裁阶段，分行正安排上诉；</w:t>
      </w:r>
      <w:r>
        <w:rPr>
          <w:rFonts w:hint="default" w:ascii="仿宋" w:hAnsi="仿宋" w:eastAsia="仿宋" w:cs="仿宋"/>
          <w:sz w:val="32"/>
          <w:szCs w:val="32"/>
          <w:lang w:val="en-US" w:eastAsia="zh-CN"/>
        </w:rPr>
        <w:t>信用卡</w:t>
      </w:r>
      <w:r>
        <w:rPr>
          <w:rFonts w:hint="eastAsia" w:ascii="仿宋" w:hAnsi="仿宋" w:eastAsia="仿宋" w:cs="仿宋"/>
          <w:sz w:val="32"/>
          <w:szCs w:val="32"/>
          <w:lang w:val="en-US" w:eastAsia="zh-CN"/>
        </w:rPr>
        <w:t>中心</w:t>
      </w:r>
      <w:r>
        <w:rPr>
          <w:rFonts w:hint="default" w:ascii="仿宋" w:hAnsi="仿宋" w:eastAsia="仿宋" w:cs="仿宋"/>
          <w:sz w:val="32"/>
          <w:szCs w:val="32"/>
          <w:lang w:val="en-US" w:eastAsia="zh-CN"/>
        </w:rPr>
        <w:t>1人</w:t>
      </w:r>
      <w:r>
        <w:rPr>
          <w:rFonts w:hint="eastAsia" w:ascii="仿宋" w:hAnsi="仿宋" w:eastAsia="仿宋" w:cs="仿宋"/>
          <w:sz w:val="32"/>
          <w:szCs w:val="32"/>
          <w:lang w:val="en-US" w:eastAsia="zh-CN"/>
        </w:rPr>
        <w:t>，案件属于二审裁决，无法上诉，虽败诉但赔付金额有所降低）。</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四、干部队伍建设情况</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中层干部总职数211人，其中，总行100人、经营机构111人；正职54人，副职157人。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目前已配备194人，尚空缺17人。其中，总行已配备93人（尚空缺7人）、经营机构已配备101人（尚空缺10人）；正职已配备50人（尚空缺4人）、副职已配备144人（尚空缺13人）。</w:t>
      </w:r>
      <w:r>
        <w:rPr>
          <w:rFonts w:hint="eastAsia" w:ascii="仿宋" w:hAnsi="仿宋" w:eastAsia="仿宋" w:cs="仿宋"/>
          <w:sz w:val="32"/>
          <w:szCs w:val="32"/>
          <w:lang w:val="en-US" w:eastAsia="zh-CN"/>
        </w:rPr>
        <w:t>具体职数及配置情况如下：</w:t>
      </w:r>
    </w:p>
    <w:tbl>
      <w:tblPr>
        <w:tblW w:w="89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872"/>
        <w:gridCol w:w="1140"/>
        <w:gridCol w:w="1610"/>
        <w:gridCol w:w="1283"/>
        <w:gridCol w:w="2828"/>
        <w:gridCol w:w="11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9" w:hRule="atLeast"/>
          <w:jc w:val="center"/>
        </w:trPr>
        <w:tc>
          <w:tcPr>
            <w:tcW w:w="872" w:type="dxa"/>
            <w:vMerge w:val="restart"/>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干部职数情况</w:t>
            </w:r>
            <w:r>
              <w:rPr>
                <w:rFonts w:hint="eastAsia" w:ascii="宋体" w:hAnsi="宋体" w:eastAsia="宋体" w:cs="宋体"/>
                <w:b/>
                <w:bCs/>
                <w:i w:val="0"/>
                <w:iCs w:val="0"/>
                <w:color w:val="000000"/>
                <w:kern w:val="0"/>
                <w:sz w:val="24"/>
                <w:szCs w:val="24"/>
                <w:u w:val="none"/>
                <w:bdr w:val="none" w:color="auto" w:sz="0" w:space="0"/>
                <w:lang w:val="en-US" w:eastAsia="zh-CN" w:bidi="ar"/>
              </w:rPr>
              <w:br w:type="textWrapping"/>
            </w:r>
            <w:r>
              <w:rPr>
                <w:rFonts w:hint="eastAsia" w:ascii="宋体" w:hAnsi="宋体" w:eastAsia="宋体" w:cs="宋体"/>
                <w:b/>
                <w:bCs/>
                <w:i w:val="0"/>
                <w:iCs w:val="0"/>
                <w:color w:val="000000"/>
                <w:kern w:val="0"/>
                <w:sz w:val="24"/>
                <w:szCs w:val="24"/>
                <w:u w:val="none"/>
                <w:bdr w:val="none" w:color="auto" w:sz="0" w:space="0"/>
                <w:lang w:val="en-US" w:eastAsia="zh-CN" w:bidi="ar"/>
              </w:rPr>
              <w:t>（现状）</w:t>
            </w:r>
          </w:p>
        </w:tc>
        <w:tc>
          <w:tcPr>
            <w:tcW w:w="2750" w:type="dxa"/>
            <w:gridSpan w:val="2"/>
            <w:tcBorders>
              <w:top w:val="single" w:color="000000" w:sz="8"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分类</w:t>
            </w:r>
          </w:p>
        </w:tc>
        <w:tc>
          <w:tcPr>
            <w:tcW w:w="1283" w:type="dxa"/>
            <w:tcBorders>
              <w:top w:val="single" w:color="000000" w:sz="8"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总职数</w:t>
            </w:r>
          </w:p>
        </w:tc>
        <w:tc>
          <w:tcPr>
            <w:tcW w:w="2828" w:type="dxa"/>
            <w:tcBorders>
              <w:top w:val="single" w:color="000000" w:sz="8"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实际配置情况</w:t>
            </w:r>
          </w:p>
        </w:tc>
        <w:tc>
          <w:tcPr>
            <w:tcW w:w="1172" w:type="dxa"/>
            <w:tcBorders>
              <w:top w:val="single" w:color="000000" w:sz="8"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剩余可配置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5"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2750" w:type="dxa"/>
            <w:gridSpan w:val="2"/>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市管领导干部职数</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2828"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117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7"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2750" w:type="dxa"/>
            <w:gridSpan w:val="2"/>
            <w:tcBorders>
              <w:top w:val="single" w:color="000000" w:sz="4" w:space="0"/>
              <w:left w:val="single" w:color="000000" w:sz="4"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高管人员（含工会主席、行长助理、首席风险官、首席信息官）</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w:t>
            </w:r>
          </w:p>
        </w:tc>
        <w:tc>
          <w:tcPr>
            <w:tcW w:w="2828"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117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2"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2750" w:type="dxa"/>
            <w:gridSpan w:val="2"/>
            <w:tcBorders>
              <w:top w:val="single" w:color="000000" w:sz="4" w:space="0"/>
              <w:left w:val="single" w:color="000000" w:sz="4"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kern w:val="0"/>
                <w:sz w:val="24"/>
                <w:szCs w:val="24"/>
                <w:u w:val="none"/>
                <w:bdr w:val="none" w:color="auto" w:sz="0" w:space="0"/>
                <w:lang w:val="en-US" w:eastAsia="zh-CN" w:bidi="ar"/>
              </w:rPr>
            </w:pPr>
            <w:r>
              <w:rPr>
                <w:rFonts w:hint="eastAsia" w:ascii="宋体" w:hAnsi="宋体" w:eastAsia="宋体" w:cs="宋体"/>
                <w:b/>
                <w:bCs/>
                <w:i w:val="0"/>
                <w:iCs w:val="0"/>
                <w:color w:val="000000"/>
                <w:kern w:val="0"/>
                <w:sz w:val="24"/>
                <w:szCs w:val="24"/>
                <w:u w:val="none"/>
                <w:bdr w:val="none" w:color="auto" w:sz="0" w:space="0"/>
                <w:lang w:val="en-US" w:eastAsia="zh-CN" w:bidi="ar"/>
              </w:rPr>
              <w:t>派驻纪检监察组</w:t>
            </w:r>
          </w:p>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（不含组长）</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2828"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117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2"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2750" w:type="dxa"/>
            <w:gridSpan w:val="2"/>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中层干部总职数</w:t>
            </w:r>
          </w:p>
        </w:tc>
        <w:tc>
          <w:tcPr>
            <w:tcW w:w="1283"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211</w:t>
            </w:r>
          </w:p>
        </w:tc>
        <w:tc>
          <w:tcPr>
            <w:tcW w:w="2828"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bdr w:val="none" w:color="auto" w:sz="0" w:space="0"/>
                <w:lang w:val="en-US" w:eastAsia="zh-CN" w:bidi="ar"/>
              </w:rPr>
              <w:t>194</w:t>
            </w:r>
          </w:p>
        </w:tc>
        <w:tc>
          <w:tcPr>
            <w:tcW w:w="117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宋体" w:hAnsi="宋体" w:eastAsia="宋体" w:cs="宋体"/>
                <w:b/>
                <w:bCs/>
                <w:i w:val="0"/>
                <w:iCs w:val="0"/>
                <w:color w:val="000000"/>
                <w:sz w:val="24"/>
                <w:szCs w:val="24"/>
                <w:u w:val="none"/>
                <w:lang w:val="en-US"/>
              </w:rPr>
            </w:pPr>
            <w:r>
              <w:rPr>
                <w:rFonts w:hint="eastAsia" w:ascii="宋体" w:hAnsi="宋体" w:eastAsia="宋体" w:cs="宋体"/>
                <w:b/>
                <w:bCs/>
                <w:i w:val="0"/>
                <w:iCs w:val="0"/>
                <w:color w:val="000000"/>
                <w:kern w:val="0"/>
                <w:sz w:val="24"/>
                <w:szCs w:val="24"/>
                <w:u w:val="none"/>
                <w:bdr w:val="none" w:color="auto" w:sz="0" w:space="0"/>
                <w:lang w:val="en-US" w:eastAsia="zh-CN" w:bidi="ar"/>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4"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140"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其中：①</w:t>
            </w:r>
          </w:p>
        </w:tc>
        <w:tc>
          <w:tcPr>
            <w:tcW w:w="161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中层正职</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54</w:t>
            </w:r>
          </w:p>
        </w:tc>
        <w:tc>
          <w:tcPr>
            <w:tcW w:w="282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50（未含3名兼任）</w:t>
            </w:r>
            <w:r>
              <w:rPr>
                <w:rFonts w:hint="eastAsia" w:ascii="宋体" w:hAnsi="宋体" w:eastAsia="宋体" w:cs="宋体"/>
                <w:i w:val="0"/>
                <w:iCs w:val="0"/>
                <w:color w:val="000000"/>
                <w:kern w:val="0"/>
                <w:sz w:val="24"/>
                <w:szCs w:val="24"/>
                <w:u w:val="none"/>
                <w:bdr w:val="none" w:color="auto" w:sz="0" w:space="0"/>
                <w:lang w:val="en-US" w:eastAsia="zh-CN" w:bidi="ar"/>
              </w:rPr>
              <w:br w:type="textWrapping"/>
            </w:r>
            <w:r>
              <w:rPr>
                <w:rFonts w:hint="eastAsia" w:ascii="宋体" w:hAnsi="宋体" w:eastAsia="宋体" w:cs="宋体"/>
                <w:i w:val="0"/>
                <w:iCs w:val="0"/>
                <w:color w:val="000000"/>
                <w:kern w:val="0"/>
                <w:sz w:val="24"/>
                <w:szCs w:val="24"/>
                <w:u w:val="none"/>
                <w:bdr w:val="none" w:color="auto" w:sz="0" w:space="0"/>
                <w:lang w:val="en-US" w:eastAsia="zh-CN" w:bidi="ar"/>
              </w:rPr>
              <w:t>（副总级一把手：17名）</w:t>
            </w:r>
          </w:p>
        </w:tc>
        <w:tc>
          <w:tcPr>
            <w:tcW w:w="117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87"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14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61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中层副职</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157</w:t>
            </w:r>
          </w:p>
        </w:tc>
        <w:tc>
          <w:tcPr>
            <w:tcW w:w="2828"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144</w:t>
            </w:r>
            <w:r>
              <w:rPr>
                <w:rFonts w:hint="eastAsia" w:ascii="宋体" w:hAnsi="宋体" w:eastAsia="宋体" w:cs="宋体"/>
                <w:i w:val="0"/>
                <w:iCs w:val="0"/>
                <w:color w:val="000000"/>
                <w:kern w:val="0"/>
                <w:sz w:val="24"/>
                <w:szCs w:val="24"/>
                <w:u w:val="none"/>
                <w:bdr w:val="none" w:color="auto" w:sz="0" w:space="0"/>
                <w:lang w:val="en-US" w:eastAsia="zh-CN" w:bidi="ar"/>
              </w:rPr>
              <w:br w:type="textWrapping"/>
            </w:r>
            <w:r>
              <w:rPr>
                <w:rFonts w:hint="eastAsia" w:ascii="宋体" w:hAnsi="宋体" w:eastAsia="宋体" w:cs="宋体"/>
                <w:i w:val="0"/>
                <w:iCs w:val="0"/>
                <w:color w:val="000000"/>
                <w:kern w:val="0"/>
                <w:sz w:val="24"/>
                <w:szCs w:val="24"/>
                <w:u w:val="none"/>
                <w:bdr w:val="none" w:color="auto" w:sz="0" w:space="0"/>
                <w:lang w:val="en-US" w:eastAsia="zh-CN" w:bidi="ar"/>
              </w:rPr>
              <w:t>（副总：67名；总助：74名；经理3名）</w:t>
            </w:r>
          </w:p>
        </w:tc>
        <w:tc>
          <w:tcPr>
            <w:tcW w:w="1172" w:type="dxa"/>
            <w:tcBorders>
              <w:top w:val="single" w:color="000000" w:sz="4" w:space="0"/>
              <w:left w:val="single" w:color="000000" w:sz="4" w:space="0"/>
              <w:bottom w:val="single" w:color="000000" w:sz="4"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r>
              <w:rPr>
                <w:rFonts w:hint="eastAsia" w:ascii="宋体" w:hAnsi="宋体" w:eastAsia="宋体" w:cs="宋体"/>
                <w:i w:val="0"/>
                <w:iCs w:val="0"/>
                <w:color w:val="000000"/>
                <w:kern w:val="0"/>
                <w:sz w:val="24"/>
                <w:szCs w:val="24"/>
                <w:u w:val="none"/>
                <w:bdr w:val="none" w:color="auto" w:sz="0" w:space="0"/>
                <w:lang w:val="en-US" w:eastAsia="zh-CN" w:bidi="ar"/>
              </w:rPr>
              <w:br w:type="textWrapping"/>
            </w:r>
            <w:r>
              <w:rPr>
                <w:rFonts w:hint="eastAsia" w:ascii="宋体" w:hAnsi="宋体" w:eastAsia="宋体" w:cs="宋体"/>
                <w:i w:val="0"/>
                <w:iCs w:val="0"/>
                <w:color w:val="000000"/>
                <w:kern w:val="0"/>
                <w:sz w:val="24"/>
                <w:szCs w:val="24"/>
                <w:u w:val="none"/>
                <w:bdr w:val="none" w:color="auto" w:sz="0" w:space="0"/>
                <w:lang w:val="en-US" w:eastAsia="zh-CN" w:bidi="ar"/>
              </w:rPr>
              <w:t>（含3纪检）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20"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140" w:type="dxa"/>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其中：②</w:t>
            </w:r>
          </w:p>
        </w:tc>
        <w:tc>
          <w:tcPr>
            <w:tcW w:w="161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总行部门班子职数</w:t>
            </w:r>
          </w:p>
        </w:tc>
        <w:tc>
          <w:tcPr>
            <w:tcW w:w="1283"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100</w:t>
            </w:r>
          </w:p>
        </w:tc>
        <w:tc>
          <w:tcPr>
            <w:tcW w:w="2828"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bdr w:val="none" w:color="auto" w:sz="0" w:space="0"/>
                <w:lang w:val="en-US" w:eastAsia="zh-CN" w:bidi="ar"/>
              </w:rPr>
              <w:t>93</w:t>
            </w:r>
          </w:p>
        </w:tc>
        <w:tc>
          <w:tcPr>
            <w:tcW w:w="1172"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27" w:hRule="atLeast"/>
          <w:jc w:val="center"/>
        </w:trPr>
        <w:tc>
          <w:tcPr>
            <w:tcW w:w="872" w:type="dxa"/>
            <w:vMerge w:val="continue"/>
            <w:tcBorders>
              <w:top w:val="single" w:color="000000" w:sz="8" w:space="0"/>
              <w:left w:val="single" w:color="000000" w:sz="8" w:space="0"/>
              <w:bottom w:val="single" w:color="000000" w:sz="4" w:space="0"/>
              <w:right w:val="single" w:color="000000" w:sz="4" w:space="0"/>
            </w:tcBorders>
            <w:shd w:val="clear"/>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14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rPr>
                <w:rFonts w:hint="eastAsia" w:ascii="宋体" w:hAnsi="宋体" w:eastAsia="宋体" w:cs="宋体"/>
                <w:b/>
                <w:bCs/>
                <w:i w:val="0"/>
                <w:iCs w:val="0"/>
                <w:color w:val="000000"/>
                <w:sz w:val="24"/>
                <w:szCs w:val="24"/>
                <w:u w:val="none"/>
              </w:rPr>
            </w:pPr>
          </w:p>
        </w:tc>
        <w:tc>
          <w:tcPr>
            <w:tcW w:w="1610" w:type="dxa"/>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经营机构班子职数</w:t>
            </w:r>
          </w:p>
        </w:tc>
        <w:tc>
          <w:tcPr>
            <w:tcW w:w="1283" w:type="dxa"/>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111</w:t>
            </w:r>
          </w:p>
        </w:tc>
        <w:tc>
          <w:tcPr>
            <w:tcW w:w="2828" w:type="dxa"/>
            <w:tcBorders>
              <w:top w:val="single" w:color="000000" w:sz="4" w:space="0"/>
              <w:left w:val="single" w:color="000000" w:sz="4" w:space="0"/>
              <w:bottom w:val="single" w:color="000000" w:sz="8" w:space="0"/>
              <w:right w:val="single" w:color="000000" w:sz="4" w:space="0"/>
            </w:tcBorders>
            <w:shd w:val="clear"/>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101</w:t>
            </w:r>
          </w:p>
        </w:tc>
        <w:tc>
          <w:tcPr>
            <w:tcW w:w="1172" w:type="dxa"/>
            <w:tcBorders>
              <w:top w:val="single" w:color="000000" w:sz="4" w:space="0"/>
              <w:left w:val="single" w:color="000000" w:sz="4" w:space="0"/>
              <w:bottom w:val="single" w:color="000000" w:sz="8" w:space="0"/>
              <w:right w:val="single" w:color="000000" w:sz="4" w:space="0"/>
            </w:tcBorders>
            <w:shd w:val="cle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r>
              <w:rPr>
                <w:rFonts w:hint="eastAsia" w:ascii="宋体" w:hAnsi="宋体" w:eastAsia="宋体" w:cs="宋体"/>
                <w:i w:val="0"/>
                <w:iCs w:val="0"/>
                <w:color w:val="000000"/>
                <w:kern w:val="0"/>
                <w:sz w:val="24"/>
                <w:szCs w:val="24"/>
                <w:u w:val="none"/>
                <w:bdr w:val="none" w:color="auto" w:sz="0" w:space="0"/>
                <w:lang w:val="en-US" w:eastAsia="zh-CN" w:bidi="ar"/>
              </w:rPr>
              <w:br w:type="textWrapping"/>
            </w:r>
            <w:r>
              <w:rPr>
                <w:rFonts w:hint="eastAsia" w:ascii="宋体" w:hAnsi="宋体" w:eastAsia="宋体" w:cs="宋体"/>
                <w:i w:val="0"/>
                <w:iCs w:val="0"/>
                <w:color w:val="000000"/>
                <w:kern w:val="0"/>
                <w:sz w:val="24"/>
                <w:szCs w:val="24"/>
                <w:u w:val="none"/>
                <w:bdr w:val="none" w:color="auto" w:sz="0" w:space="0"/>
                <w:lang w:val="en-US" w:eastAsia="zh-CN" w:bidi="ar"/>
              </w:rPr>
              <w:t>（含3纪检）</w:t>
            </w:r>
          </w:p>
        </w:tc>
      </w:tr>
    </w:tbl>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新一届党委成立以来中层干部调整情况：提拔94人，降职、免职（含受处分情形）14人，到龄转岗13人。</w:t>
      </w:r>
    </w:p>
    <w:p>
      <w:pPr>
        <w:keepNext w:val="0"/>
        <w:keepLines w:val="0"/>
        <w:pageBreakBefore w:val="0"/>
        <w:widowControl w:val="0"/>
        <w:numPr>
          <w:numId w:val="0"/>
        </w:numPr>
        <w:tabs>
          <w:tab w:val="center" w:pos="4153"/>
        </w:tabs>
        <w:kinsoku/>
        <w:wordWrap/>
        <w:overflowPunct/>
        <w:topLinePunct w:val="0"/>
        <w:autoSpaceDE/>
        <w:autoSpaceDN/>
        <w:bidi w:val="0"/>
        <w:adjustRightInd/>
        <w:snapToGrid/>
        <w:spacing w:line="620" w:lineRule="exact"/>
        <w:ind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五、考核薪酬情况</w:t>
      </w:r>
    </w:p>
    <w:p>
      <w:pPr>
        <w:keepNext w:val="0"/>
        <w:keepLines w:val="0"/>
        <w:pageBreakBefore w:val="0"/>
        <w:widowControl w:val="0"/>
        <w:numPr>
          <w:ilvl w:val="0"/>
          <w:numId w:val="0"/>
        </w:numPr>
        <w:tabs>
          <w:tab w:val="center" w:pos="4153"/>
        </w:tabs>
        <w:kinsoku/>
        <w:wordWrap/>
        <w:overflowPunct/>
        <w:topLinePunct w:val="0"/>
        <w:autoSpaceDE/>
        <w:autoSpaceDN/>
        <w:bidi w:val="0"/>
        <w:adjustRightInd/>
        <w:snapToGrid/>
        <w:spacing w:line="620" w:lineRule="exact"/>
        <w:ind w:leftChars="200"/>
        <w:jc w:val="both"/>
        <w:textAlignment w:val="auto"/>
        <w:rPr>
          <w:rFonts w:hint="eastAsia" w:ascii="黑体" w:hAnsi="黑体" w:eastAsia="黑体" w:cs="黑体"/>
          <w:sz w:val="32"/>
          <w:szCs w:val="32"/>
          <w:lang w:eastAsia="zh-CN"/>
        </w:rPr>
      </w:pPr>
      <w:r>
        <w:rPr>
          <w:rFonts w:hint="eastAsia" w:ascii="楷体" w:hAnsi="楷体" w:eastAsia="楷体" w:cs="楷体"/>
          <w:sz w:val="32"/>
          <w:szCs w:val="32"/>
          <w:lang w:eastAsia="zh-CN"/>
        </w:rPr>
        <w:t>（一）薪酬情况</w:t>
      </w:r>
      <w:r>
        <w:rPr>
          <w:rFonts w:hint="eastAsia" w:ascii="黑体" w:hAnsi="黑体" w:eastAsia="黑体" w:cs="黑体"/>
          <w:sz w:val="32"/>
          <w:szCs w:val="32"/>
          <w:lang w:eastAsia="zh-CN"/>
        </w:rPr>
        <w:tab/>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default" w:ascii="仿宋" w:hAnsi="仿宋" w:eastAsia="仿宋" w:cs="仿宋"/>
          <w:color w:val="000000" w:themeColor="text1"/>
          <w:sz w:val="32"/>
          <w:szCs w:val="32"/>
          <w:lang w:val="en-US" w:eastAsia="zh-CN"/>
          <w14:textFill>
            <w14:solidFill>
              <w14:schemeClr w14:val="tx1"/>
            </w14:solidFill>
          </w14:textFill>
        </w:rPr>
      </w:pPr>
      <w:r>
        <w:rPr>
          <w:rFonts w:hint="eastAsia" w:ascii="仿宋" w:hAnsi="仿宋" w:eastAsia="仿宋" w:cs="仿宋"/>
          <w:color w:val="000000" w:themeColor="text1"/>
          <w:sz w:val="32"/>
          <w:szCs w:val="32"/>
          <w:lang w:val="en-US" w:eastAsia="zh-CN"/>
          <w14:textFill>
            <w14:solidFill>
              <w14:schemeClr w14:val="tx1"/>
            </w14:solidFill>
          </w14:textFill>
        </w:rPr>
        <w:t>2025年度工资总额15亿元，人均薪酬24.3万元（含预发2026年开门红0.3亿元）。2026年1-5月全行已发放工资4.2亿元。</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企业年金余额16.37亿元，截至2026年5月企业年金余额17.44亿元，其中个人缴费比例为2%，单位缴费比例为8%。2025年补充医疗缴费7979万元，节余2亿元（含分配给个人的额度和单位住院报销额度），截至2026年5月节余1.9亿元，节余中个人是1.6亿元，单位是3002万元。</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（二）考核评选情况</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1.履职监测情况：</w:t>
      </w:r>
      <w:r>
        <w:rPr>
          <w:rFonts w:hint="eastAsia" w:ascii="仿宋" w:hAnsi="仿宋" w:eastAsia="仿宋" w:cs="仿宋"/>
          <w:sz w:val="32"/>
          <w:szCs w:val="32"/>
          <w:lang w:eastAsia="zh-CN"/>
        </w:rPr>
        <w:t>2026年一季度对经营机构（不含到龄转岗及离职脱密期人员）共计95名班子成员（113人次）业绩情况进行监测，并对15名（16人次）首次触发监测督导情形列入履职考核黑榜的中层干部发放督导函进行书面提醒。</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2.头狼评选情况：</w:t>
      </w:r>
      <w:r>
        <w:rPr>
          <w:rFonts w:hint="eastAsia" w:ascii="仿宋" w:hAnsi="仿宋" w:eastAsia="仿宋" w:cs="仿宋"/>
          <w:sz w:val="32"/>
          <w:szCs w:val="32"/>
          <w:lang w:eastAsia="zh-CN"/>
        </w:rPr>
        <w:t>2026年一季度</w:t>
      </w:r>
      <w:r>
        <w:rPr>
          <w:rFonts w:hint="eastAsia" w:ascii="仿宋" w:hAnsi="仿宋" w:eastAsia="仿宋" w:cs="仿宋"/>
          <w:sz w:val="32"/>
          <w:szCs w:val="32"/>
          <w:lang w:val="en-US" w:eastAsia="zh-CN"/>
        </w:rPr>
        <w:t>评选头狼129人。</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六、培训赋能情况</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全行</w:t>
      </w:r>
      <w:r>
        <w:rPr>
          <w:rFonts w:hint="default" w:ascii="仿宋" w:hAnsi="仿宋" w:eastAsia="仿宋" w:cs="仿宋"/>
          <w:sz w:val="32"/>
          <w:szCs w:val="32"/>
          <w:lang w:val="en-US" w:eastAsia="zh-CN"/>
        </w:rPr>
        <w:t>共开展能力大提升项目983场，落地实施55个重点培训项目，其中包括5期广银大讲堂，2期对公特训营，3期个贷铁军培训，4期办贷能力提升火线班、1期校招新员工集中培训等，近期计划启动“走进华为2.0”领导力提升项目，重点项目已执行</w:t>
      </w:r>
      <w:r>
        <w:rPr>
          <w:rFonts w:hint="eastAsia" w:ascii="仿宋" w:hAnsi="仿宋" w:eastAsia="仿宋" w:cs="仿宋"/>
          <w:sz w:val="32"/>
          <w:szCs w:val="32"/>
          <w:lang w:val="en-US" w:eastAsia="zh-CN"/>
        </w:rPr>
        <w:t>58.06</w:t>
      </w:r>
      <w:r>
        <w:rPr>
          <w:rFonts w:hint="default" w:ascii="仿宋" w:hAnsi="仿宋" w:eastAsia="仿宋" w:cs="仿宋"/>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其中，</w:t>
      </w:r>
      <w:r>
        <w:rPr>
          <w:rFonts w:hint="default" w:ascii="仿宋" w:hAnsi="仿宋" w:eastAsia="仿宋" w:cs="仿宋"/>
          <w:sz w:val="32"/>
          <w:szCs w:val="32"/>
          <w:lang w:val="en-US" w:eastAsia="zh-CN"/>
        </w:rPr>
        <w:t>线下培训计划中，已按计划</w:t>
      </w:r>
      <w:bookmarkStart w:id="0" w:name="_GoBack"/>
      <w:bookmarkEnd w:id="0"/>
      <w:r>
        <w:rPr>
          <w:rFonts w:hint="default" w:ascii="仿宋" w:hAnsi="仿宋" w:eastAsia="仿宋" w:cs="仿宋"/>
          <w:sz w:val="32"/>
          <w:szCs w:val="32"/>
          <w:lang w:val="en-US" w:eastAsia="zh-CN"/>
        </w:rPr>
        <w:t>100%完成培训的部室有8个，分别为董事会办公室、私人银行与财富管理部、金融同业部、金融市场部、战略客户部、消费者权益保护部、机关纪委办公室、安全保卫部；执行率排名后三位为金融科技部（0%）、内控合规部（0%）、运营管理部（14.29%）。</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Chars="0" w:firstLine="640" w:firstLineChars="200"/>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全行已组织35场次上岗资格考试（涉及8大岗位），共有1878人次参考。</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
          <w:bCs/>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val="en-US" w:eastAsia="zh-CN"/>
        </w:rPr>
        <w:t>口径：1.高管级人员</w:t>
      </w:r>
      <w:r>
        <w:rPr>
          <w:rFonts w:hint="eastAsia" w:ascii="仿宋" w:hAnsi="仿宋" w:eastAsia="仿宋" w:cs="仿宋"/>
          <w:b/>
          <w:bCs/>
          <w:sz w:val="32"/>
          <w:szCs w:val="32"/>
          <w:lang w:eastAsia="zh-CN"/>
        </w:rPr>
        <w:t>指行员等级为一至三级，中层干部为四至六级，员工为七级及以下；</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3" w:firstLineChars="200"/>
        <w:jc w:val="both"/>
        <w:textAlignment w:val="auto"/>
        <w:rPr>
          <w:rFonts w:hint="default" w:ascii="仿宋" w:hAnsi="仿宋" w:eastAsia="仿宋" w:cs="仿宋"/>
          <w:b/>
          <w:bCs/>
          <w:sz w:val="32"/>
          <w:szCs w:val="32"/>
          <w:highlight w:val="none"/>
          <w:lang w:val="en-US" w:eastAsia="zh-CN"/>
        </w:rPr>
      </w:pPr>
      <w:r>
        <w:rPr>
          <w:rFonts w:hint="eastAsia" w:ascii="仿宋" w:hAnsi="仿宋" w:eastAsia="仿宋" w:cs="仿宋"/>
          <w:b/>
          <w:bCs/>
          <w:sz w:val="32"/>
          <w:szCs w:val="32"/>
          <w:lang w:val="en-US" w:eastAsia="zh-CN"/>
        </w:rPr>
        <w:t>2.</w:t>
      </w:r>
      <w:r>
        <w:rPr>
          <w:rFonts w:hint="eastAsia" w:ascii="仿宋" w:hAnsi="仿宋" w:eastAsia="仿宋" w:cs="仿宋"/>
          <w:b/>
          <w:bCs/>
          <w:sz w:val="32"/>
          <w:szCs w:val="32"/>
          <w:highlight w:val="none"/>
          <w:lang w:val="en-US" w:eastAsia="zh-CN"/>
        </w:rPr>
        <w:t>前中后台划分均不含信用卡中心。</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899B59"/>
    <w:multiLevelType w:val="singleLevel"/>
    <w:tmpl w:val="19899B5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B76C2"/>
    <w:rsid w:val="00DD5E7F"/>
    <w:rsid w:val="00EC5A91"/>
    <w:rsid w:val="01A85250"/>
    <w:rsid w:val="01E03DA0"/>
    <w:rsid w:val="026B3007"/>
    <w:rsid w:val="027A36DE"/>
    <w:rsid w:val="034B4BE6"/>
    <w:rsid w:val="036B6FA7"/>
    <w:rsid w:val="03FA5714"/>
    <w:rsid w:val="040C25C7"/>
    <w:rsid w:val="042268D9"/>
    <w:rsid w:val="042C7234"/>
    <w:rsid w:val="044B2A7B"/>
    <w:rsid w:val="046B6164"/>
    <w:rsid w:val="04825674"/>
    <w:rsid w:val="04937E91"/>
    <w:rsid w:val="04AF3F3E"/>
    <w:rsid w:val="04DC595E"/>
    <w:rsid w:val="05590B54"/>
    <w:rsid w:val="056D55F6"/>
    <w:rsid w:val="056D77F4"/>
    <w:rsid w:val="05ED6EE5"/>
    <w:rsid w:val="06567772"/>
    <w:rsid w:val="068C1071"/>
    <w:rsid w:val="07362663"/>
    <w:rsid w:val="07481876"/>
    <w:rsid w:val="07C75902"/>
    <w:rsid w:val="07D562C4"/>
    <w:rsid w:val="07D56C13"/>
    <w:rsid w:val="080928DE"/>
    <w:rsid w:val="088E49C1"/>
    <w:rsid w:val="08F316BF"/>
    <w:rsid w:val="09591736"/>
    <w:rsid w:val="096C2283"/>
    <w:rsid w:val="0A04716E"/>
    <w:rsid w:val="0A1E44CF"/>
    <w:rsid w:val="0AA317DA"/>
    <w:rsid w:val="0C6841EA"/>
    <w:rsid w:val="0CC04268"/>
    <w:rsid w:val="0D676AC1"/>
    <w:rsid w:val="0D9064D6"/>
    <w:rsid w:val="0DF16743"/>
    <w:rsid w:val="0E2F3B55"/>
    <w:rsid w:val="0F9B0D24"/>
    <w:rsid w:val="10220FE3"/>
    <w:rsid w:val="10567DD9"/>
    <w:rsid w:val="105E035B"/>
    <w:rsid w:val="10A342B4"/>
    <w:rsid w:val="10A904C9"/>
    <w:rsid w:val="10AE24EA"/>
    <w:rsid w:val="112F0C3F"/>
    <w:rsid w:val="12160F3D"/>
    <w:rsid w:val="12CD7ECD"/>
    <w:rsid w:val="13327F1B"/>
    <w:rsid w:val="135D1254"/>
    <w:rsid w:val="137B0804"/>
    <w:rsid w:val="138B20B8"/>
    <w:rsid w:val="142F3F7D"/>
    <w:rsid w:val="14453C61"/>
    <w:rsid w:val="145A7E72"/>
    <w:rsid w:val="1489513E"/>
    <w:rsid w:val="15512989"/>
    <w:rsid w:val="1554409C"/>
    <w:rsid w:val="1571763A"/>
    <w:rsid w:val="15E44D75"/>
    <w:rsid w:val="162219DC"/>
    <w:rsid w:val="16CE6F3C"/>
    <w:rsid w:val="18D01F80"/>
    <w:rsid w:val="195E5769"/>
    <w:rsid w:val="196D6FDE"/>
    <w:rsid w:val="19A02C1A"/>
    <w:rsid w:val="19E70E0E"/>
    <w:rsid w:val="1A222683"/>
    <w:rsid w:val="1BA24967"/>
    <w:rsid w:val="1C5823F6"/>
    <w:rsid w:val="1CAD0994"/>
    <w:rsid w:val="1D281406"/>
    <w:rsid w:val="1D6A20D8"/>
    <w:rsid w:val="1D6D7456"/>
    <w:rsid w:val="1E9D6684"/>
    <w:rsid w:val="1EA01793"/>
    <w:rsid w:val="1EA0669C"/>
    <w:rsid w:val="1EB224A8"/>
    <w:rsid w:val="1ECB5101"/>
    <w:rsid w:val="1F2D357E"/>
    <w:rsid w:val="1F435D57"/>
    <w:rsid w:val="1F7C7944"/>
    <w:rsid w:val="1F7D0AC9"/>
    <w:rsid w:val="1FE47ADF"/>
    <w:rsid w:val="1FF4765C"/>
    <w:rsid w:val="20013309"/>
    <w:rsid w:val="200B1A7E"/>
    <w:rsid w:val="210843BE"/>
    <w:rsid w:val="223A7FB3"/>
    <w:rsid w:val="22452DF5"/>
    <w:rsid w:val="22570824"/>
    <w:rsid w:val="22995058"/>
    <w:rsid w:val="23C61AA7"/>
    <w:rsid w:val="249A209C"/>
    <w:rsid w:val="255F52DD"/>
    <w:rsid w:val="25747800"/>
    <w:rsid w:val="25973F8F"/>
    <w:rsid w:val="25D02118"/>
    <w:rsid w:val="26303B85"/>
    <w:rsid w:val="26BD5C77"/>
    <w:rsid w:val="2700280A"/>
    <w:rsid w:val="27321A96"/>
    <w:rsid w:val="275E5EB1"/>
    <w:rsid w:val="27600573"/>
    <w:rsid w:val="27E637EB"/>
    <w:rsid w:val="28F04E5E"/>
    <w:rsid w:val="291B3DFF"/>
    <w:rsid w:val="2A5F2BA2"/>
    <w:rsid w:val="2AC24F52"/>
    <w:rsid w:val="2B914808"/>
    <w:rsid w:val="2C0A0C4E"/>
    <w:rsid w:val="2C247E99"/>
    <w:rsid w:val="2C507F33"/>
    <w:rsid w:val="2C6803E8"/>
    <w:rsid w:val="2C8C5D24"/>
    <w:rsid w:val="2C9B38FF"/>
    <w:rsid w:val="2F735BF6"/>
    <w:rsid w:val="2F7D7871"/>
    <w:rsid w:val="30047255"/>
    <w:rsid w:val="301C0757"/>
    <w:rsid w:val="309C49AE"/>
    <w:rsid w:val="30A203D8"/>
    <w:rsid w:val="32086A25"/>
    <w:rsid w:val="327C4C67"/>
    <w:rsid w:val="33005939"/>
    <w:rsid w:val="334E34B9"/>
    <w:rsid w:val="340547BA"/>
    <w:rsid w:val="3454129D"/>
    <w:rsid w:val="35441312"/>
    <w:rsid w:val="357C7345"/>
    <w:rsid w:val="35D412B7"/>
    <w:rsid w:val="361840AC"/>
    <w:rsid w:val="36284AEB"/>
    <w:rsid w:val="362C25ED"/>
    <w:rsid w:val="369E4EAA"/>
    <w:rsid w:val="36E2469A"/>
    <w:rsid w:val="37AD5068"/>
    <w:rsid w:val="38331DCD"/>
    <w:rsid w:val="384719E3"/>
    <w:rsid w:val="386B671F"/>
    <w:rsid w:val="3873781E"/>
    <w:rsid w:val="38785BF3"/>
    <w:rsid w:val="39BD78E5"/>
    <w:rsid w:val="3AAC46D0"/>
    <w:rsid w:val="3B643E7F"/>
    <w:rsid w:val="3C5C1DBE"/>
    <w:rsid w:val="3CE242F0"/>
    <w:rsid w:val="3DD05142"/>
    <w:rsid w:val="3ECF696C"/>
    <w:rsid w:val="3EE6168C"/>
    <w:rsid w:val="3FEF1D74"/>
    <w:rsid w:val="408507A7"/>
    <w:rsid w:val="412A6279"/>
    <w:rsid w:val="418705C4"/>
    <w:rsid w:val="418A158E"/>
    <w:rsid w:val="419E6238"/>
    <w:rsid w:val="426623FD"/>
    <w:rsid w:val="42DE252E"/>
    <w:rsid w:val="42ED13DD"/>
    <w:rsid w:val="43234DFA"/>
    <w:rsid w:val="435D1690"/>
    <w:rsid w:val="437D2908"/>
    <w:rsid w:val="438D34E4"/>
    <w:rsid w:val="440F4E3F"/>
    <w:rsid w:val="446C58FC"/>
    <w:rsid w:val="44DC069A"/>
    <w:rsid w:val="44E12B11"/>
    <w:rsid w:val="44FF14E1"/>
    <w:rsid w:val="4585361F"/>
    <w:rsid w:val="45A920C4"/>
    <w:rsid w:val="45E157D5"/>
    <w:rsid w:val="46081EE8"/>
    <w:rsid w:val="46556BAA"/>
    <w:rsid w:val="46A211BE"/>
    <w:rsid w:val="46C21201"/>
    <w:rsid w:val="46E3355B"/>
    <w:rsid w:val="47107AC1"/>
    <w:rsid w:val="47537093"/>
    <w:rsid w:val="475B669D"/>
    <w:rsid w:val="479A1A05"/>
    <w:rsid w:val="47A344E9"/>
    <w:rsid w:val="4889543F"/>
    <w:rsid w:val="491646DC"/>
    <w:rsid w:val="4965414C"/>
    <w:rsid w:val="49780089"/>
    <w:rsid w:val="4A314D53"/>
    <w:rsid w:val="4A8C305D"/>
    <w:rsid w:val="4AC74F76"/>
    <w:rsid w:val="4BB927CA"/>
    <w:rsid w:val="4C0E061A"/>
    <w:rsid w:val="4C783B02"/>
    <w:rsid w:val="4D3A595B"/>
    <w:rsid w:val="4D445EFB"/>
    <w:rsid w:val="4DAE095F"/>
    <w:rsid w:val="4DF215C7"/>
    <w:rsid w:val="4E11738D"/>
    <w:rsid w:val="4E200592"/>
    <w:rsid w:val="4E4D0927"/>
    <w:rsid w:val="4EB002A9"/>
    <w:rsid w:val="4F010748"/>
    <w:rsid w:val="4F183151"/>
    <w:rsid w:val="4F2F2D76"/>
    <w:rsid w:val="4F5529B1"/>
    <w:rsid w:val="4FF26337"/>
    <w:rsid w:val="50151D6F"/>
    <w:rsid w:val="501B3C78"/>
    <w:rsid w:val="508B5BEF"/>
    <w:rsid w:val="511B2921"/>
    <w:rsid w:val="511F1327"/>
    <w:rsid w:val="51480AAA"/>
    <w:rsid w:val="51B43D99"/>
    <w:rsid w:val="52085B5A"/>
    <w:rsid w:val="523D6E94"/>
    <w:rsid w:val="5357201B"/>
    <w:rsid w:val="539A6875"/>
    <w:rsid w:val="53F961D2"/>
    <w:rsid w:val="54C82FD5"/>
    <w:rsid w:val="556F2D08"/>
    <w:rsid w:val="55ED734C"/>
    <w:rsid w:val="56902358"/>
    <w:rsid w:val="572C7079"/>
    <w:rsid w:val="57725AAD"/>
    <w:rsid w:val="588B79BB"/>
    <w:rsid w:val="58FC2D7F"/>
    <w:rsid w:val="59624C9A"/>
    <w:rsid w:val="5A787A5B"/>
    <w:rsid w:val="5AF16152"/>
    <w:rsid w:val="5B433684"/>
    <w:rsid w:val="5B464F22"/>
    <w:rsid w:val="5BF55FED"/>
    <w:rsid w:val="5BFE7BBD"/>
    <w:rsid w:val="5C366A56"/>
    <w:rsid w:val="5CC20BEA"/>
    <w:rsid w:val="5D5266D6"/>
    <w:rsid w:val="5EC52588"/>
    <w:rsid w:val="5F8529C6"/>
    <w:rsid w:val="5FDC7A97"/>
    <w:rsid w:val="5FDD0E56"/>
    <w:rsid w:val="5FFC0086"/>
    <w:rsid w:val="60A1250E"/>
    <w:rsid w:val="60B56102"/>
    <w:rsid w:val="61D84114"/>
    <w:rsid w:val="6344466B"/>
    <w:rsid w:val="63860958"/>
    <w:rsid w:val="64033FC2"/>
    <w:rsid w:val="64EF11D0"/>
    <w:rsid w:val="65786B89"/>
    <w:rsid w:val="65CD78D0"/>
    <w:rsid w:val="660C147E"/>
    <w:rsid w:val="662E22FD"/>
    <w:rsid w:val="6646288C"/>
    <w:rsid w:val="66A065EB"/>
    <w:rsid w:val="67180834"/>
    <w:rsid w:val="672A61B1"/>
    <w:rsid w:val="67656598"/>
    <w:rsid w:val="677A3425"/>
    <w:rsid w:val="67D73C7D"/>
    <w:rsid w:val="67EF5014"/>
    <w:rsid w:val="68690E30"/>
    <w:rsid w:val="68F72570"/>
    <w:rsid w:val="6909031B"/>
    <w:rsid w:val="692E211D"/>
    <w:rsid w:val="694542C0"/>
    <w:rsid w:val="69A94AF3"/>
    <w:rsid w:val="69CF1CA6"/>
    <w:rsid w:val="6A952D72"/>
    <w:rsid w:val="6B81788A"/>
    <w:rsid w:val="6B8B1F7C"/>
    <w:rsid w:val="6B99134A"/>
    <w:rsid w:val="6BF64EAE"/>
    <w:rsid w:val="6C0D6CD2"/>
    <w:rsid w:val="6C0E3E06"/>
    <w:rsid w:val="6C591345"/>
    <w:rsid w:val="6C7D68DC"/>
    <w:rsid w:val="6C7F50F6"/>
    <w:rsid w:val="6CAE6A95"/>
    <w:rsid w:val="6CB263C9"/>
    <w:rsid w:val="6D352454"/>
    <w:rsid w:val="6DED7568"/>
    <w:rsid w:val="6E5F1847"/>
    <w:rsid w:val="6EB707E5"/>
    <w:rsid w:val="6F2C54AC"/>
    <w:rsid w:val="6F7433A8"/>
    <w:rsid w:val="6F9B5FA9"/>
    <w:rsid w:val="70145CD5"/>
    <w:rsid w:val="70593DDE"/>
    <w:rsid w:val="70974F48"/>
    <w:rsid w:val="70BD199D"/>
    <w:rsid w:val="70E70C90"/>
    <w:rsid w:val="71427568"/>
    <w:rsid w:val="7224790B"/>
    <w:rsid w:val="72381734"/>
    <w:rsid w:val="73167AB8"/>
    <w:rsid w:val="739F538A"/>
    <w:rsid w:val="73BF56F0"/>
    <w:rsid w:val="73DB3A20"/>
    <w:rsid w:val="75080C0F"/>
    <w:rsid w:val="758E06B8"/>
    <w:rsid w:val="75967579"/>
    <w:rsid w:val="75E02E70"/>
    <w:rsid w:val="75F22F41"/>
    <w:rsid w:val="76D46C00"/>
    <w:rsid w:val="778B2EAC"/>
    <w:rsid w:val="778E73DC"/>
    <w:rsid w:val="77A23094"/>
    <w:rsid w:val="782C2A35"/>
    <w:rsid w:val="79955570"/>
    <w:rsid w:val="79B032BC"/>
    <w:rsid w:val="79C76E36"/>
    <w:rsid w:val="79C8155D"/>
    <w:rsid w:val="79F828C1"/>
    <w:rsid w:val="7A034839"/>
    <w:rsid w:val="7A94551C"/>
    <w:rsid w:val="7B743797"/>
    <w:rsid w:val="7C4F7C82"/>
    <w:rsid w:val="7D6779E1"/>
    <w:rsid w:val="7DA138D1"/>
    <w:rsid w:val="7DD06E79"/>
    <w:rsid w:val="7E5D0A9C"/>
    <w:rsid w:val="7E643E29"/>
    <w:rsid w:val="7EEA75C6"/>
    <w:rsid w:val="7EEB5047"/>
    <w:rsid w:val="7F681EFE"/>
    <w:rsid w:val="7F8F3102"/>
    <w:rsid w:val="7F913256"/>
    <w:rsid w:val="7FA11016"/>
    <w:rsid w:val="7FB431E8"/>
    <w:rsid w:val="7FFB4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2026-06-11T09:29:00Z</dcterms:created>
  <dc:creator>gcb</dc:creator>
  <cp:lastModifiedBy>gcb</cp:lastModifiedBy>
  <dcterms:modified xsi:type="dcterms:W3CDTF">2026-06-26T12:01:51Z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666A43DA08E6453296A44D70EF2F7460</vt:lpwstr>
  </property>
</Properties>
</file>