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A3DC0" w14:textId="77777777" w:rsidR="00506F5D" w:rsidRPr="00C97107" w:rsidRDefault="00F832CA">
      <w:pPr>
        <w:rPr>
          <w:rFonts w:ascii="Courier New" w:hAnsi="Courier New" w:cs="Courier New"/>
          <w:sz w:val="18"/>
          <w:szCs w:val="18"/>
        </w:rPr>
      </w:pPr>
      <w:r w:rsidRPr="00C97107">
        <w:rPr>
          <w:rFonts w:ascii="Courier New" w:hAnsi="Courier New" w:cs="Courier New"/>
          <w:sz w:val="18"/>
          <w:szCs w:val="18"/>
        </w:rPr>
        <w:t>STROBE Checklist</w:t>
      </w:r>
    </w:p>
    <w:p w14:paraId="61BFC956" w14:textId="77777777" w:rsidR="00F832CA" w:rsidRPr="00C97107" w:rsidRDefault="00F832CA">
      <w:pPr>
        <w:rPr>
          <w:rFonts w:ascii="Courier New" w:hAnsi="Courier New" w:cs="Courier New"/>
          <w:b/>
          <w:sz w:val="18"/>
          <w:szCs w:val="18"/>
        </w:rPr>
      </w:pPr>
      <w:r w:rsidRPr="00C97107">
        <w:rPr>
          <w:rFonts w:ascii="Courier New" w:hAnsi="Courier New" w:cs="Courier New"/>
          <w:b/>
          <w:sz w:val="18"/>
          <w:szCs w:val="18"/>
        </w:rPr>
        <w:t>Title and Abstract</w:t>
      </w:r>
    </w:p>
    <w:p w14:paraId="159BD93D" w14:textId="77777777" w:rsidR="00801179" w:rsidRPr="00C97107" w:rsidRDefault="00801179">
      <w:pPr>
        <w:rPr>
          <w:rFonts w:ascii="Courier New" w:hAnsi="Courier New" w:cs="Courier New"/>
          <w:sz w:val="18"/>
          <w:szCs w:val="18"/>
        </w:rPr>
      </w:pPr>
      <w:r w:rsidRPr="00C97107">
        <w:rPr>
          <w:rFonts w:ascii="Courier New" w:hAnsi="Courier New" w:cs="Courier New"/>
          <w:sz w:val="18"/>
          <w:szCs w:val="18"/>
        </w:rPr>
        <w:t>Item No. 1 –</w:t>
      </w:r>
    </w:p>
    <w:p w14:paraId="16E9A958" w14:textId="77777777" w:rsidR="00F832CA" w:rsidRPr="00C97107" w:rsidRDefault="00F832CA" w:rsidP="00F832CA">
      <w:pPr>
        <w:pStyle w:val="ListParagraph"/>
        <w:numPr>
          <w:ilvl w:val="1"/>
          <w:numId w:val="1"/>
        </w:numPr>
        <w:ind w:left="1080"/>
        <w:rPr>
          <w:rFonts w:ascii="Courier New" w:hAnsi="Courier New" w:cs="Courier New"/>
          <w:sz w:val="18"/>
          <w:szCs w:val="18"/>
        </w:rPr>
      </w:pPr>
      <w:r w:rsidRPr="00C97107">
        <w:rPr>
          <w:rFonts w:ascii="Courier New" w:hAnsi="Courier New" w:cs="Courier New"/>
          <w:sz w:val="18"/>
          <w:szCs w:val="18"/>
        </w:rPr>
        <w:t xml:space="preserve">Use of </w:t>
      </w:r>
      <w:r w:rsidRPr="00C97107">
        <w:rPr>
          <w:rFonts w:ascii="Courier New" w:hAnsi="Courier New" w:cs="Courier New"/>
          <w:i/>
          <w:sz w:val="18"/>
          <w:szCs w:val="18"/>
        </w:rPr>
        <w:t>cost</w:t>
      </w:r>
      <w:r w:rsidRPr="00C97107">
        <w:rPr>
          <w:rFonts w:ascii="Courier New" w:hAnsi="Courier New" w:cs="Courier New"/>
          <w:sz w:val="18"/>
          <w:szCs w:val="18"/>
        </w:rPr>
        <w:t xml:space="preserve"> in the title indicates this study is estimating the monetary cost of business restrictions, and phrases such as “potential value of therapies”, “cost of these restrictions”, and “societal benefits” in the abstract imply we are measuring the larger monetary cost/value of restrictions/therapies on a societal population.</w:t>
      </w:r>
    </w:p>
    <w:p w14:paraId="1D124094" w14:textId="77777777" w:rsidR="00F832CA" w:rsidRPr="00C97107" w:rsidRDefault="00F832CA" w:rsidP="00F832CA">
      <w:pPr>
        <w:pStyle w:val="ListParagraph"/>
        <w:numPr>
          <w:ilvl w:val="1"/>
          <w:numId w:val="1"/>
        </w:numPr>
        <w:ind w:left="1080"/>
        <w:rPr>
          <w:rFonts w:ascii="Courier New" w:hAnsi="Courier New" w:cs="Courier New"/>
          <w:sz w:val="18"/>
          <w:szCs w:val="18"/>
        </w:rPr>
      </w:pPr>
      <w:r w:rsidRPr="00C97107">
        <w:rPr>
          <w:rFonts w:ascii="Courier New" w:hAnsi="Courier New" w:cs="Courier New"/>
          <w:sz w:val="18"/>
          <w:szCs w:val="18"/>
        </w:rPr>
        <w:t>Abstract provides a summary of our goal (“investigate potential value of therapies addressing COVID hospitalizations”), our methods (“Using high-frequency economic data, we estimate restrictions in the US”), and our results (“reduced consumer spending by $12 billion and increased initial weekly unemployment claims by 114,000”).</w:t>
      </w:r>
    </w:p>
    <w:p w14:paraId="60443CAA" w14:textId="77777777" w:rsidR="00F832CA" w:rsidRPr="00C97107" w:rsidRDefault="00F832CA" w:rsidP="00F832CA">
      <w:pPr>
        <w:pStyle w:val="ListParagraph"/>
        <w:ind w:left="1440"/>
        <w:rPr>
          <w:rFonts w:ascii="Courier New" w:hAnsi="Courier New" w:cs="Courier New"/>
          <w:sz w:val="18"/>
          <w:szCs w:val="18"/>
        </w:rPr>
      </w:pPr>
    </w:p>
    <w:p w14:paraId="34D829DD" w14:textId="77777777" w:rsidR="006C495B" w:rsidRPr="00C97107" w:rsidRDefault="00F832CA" w:rsidP="00801179">
      <w:pPr>
        <w:rPr>
          <w:rFonts w:ascii="Courier New" w:hAnsi="Courier New" w:cs="Courier New"/>
          <w:b/>
        </w:rPr>
      </w:pPr>
      <w:r w:rsidRPr="00C97107">
        <w:rPr>
          <w:rFonts w:ascii="Courier New" w:hAnsi="Courier New" w:cs="Courier New"/>
          <w:b/>
        </w:rPr>
        <w:t>Introduction</w:t>
      </w:r>
    </w:p>
    <w:p w14:paraId="63CAD089" w14:textId="77777777" w:rsidR="00F832CA" w:rsidRPr="00C97107" w:rsidRDefault="00801179" w:rsidP="00801179">
      <w:pPr>
        <w:rPr>
          <w:rFonts w:ascii="Courier New" w:hAnsi="Courier New" w:cs="Courier New"/>
        </w:rPr>
      </w:pPr>
      <w:r w:rsidRPr="00C97107">
        <w:rPr>
          <w:rFonts w:ascii="Courier New" w:hAnsi="Courier New" w:cs="Courier New"/>
        </w:rPr>
        <w:t xml:space="preserve">Item No. 2 – </w:t>
      </w:r>
      <w:r w:rsidR="00FC71C4" w:rsidRPr="00C97107">
        <w:rPr>
          <w:rFonts w:ascii="Courier New" w:hAnsi="Courier New" w:cs="Courier New"/>
        </w:rPr>
        <w:t xml:space="preserve">Background/rationale </w:t>
      </w:r>
    </w:p>
    <w:p w14:paraId="76AEFC05" w14:textId="77777777" w:rsidR="00FC71C4" w:rsidRPr="002C0B84" w:rsidRDefault="00211B56" w:rsidP="002C0B84">
      <w:pPr>
        <w:spacing w:after="0" w:line="240" w:lineRule="auto"/>
        <w:ind w:left="720"/>
        <w:rPr>
          <w:rFonts w:ascii="Courier New" w:hAnsi="Courier New" w:cs="Courier New"/>
          <w:sz w:val="18"/>
          <w:szCs w:val="18"/>
        </w:rPr>
      </w:pPr>
      <w:r w:rsidRPr="002C0B84">
        <w:rPr>
          <w:rFonts w:ascii="Courier New" w:hAnsi="Courier New" w:cs="Courier New"/>
          <w:sz w:val="18"/>
          <w:szCs w:val="18"/>
        </w:rPr>
        <w:t>“COVID’s most notable impact has been illness and the loss of lives, but the pandemic has also imposed a substantial societal cost.  The economy has grabbed headlines, as cumulative losses during just the first two quarters of 2020 amounted to between 1 and 7 percent of annual GDP across the globe, and approximately 3 percent of annual GDP in the United States.</w:t>
      </w:r>
      <w:r w:rsidRPr="002C0B84">
        <w:rPr>
          <w:rFonts w:ascii="Courier New" w:hAnsi="Courier New" w:cs="Courier New"/>
          <w:sz w:val="18"/>
          <w:szCs w:val="18"/>
        </w:rPr>
        <w:fldChar w:fldCharType="begin"/>
      </w:r>
      <w:r w:rsidRPr="002C0B84">
        <w:rPr>
          <w:rFonts w:ascii="Courier New" w:hAnsi="Courier New" w:cs="Courier New"/>
          <w:sz w:val="18"/>
          <w:szCs w:val="18"/>
        </w:rPr>
        <w:instrText xml:space="preserve"> ADDIN EN.CITE &lt;EndNote&gt;&lt;Cite&gt;&lt;Author&gt;Fernández-Villaverde&lt;/Author&gt;&lt;Year&gt;2020&lt;/Year&gt;&lt;RecNum&gt;1&lt;/RecNum&gt;&lt;DisplayText&gt;(1)&lt;/DisplayText&gt;&lt;record&gt;&lt;rec-number&gt;1&lt;/rec-number&gt;&lt;foreign-keys&gt;&lt;key app="EN" db-id="x95ferpfr5wvxqe5faxx0e04favsexr9asas" timestamp="1619207282"&gt;1&lt;/key&gt;&lt;/foreign-keys&gt;&lt;ref-type name="Report"&gt;27&lt;/ref-type&gt;&lt;contributors&gt;&lt;authors&gt;&lt;author&gt;Fernández-Villaverde, J&lt;/author&gt;&lt;author&gt;Jones, CI&lt;/author&gt;&lt;/authors&gt;&lt;tertiary-authors&gt;&lt;author&gt;National Bureau of Economic Research&lt;/author&gt;&lt;/tertiary-authors&gt;&lt;/contributors&gt;&lt;titles&gt;&lt;title&gt;Macroeconomic outcomes and COVID-19: A progress report&lt;/title&gt;&lt;/titles&gt;&lt;number&gt;NBER Working Paper No. 28004&lt;/number&gt;&lt;dates&gt;&lt;year&gt;2020&lt;/year&gt;&lt;pub-dates&gt;&lt;date&gt;October&lt;/date&gt;&lt;/pub-dates&gt;&lt;/dates&gt;&lt;pub-location&gt;Cambridge, MA&lt;/pub-location&gt;&lt;urls&gt;&lt;related-urls&gt;&lt;url&gt;http://www.nber.org/papers/w28004&lt;/url&gt;&lt;/related-urls&gt;&lt;/urls&gt;&lt;/record&gt;&lt;/Cite&gt;&lt;/EndNote&gt;</w:instrText>
      </w:r>
      <w:r w:rsidRPr="002C0B84">
        <w:rPr>
          <w:rFonts w:ascii="Courier New" w:hAnsi="Courier New" w:cs="Courier New"/>
          <w:sz w:val="18"/>
          <w:szCs w:val="18"/>
        </w:rPr>
        <w:fldChar w:fldCharType="separate"/>
      </w:r>
      <w:r w:rsidRPr="002C0B84">
        <w:rPr>
          <w:rFonts w:ascii="Courier New" w:hAnsi="Courier New" w:cs="Courier New"/>
          <w:noProof/>
          <w:sz w:val="18"/>
          <w:szCs w:val="18"/>
        </w:rPr>
        <w:t>(</w:t>
      </w:r>
      <w:hyperlink w:anchor="_ENREF_1" w:tooltip="Fernández-Villaverde, 2020 #1" w:history="1">
        <w:r w:rsidRPr="002C0B84">
          <w:rPr>
            <w:rFonts w:ascii="Courier New" w:hAnsi="Courier New" w:cs="Courier New"/>
            <w:noProof/>
            <w:sz w:val="18"/>
            <w:szCs w:val="18"/>
          </w:rPr>
          <w:t>1</w:t>
        </w:r>
      </w:hyperlink>
      <w:r w:rsidRPr="002C0B84">
        <w:rPr>
          <w:rFonts w:ascii="Courier New" w:hAnsi="Courier New" w:cs="Courier New"/>
          <w:noProof/>
          <w:sz w:val="18"/>
          <w:szCs w:val="18"/>
        </w:rPr>
        <w:t>)</w:t>
      </w:r>
      <w:r w:rsidRPr="002C0B84">
        <w:rPr>
          <w:rFonts w:ascii="Courier New" w:hAnsi="Courier New" w:cs="Courier New"/>
          <w:sz w:val="18"/>
          <w:szCs w:val="18"/>
        </w:rPr>
        <w:fldChar w:fldCharType="end"/>
      </w:r>
      <w:r w:rsidRPr="002C0B84">
        <w:rPr>
          <w:rFonts w:ascii="Courier New" w:hAnsi="Courier New" w:cs="Courier New"/>
          <w:sz w:val="18"/>
          <w:szCs w:val="18"/>
        </w:rPr>
        <w:t xml:space="preserve">  Other societal costs include reduced care for health conditions other than COVID,</w:t>
      </w:r>
      <w:r w:rsidRPr="002C0B84">
        <w:rPr>
          <w:rFonts w:ascii="Courier New" w:hAnsi="Courier New" w:cs="Courier New"/>
          <w:sz w:val="18"/>
          <w:szCs w:val="18"/>
        </w:rPr>
        <w:fldChar w:fldCharType="begin"/>
      </w:r>
      <w:r w:rsidRPr="002C0B84">
        <w:rPr>
          <w:rFonts w:ascii="Courier New" w:hAnsi="Courier New" w:cs="Courier New"/>
          <w:sz w:val="18"/>
          <w:szCs w:val="18"/>
        </w:rPr>
        <w:instrText xml:space="preserve"> ADDIN EN.CITE &lt;EndNote&gt;&lt;Cite&gt;&lt;Author&gt;Chatterji&lt;/Author&gt;&lt;Year&gt;2020&lt;/Year&gt;&lt;RecNum&gt;2&lt;/RecNum&gt;&lt;DisplayText&gt;(2,3)&lt;/DisplayText&gt;&lt;record&gt;&lt;rec-number&gt;2&lt;/rec-number&gt;&lt;foreign-keys&gt;&lt;key app="EN" db-id="x95ferpfr5wvxqe5faxx0e04favsexr9asas" timestamp="1619537935"&gt;2&lt;/key&gt;&lt;/foreign-keys&gt;&lt;ref-type name="Report"&gt;27&lt;/ref-type&gt;&lt;contributors&gt;&lt;authors&gt;&lt;author&gt;Chatterji, P&lt;/author&gt;&lt;author&gt;Yue, L&lt;/author&gt;&lt;/authors&gt;&lt;/contributors&gt;&lt;titles&gt;&lt;title&gt;Effects of the COVID-19 Pandemic on Outpatient Providers in the US&lt;/title&gt;&lt;/titles&gt;&lt;number&gt;Working Paper 27173&lt;/number&gt;&lt;dates&gt;&lt;year&gt;2020&lt;/year&gt;&lt;/dates&gt;&lt;publisher&gt;National Bureau of Economic Research&lt;/publisher&gt;&lt;urls&gt;&lt;related-urls&gt;&lt;url&gt;https://www.nber.org/papers/w27173&lt;/url&gt;&lt;/related-urls&gt;&lt;/urls&gt;&lt;/record&gt;&lt;/Cite&gt;&lt;Cite&gt;&lt;Author&gt;Ziedan&lt;/Author&gt;&lt;Year&gt;2020&lt;/Year&gt;&lt;RecNum&gt;3&lt;/RecNum&gt;&lt;record&gt;&lt;rec-number&gt;3&lt;/rec-number&gt;&lt;foreign-keys&gt;&lt;key app="EN" db-id="x95ferpfr5wvxqe5faxx0e04favsexr9asas" timestamp="1619538454"&gt;3&lt;/key&gt;&lt;/foreign-keys&gt;&lt;ref-type name="Report"&gt;27&lt;/ref-type&gt;&lt;contributors&gt;&lt;authors&gt;&lt;author&gt;Ziedan, E&lt;/author&gt;&lt;author&gt;Simon, KI&lt;/author&gt;&lt;author&gt;Wing, C&lt;/author&gt;&lt;/authors&gt;&lt;/contributors&gt;&lt;titles&gt;&lt;title&gt;Effects of state COVID-19 closure policy on non-COVID-19 health care utilization&lt;/title&gt;&lt;/titles&gt;&lt;dates&gt;&lt;year&gt;2020&lt;/year&gt;&lt;/dates&gt;&lt;publisher&gt;National Bureau of Economic Research&lt;/publisher&gt;&lt;isbn&gt;Working Paper 27621&lt;/isbn&gt;&lt;urls&gt;&lt;related-urls&gt;&lt;url&gt;http://www.nber.org/papers/w27621&lt;/url&gt;&lt;/related-urls&gt;&lt;/urls&gt;&lt;/record&gt;&lt;/Cite&gt;&lt;/EndNote&gt;</w:instrText>
      </w:r>
      <w:r w:rsidRPr="002C0B84">
        <w:rPr>
          <w:rFonts w:ascii="Courier New" w:hAnsi="Courier New" w:cs="Courier New"/>
          <w:sz w:val="18"/>
          <w:szCs w:val="18"/>
        </w:rPr>
        <w:fldChar w:fldCharType="separate"/>
      </w:r>
      <w:r w:rsidRPr="002C0B84">
        <w:rPr>
          <w:rFonts w:ascii="Courier New" w:hAnsi="Courier New" w:cs="Courier New"/>
          <w:noProof/>
          <w:sz w:val="18"/>
          <w:szCs w:val="18"/>
        </w:rPr>
        <w:t>(</w:t>
      </w:r>
      <w:hyperlink w:anchor="_ENREF_2" w:tooltip="Chatterji, 2020 #2" w:history="1">
        <w:r w:rsidRPr="002C0B84">
          <w:rPr>
            <w:rFonts w:ascii="Courier New" w:hAnsi="Courier New" w:cs="Courier New"/>
            <w:noProof/>
            <w:sz w:val="18"/>
            <w:szCs w:val="18"/>
          </w:rPr>
          <w:t>2</w:t>
        </w:r>
      </w:hyperlink>
      <w:r w:rsidRPr="002C0B84">
        <w:rPr>
          <w:rFonts w:ascii="Courier New" w:hAnsi="Courier New" w:cs="Courier New"/>
          <w:noProof/>
          <w:sz w:val="18"/>
          <w:szCs w:val="18"/>
        </w:rPr>
        <w:t>,</w:t>
      </w:r>
      <w:hyperlink w:anchor="_ENREF_3" w:tooltip="Ziedan, 2020 #3" w:history="1">
        <w:r w:rsidRPr="002C0B84">
          <w:rPr>
            <w:rFonts w:ascii="Courier New" w:hAnsi="Courier New" w:cs="Courier New"/>
            <w:noProof/>
            <w:sz w:val="18"/>
            <w:szCs w:val="18"/>
          </w:rPr>
          <w:t>3</w:t>
        </w:r>
      </w:hyperlink>
      <w:r w:rsidRPr="002C0B84">
        <w:rPr>
          <w:rFonts w:ascii="Courier New" w:hAnsi="Courier New" w:cs="Courier New"/>
          <w:noProof/>
          <w:sz w:val="18"/>
          <w:szCs w:val="18"/>
        </w:rPr>
        <w:t>)</w:t>
      </w:r>
      <w:r w:rsidRPr="002C0B84">
        <w:rPr>
          <w:rFonts w:ascii="Courier New" w:hAnsi="Courier New" w:cs="Courier New"/>
          <w:sz w:val="18"/>
          <w:szCs w:val="18"/>
        </w:rPr>
        <w:fldChar w:fldCharType="end"/>
      </w:r>
      <w:r w:rsidRPr="002C0B84">
        <w:rPr>
          <w:rFonts w:ascii="Courier New" w:hAnsi="Courier New" w:cs="Courier New"/>
          <w:sz w:val="18"/>
          <w:szCs w:val="18"/>
        </w:rPr>
        <w:t xml:space="preserve"> although that impact may have been largely limited to the initial several months of the pandemic.</w:t>
      </w:r>
      <w:r w:rsidRPr="002C0B84">
        <w:rPr>
          <w:rFonts w:ascii="Courier New" w:hAnsi="Courier New" w:cs="Courier New"/>
          <w:sz w:val="18"/>
          <w:szCs w:val="18"/>
        </w:rPr>
        <w:fldChar w:fldCharType="begin"/>
      </w:r>
      <w:r w:rsidRPr="002C0B84">
        <w:rPr>
          <w:rFonts w:ascii="Courier New" w:hAnsi="Courier New" w:cs="Courier New"/>
          <w:sz w:val="18"/>
          <w:szCs w:val="18"/>
        </w:rPr>
        <w:instrText xml:space="preserve"> ADDIN EN.CITE &lt;EndNote&gt;&lt;Cite&gt;&lt;Author&gt;Mehrotra&lt;/Author&gt;&lt;Year&gt;2021&lt;/Year&gt;&lt;RecNum&gt;4&lt;/RecNum&gt;&lt;DisplayText&gt;(4)&lt;/DisplayText&gt;&lt;record&gt;&lt;rec-number&gt;4&lt;/rec-number&gt;&lt;foreign-keys&gt;&lt;key app="EN" db-id="x95ferpfr5wvxqe5faxx0e04favsexr9asas" timestamp="1619539460"&gt;4&lt;/key&gt;&lt;/foreign-keys&gt;&lt;ref-type name="Report"&gt;27&lt;/ref-type&gt;&lt;contributors&gt;&lt;authors&gt;&lt;author&gt;Mehrotra, A&lt;/author&gt;&lt;author&gt;Chernew, M&lt;/author&gt;&lt;author&gt;Linetsky, D&lt;/author&gt;&lt;author&gt;Hatch, H&lt;/author&gt;&lt;author&gt;Cutler, D&lt;/author&gt;&lt;author&gt;Schneider, EC&lt;/author&gt;&lt;/authors&gt;&lt;/contributors&gt;&lt;titles&gt;&lt;title&gt;The Impact of COVID-19 on Outpatient Visits in 2020: Visits Remained Stable, Despite a Late Surge in Cases&lt;/title&gt;&lt;/titles&gt;&lt;dates&gt;&lt;year&gt;2021&lt;/year&gt;&lt;pub-dates&gt;&lt;date&gt;February 22&lt;/date&gt;&lt;/pub-dates&gt;&lt;/dates&gt;&lt;publisher&gt;The Commonwealth Fund&lt;/publisher&gt;&lt;urls&gt;&lt;related-urls&gt;&lt;url&gt;https://www.commonwealthfund.org/publications/2021/feb/impact-covid-19-outpatient-visits-2020-visits-stable-despite-late-surge&lt;/url&gt;&lt;/related-urls&gt;&lt;/urls&gt;&lt;/record&gt;&lt;/Cite&gt;&lt;/EndNote&gt;</w:instrText>
      </w:r>
      <w:r w:rsidRPr="002C0B84">
        <w:rPr>
          <w:rFonts w:ascii="Courier New" w:hAnsi="Courier New" w:cs="Courier New"/>
          <w:sz w:val="18"/>
          <w:szCs w:val="18"/>
        </w:rPr>
        <w:fldChar w:fldCharType="separate"/>
      </w:r>
      <w:r w:rsidRPr="002C0B84">
        <w:rPr>
          <w:rFonts w:ascii="Courier New" w:hAnsi="Courier New" w:cs="Courier New"/>
          <w:noProof/>
          <w:sz w:val="18"/>
          <w:szCs w:val="18"/>
        </w:rPr>
        <w:t>(</w:t>
      </w:r>
      <w:hyperlink w:anchor="_ENREF_4" w:tooltip="Mehrotra, 2021 #4" w:history="1">
        <w:r w:rsidRPr="002C0B84">
          <w:rPr>
            <w:rFonts w:ascii="Courier New" w:hAnsi="Courier New" w:cs="Courier New"/>
            <w:noProof/>
            <w:sz w:val="18"/>
            <w:szCs w:val="18"/>
          </w:rPr>
          <w:t>4</w:t>
        </w:r>
      </w:hyperlink>
      <w:r w:rsidRPr="002C0B84">
        <w:rPr>
          <w:rFonts w:ascii="Courier New" w:hAnsi="Courier New" w:cs="Courier New"/>
          <w:noProof/>
          <w:sz w:val="18"/>
          <w:szCs w:val="18"/>
        </w:rPr>
        <w:t>)</w:t>
      </w:r>
      <w:r w:rsidRPr="002C0B84">
        <w:rPr>
          <w:rFonts w:ascii="Courier New" w:hAnsi="Courier New" w:cs="Courier New"/>
          <w:sz w:val="18"/>
          <w:szCs w:val="18"/>
        </w:rPr>
        <w:fldChar w:fldCharType="end"/>
      </w:r>
      <w:r w:rsidRPr="002C0B84">
        <w:rPr>
          <w:rFonts w:ascii="Courier New" w:hAnsi="Courier New" w:cs="Courier New"/>
          <w:sz w:val="18"/>
          <w:szCs w:val="18"/>
        </w:rPr>
        <w:t xml:space="preserve">  Finally, evidence suggests lost in-person schooling will permanently diminish economic opportunities for today’s students; moreover, the impact is greatest for students from the most disadvantaged backgrounds.</w:t>
      </w:r>
      <w:r w:rsidRPr="002C0B84">
        <w:rPr>
          <w:rFonts w:ascii="Courier New" w:hAnsi="Courier New" w:cs="Courier New"/>
          <w:sz w:val="18"/>
          <w:szCs w:val="18"/>
        </w:rPr>
        <w:fldChar w:fldCharType="begin"/>
      </w:r>
      <w:r w:rsidRPr="002C0B84">
        <w:rPr>
          <w:rFonts w:ascii="Courier New" w:hAnsi="Courier New" w:cs="Courier New"/>
          <w:sz w:val="18"/>
          <w:szCs w:val="18"/>
        </w:rPr>
        <w:instrText xml:space="preserve"> ADDIN EN.CITE &lt;EndNote&gt;&lt;Cite&gt;&lt;Author&gt;Agostinelli&lt;/Author&gt;&lt;Year&gt;2020&lt;/Year&gt;&lt;RecNum&gt;5&lt;/RecNum&gt;&lt;DisplayText&gt;(5)&lt;/DisplayText&gt;&lt;record&gt;&lt;rec-number&gt;5&lt;/rec-number&gt;&lt;foreign-keys&gt;&lt;key app="EN" db-id="x95ferpfr5wvxqe5faxx0e04favsexr9asas" timestamp="1619545979"&gt;5&lt;/key&gt;&lt;/foreign-keys&gt;&lt;ref-type name="Report"&gt;27&lt;/ref-type&gt;&lt;contributors&gt;&lt;authors&gt;&lt;author&gt;Agostinelli, F&lt;/author&gt;&lt;author&gt;Matthias, D&lt;/author&gt;&lt;author&gt;Sorrenti, G&lt;/author&gt;&lt;author&gt;Zilibotti, F&lt;/author&gt;&lt;/authors&gt;&lt;/contributors&gt;&lt;titles&gt;&lt;title&gt;When the great equalizer shuts down: Schools, peers, and parents in pandemic times&lt;/title&gt;&lt;/titles&gt;&lt;dates&gt;&lt;year&gt;2020&lt;/year&gt;&lt;/dates&gt;&lt;publisher&gt;National Bureau of Economic Review&lt;/publisher&gt;&lt;isbn&gt;Working Paper 28264&lt;/isbn&gt;&lt;urls&gt;&lt;related-urls&gt;&lt;url&gt;http://www.nber.org/papers/w28264&lt;/url&gt;&lt;/related-urls&gt;&lt;/urls&gt;&lt;/record&gt;&lt;/Cite&gt;&lt;/EndNote&gt;</w:instrText>
      </w:r>
      <w:r w:rsidRPr="002C0B84">
        <w:rPr>
          <w:rFonts w:ascii="Courier New" w:hAnsi="Courier New" w:cs="Courier New"/>
          <w:sz w:val="18"/>
          <w:szCs w:val="18"/>
        </w:rPr>
        <w:fldChar w:fldCharType="separate"/>
      </w:r>
      <w:r w:rsidRPr="002C0B84">
        <w:rPr>
          <w:rFonts w:ascii="Courier New" w:hAnsi="Courier New" w:cs="Courier New"/>
          <w:noProof/>
          <w:sz w:val="18"/>
          <w:szCs w:val="18"/>
        </w:rPr>
        <w:t>(</w:t>
      </w:r>
      <w:hyperlink w:anchor="_ENREF_5" w:tooltip="Agostinelli, 2020 #5" w:history="1">
        <w:r w:rsidRPr="002C0B84">
          <w:rPr>
            <w:rFonts w:ascii="Courier New" w:hAnsi="Courier New" w:cs="Courier New"/>
            <w:noProof/>
            <w:sz w:val="18"/>
            <w:szCs w:val="18"/>
          </w:rPr>
          <w:t>5</w:t>
        </w:r>
      </w:hyperlink>
      <w:r w:rsidRPr="002C0B84">
        <w:rPr>
          <w:rFonts w:ascii="Courier New" w:hAnsi="Courier New" w:cs="Courier New"/>
          <w:noProof/>
          <w:sz w:val="18"/>
          <w:szCs w:val="18"/>
        </w:rPr>
        <w:t>)</w:t>
      </w:r>
      <w:r w:rsidRPr="002C0B84">
        <w:rPr>
          <w:rFonts w:ascii="Courier New" w:hAnsi="Courier New" w:cs="Courier New"/>
          <w:sz w:val="18"/>
          <w:szCs w:val="18"/>
        </w:rPr>
        <w:fldChar w:fldCharType="end"/>
      </w:r>
      <w:r w:rsidRPr="002C0B84">
        <w:rPr>
          <w:rFonts w:ascii="Courier New" w:hAnsi="Courier New" w:cs="Courier New"/>
          <w:sz w:val="18"/>
          <w:szCs w:val="18"/>
        </w:rPr>
        <w:t>The pandemic’s economic costs suggest that COVID-19 medical interventions could confer societal benefits exceeding the value of their health benefits.</w:t>
      </w:r>
      <w:r w:rsidRPr="002C0B84">
        <w:rPr>
          <w:rFonts w:ascii="Courier New" w:hAnsi="Courier New" w:cs="Courier New"/>
          <w:sz w:val="18"/>
          <w:szCs w:val="18"/>
        </w:rPr>
        <w:fldChar w:fldCharType="begin">
          <w:fldData xml:space="preserve">PEVuZE5vdGU+PENpdGU+PEF1dGhvcj5OZXVtYW5uPC9BdXRob3I+PFllYXI+MjAyMTwvWWVhcj48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</w:fldData>
        </w:fldChar>
      </w:r>
      <w:r w:rsidRPr="002C0B84">
        <w:rPr>
          <w:rFonts w:ascii="Courier New" w:hAnsi="Courier New" w:cs="Courier New"/>
          <w:sz w:val="18"/>
          <w:szCs w:val="18"/>
        </w:rPr>
        <w:instrText xml:space="preserve"> ADDIN EN.CITE </w:instrText>
      </w:r>
      <w:r w:rsidRPr="002C0B84">
        <w:rPr>
          <w:rFonts w:ascii="Courier New" w:hAnsi="Courier New" w:cs="Courier New"/>
          <w:sz w:val="18"/>
          <w:szCs w:val="18"/>
        </w:rPr>
        <w:fldChar w:fldCharType="begin">
          <w:fldData xml:space="preserve">PEVuZE5vdGU+PENpdGU+PEF1dGhvcj5OZXVtYW5uPC9BdXRob3I+PFllYXI+MjAyMTwvWWVhcj48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</w:fldData>
        </w:fldChar>
      </w:r>
      <w:r w:rsidRPr="002C0B84">
        <w:rPr>
          <w:rFonts w:ascii="Courier New" w:hAnsi="Courier New" w:cs="Courier New"/>
          <w:sz w:val="18"/>
          <w:szCs w:val="18"/>
        </w:rPr>
        <w:instrText xml:space="preserve"> ADDIN EN.CITE.DATA </w:instrText>
      </w:r>
      <w:r w:rsidRPr="002C0B84">
        <w:rPr>
          <w:rFonts w:ascii="Courier New" w:hAnsi="Courier New" w:cs="Courier New"/>
          <w:sz w:val="18"/>
          <w:szCs w:val="18"/>
        </w:rPr>
      </w:r>
      <w:r w:rsidRPr="002C0B84">
        <w:rPr>
          <w:rFonts w:ascii="Courier New" w:hAnsi="Courier New" w:cs="Courier New"/>
          <w:sz w:val="18"/>
          <w:szCs w:val="18"/>
        </w:rPr>
        <w:fldChar w:fldCharType="end"/>
      </w:r>
      <w:r w:rsidRPr="002C0B84">
        <w:rPr>
          <w:rFonts w:ascii="Courier New" w:hAnsi="Courier New" w:cs="Courier New"/>
          <w:sz w:val="18"/>
          <w:szCs w:val="18"/>
        </w:rPr>
      </w:r>
      <w:r w:rsidRPr="002C0B84">
        <w:rPr>
          <w:rFonts w:ascii="Courier New" w:hAnsi="Courier New" w:cs="Courier New"/>
          <w:sz w:val="18"/>
          <w:szCs w:val="18"/>
        </w:rPr>
        <w:fldChar w:fldCharType="separate"/>
      </w:r>
      <w:r w:rsidRPr="002C0B84">
        <w:rPr>
          <w:rFonts w:ascii="Courier New" w:hAnsi="Courier New" w:cs="Courier New"/>
          <w:noProof/>
          <w:sz w:val="18"/>
          <w:szCs w:val="18"/>
        </w:rPr>
        <w:t>(</w:t>
      </w:r>
      <w:hyperlink w:anchor="_ENREF_6" w:tooltip="Neumann, 2021 #6" w:history="1">
        <w:r w:rsidRPr="002C0B84">
          <w:rPr>
            <w:rFonts w:ascii="Courier New" w:hAnsi="Courier New" w:cs="Courier New"/>
            <w:noProof/>
            <w:sz w:val="18"/>
            <w:szCs w:val="18"/>
          </w:rPr>
          <w:t>6</w:t>
        </w:r>
      </w:hyperlink>
      <w:r w:rsidRPr="002C0B84">
        <w:rPr>
          <w:rFonts w:ascii="Courier New" w:hAnsi="Courier New" w:cs="Courier New"/>
          <w:noProof/>
          <w:sz w:val="18"/>
          <w:szCs w:val="18"/>
        </w:rPr>
        <w:t>)</w:t>
      </w:r>
      <w:r w:rsidRPr="002C0B84">
        <w:rPr>
          <w:rFonts w:ascii="Courier New" w:hAnsi="Courier New" w:cs="Courier New"/>
          <w:sz w:val="18"/>
          <w:szCs w:val="18"/>
        </w:rPr>
        <w:fldChar w:fldCharType="end"/>
      </w:r>
      <w:r w:rsidRPr="002C0B84">
        <w:rPr>
          <w:rFonts w:ascii="Courier New" w:hAnsi="Courier New" w:cs="Courier New"/>
          <w:sz w:val="18"/>
          <w:szCs w:val="18"/>
        </w:rPr>
        <w:t xml:space="preserve">  Based on stock market movements in apparent response to positive news about vaccines in development, for example, one analysis estimated a pandemic-ending therapy to be worth between 5 and 15 percent of total wealth.</w:t>
      </w:r>
      <w:r w:rsidRPr="002C0B84">
        <w:rPr>
          <w:rFonts w:ascii="Courier New" w:hAnsi="Courier New" w:cs="Courier New"/>
          <w:sz w:val="18"/>
          <w:szCs w:val="18"/>
        </w:rPr>
        <w:fldChar w:fldCharType="begin"/>
      </w:r>
      <w:r w:rsidRPr="002C0B84">
        <w:rPr>
          <w:rFonts w:ascii="Courier New" w:hAnsi="Courier New" w:cs="Courier New"/>
          <w:sz w:val="18"/>
          <w:szCs w:val="18"/>
        </w:rPr>
        <w:instrText xml:space="preserve"> ADDIN EN.CITE &lt;EndNote&gt;&lt;Cite&gt;&lt;Author&gt;Acharya&lt;/Author&gt;&lt;Year&gt;2021&lt;/Year&gt;&lt;RecNum&gt;7&lt;/RecNum&gt;&lt;DisplayText&gt;(7)&lt;/DisplayText&gt;&lt;record&gt;&lt;rec-number&gt;7&lt;/rec-number&gt;&lt;foreign-keys&gt;&lt;key app="EN" db-id="x95ferpfr5wvxqe5faxx0e04favsexr9asas" timestamp="1619551513"&gt;7&lt;/key&gt;&lt;/foreign-keys&gt;&lt;ref-type name="Report"&gt;27&lt;/ref-type&gt;&lt;contributors&gt;&lt;authors&gt;&lt;author&gt;Acharya, VV&lt;/author&gt;&lt;author&gt;Johnson, T&lt;/author&gt;&lt;author&gt;Sundaresan, S&lt;/author&gt;&lt;author&gt;Zheng, S&lt;/author&gt;&lt;/authors&gt;&lt;/contributors&gt;&lt;titles&gt;&lt;title&gt;The value of a cure: An asset pricing perspective&lt;/title&gt;&lt;/titles&gt;&lt;dates&gt;&lt;year&gt;2021&lt;/year&gt;&lt;/dates&gt;&lt;publisher&gt;National Bureau of Economic Research&lt;/publisher&gt;&lt;isbn&gt;Working Paper 28127&lt;/isbn&gt;&lt;urls&gt;&lt;related-urls&gt;&lt;url&gt;http://www.nber.org/papers/w28127&lt;/url&gt;&lt;/related-urls&gt;&lt;/urls&gt;&lt;/record&gt;&lt;/Cite&gt;&lt;/EndNote&gt;</w:instrText>
      </w:r>
      <w:r w:rsidRPr="002C0B84">
        <w:rPr>
          <w:rFonts w:ascii="Courier New" w:hAnsi="Courier New" w:cs="Courier New"/>
          <w:sz w:val="18"/>
          <w:szCs w:val="18"/>
        </w:rPr>
        <w:fldChar w:fldCharType="separate"/>
      </w:r>
      <w:r w:rsidRPr="002C0B84">
        <w:rPr>
          <w:rFonts w:ascii="Courier New" w:hAnsi="Courier New" w:cs="Courier New"/>
          <w:noProof/>
          <w:sz w:val="18"/>
          <w:szCs w:val="18"/>
        </w:rPr>
        <w:t>(</w:t>
      </w:r>
      <w:hyperlink w:anchor="_ENREF_7" w:tooltip="Acharya, 2021 #7" w:history="1">
        <w:r w:rsidRPr="002C0B84">
          <w:rPr>
            <w:rFonts w:ascii="Courier New" w:hAnsi="Courier New" w:cs="Courier New"/>
            <w:noProof/>
            <w:sz w:val="18"/>
            <w:szCs w:val="18"/>
          </w:rPr>
          <w:t>7</w:t>
        </w:r>
      </w:hyperlink>
      <w:r w:rsidRPr="002C0B84">
        <w:rPr>
          <w:rFonts w:ascii="Courier New" w:hAnsi="Courier New" w:cs="Courier New"/>
          <w:noProof/>
          <w:sz w:val="18"/>
          <w:szCs w:val="18"/>
        </w:rPr>
        <w:t>)</w:t>
      </w:r>
      <w:r w:rsidRPr="002C0B84">
        <w:rPr>
          <w:rFonts w:ascii="Courier New" w:hAnsi="Courier New" w:cs="Courier New"/>
          <w:sz w:val="18"/>
          <w:szCs w:val="18"/>
        </w:rPr>
        <w:fldChar w:fldCharType="end"/>
      </w:r>
      <w:r w:rsidRPr="002C0B84">
        <w:rPr>
          <w:rFonts w:ascii="Courier New" w:hAnsi="Courier New" w:cs="Courier New"/>
          <w:sz w:val="18"/>
          <w:szCs w:val="18"/>
        </w:rPr>
        <w:t xml:space="preserve">  In the United States alone, that result implies a value ranging from $6 to $17 trillion.</w:t>
      </w:r>
      <w:r w:rsidRPr="002C0B84">
        <w:rPr>
          <w:rFonts w:ascii="Courier New" w:hAnsi="Courier New" w:cs="Courier New"/>
          <w:sz w:val="18"/>
          <w:szCs w:val="18"/>
        </w:rPr>
        <w:fldChar w:fldCharType="begin"/>
      </w:r>
      <w:r w:rsidRPr="002C0B84">
        <w:rPr>
          <w:rFonts w:ascii="Courier New" w:hAnsi="Courier New" w:cs="Courier New"/>
          <w:sz w:val="18"/>
          <w:szCs w:val="18"/>
        </w:rPr>
        <w:instrText xml:space="preserve"> ADDIN EN.CITE &lt;EndNote&gt;&lt;Cite&gt;&lt;Author&gt;Shorrocks&lt;/Author&gt;&lt;Year&gt;2020&lt;/Year&gt;&lt;RecNum&gt;8&lt;/RecNum&gt;&lt;DisplayText&gt;(8)&lt;/DisplayText&gt;&lt;record&gt;&lt;rec-number&gt;8&lt;/rec-number&gt;&lt;foreign-keys&gt;&lt;key app="EN" db-id="x95ferpfr5wvxqe5faxx0e04favsexr9asas" timestamp="1619553554"&gt;8&lt;/key&gt;&lt;/foreign-keys&gt;&lt;ref-type name="Report"&gt;27&lt;/ref-type&gt;&lt;contributors&gt;&lt;authors&gt;&lt;author&gt;Shorrocks, A&lt;/author&gt;&lt;author&gt;Davies, J&lt;/author&gt;&lt;author&gt;Lluberas, R&lt;/author&gt;&lt;/authors&gt;&lt;/contributors&gt;&lt;titles&gt;&lt;title&gt;Wealth of Nations&lt;/title&gt;&lt;secondary-title&gt;Global Wealth Report 2020&lt;/secondary-title&gt;&lt;/titles&gt;&lt;dates&gt;&lt;year&gt;2020&lt;/year&gt;&lt;/dates&gt;&lt;publisher&gt;Credit Suisse Research Institute&lt;/publisher&gt;&lt;urls&gt;&lt;related-urls&gt;&lt;url&gt;https://www.credit-suisse.com/media/assets/corporate/docs/about-us/research/publications/global-wealth-report-2020-en.pdf&lt;/url&gt;&lt;/related-urls&gt;&lt;/urls&gt;&lt;/record&gt;&lt;/Cite&gt;&lt;/EndNote&gt;</w:instrText>
      </w:r>
      <w:r w:rsidRPr="002C0B84">
        <w:rPr>
          <w:rFonts w:ascii="Courier New" w:hAnsi="Courier New" w:cs="Courier New"/>
          <w:sz w:val="18"/>
          <w:szCs w:val="18"/>
        </w:rPr>
        <w:fldChar w:fldCharType="separate"/>
      </w:r>
      <w:r w:rsidRPr="002C0B84">
        <w:rPr>
          <w:rFonts w:ascii="Courier New" w:hAnsi="Courier New" w:cs="Courier New"/>
          <w:noProof/>
          <w:sz w:val="18"/>
          <w:szCs w:val="18"/>
        </w:rPr>
        <w:t>(</w:t>
      </w:r>
      <w:hyperlink w:anchor="_ENREF_8" w:tooltip="Shorrocks, 2020 #8" w:history="1">
        <w:r w:rsidRPr="002C0B84">
          <w:rPr>
            <w:rFonts w:ascii="Courier New" w:hAnsi="Courier New" w:cs="Courier New"/>
            <w:noProof/>
            <w:sz w:val="18"/>
            <w:szCs w:val="18"/>
          </w:rPr>
          <w:t>8</w:t>
        </w:r>
      </w:hyperlink>
      <w:r w:rsidRPr="002C0B84">
        <w:rPr>
          <w:rFonts w:ascii="Courier New" w:hAnsi="Courier New" w:cs="Courier New"/>
          <w:noProof/>
          <w:sz w:val="18"/>
          <w:szCs w:val="18"/>
        </w:rPr>
        <w:t>)</w:t>
      </w:r>
      <w:r w:rsidRPr="002C0B84">
        <w:rPr>
          <w:rFonts w:ascii="Courier New" w:hAnsi="Courier New" w:cs="Courier New"/>
          <w:sz w:val="18"/>
          <w:szCs w:val="18"/>
        </w:rPr>
        <w:fldChar w:fldCharType="end"/>
      </w:r>
      <w:r w:rsidRPr="002C0B84">
        <w:rPr>
          <w:rFonts w:ascii="Courier New" w:hAnsi="Courier New" w:cs="Courier New"/>
          <w:sz w:val="18"/>
          <w:szCs w:val="18"/>
        </w:rPr>
        <w:t>Assessing the societal value of COVID therapies that have a less dramatic impact on the population as a whole, such as antiviral treatments</w:t>
      </w:r>
      <w:r w:rsidRPr="002C0B84">
        <w:rPr>
          <w:rFonts w:ascii="Courier New" w:hAnsi="Courier New" w:cs="Courier New"/>
          <w:sz w:val="18"/>
          <w:szCs w:val="18"/>
        </w:rPr>
        <w:fldChar w:fldCharType="begin"/>
      </w:r>
      <w:r w:rsidRPr="002C0B84">
        <w:rPr>
          <w:rFonts w:ascii="Courier New" w:hAnsi="Courier New" w:cs="Courier New"/>
          <w:sz w:val="18"/>
          <w:szCs w:val="18"/>
        </w:rPr>
        <w:instrText xml:space="preserve"> ADDIN EN.CITE &lt;EndNote&gt;&lt;Cite&gt;&lt;Author&gt;U.S. Food and Drug Administration&lt;/Author&gt;&lt;Year&gt;2020&lt;/Year&gt;&lt;RecNum&gt;9&lt;/RecNum&gt;&lt;DisplayText&gt;(9)&lt;/DisplayText&gt;&lt;record&gt;&lt;rec-number&gt;9&lt;/rec-number&gt;&lt;foreign-keys&gt;&lt;key app="EN" db-id="x95ferpfr5wvxqe5faxx0e04favsexr9asas" timestamp="1619622771"&gt;9&lt;/key&gt;&lt;/foreign-keys&gt;&lt;ref-type name="Press Release"&gt;63&lt;/ref-type&gt;&lt;contributors&gt;&lt;authors&gt;&lt;author&gt;U.S. Food and Drug Administration,&lt;/author&gt;&lt;/authors&gt;&lt;/contributors&gt;&lt;titles&gt;&lt;title&gt;FDA Approves First Treatment for COVID-19&lt;/title&gt;&lt;/titles&gt;&lt;dates&gt;&lt;year&gt;2020&lt;/year&gt;&lt;pub-dates&gt;&lt;date&gt;October 22&lt;/date&gt;&lt;/pub-dates&gt;&lt;/dates&gt;&lt;urls&gt;&lt;related-urls&gt;&lt;url&gt;https://www.fda.gov/news-events/press-announcements/fda-approves-first-treatment-covid-19&lt;/url&gt;&lt;/related-urls&gt;&lt;/urls&gt;&lt;/record&gt;&lt;/Cite&gt;&lt;/EndNote&gt;</w:instrText>
      </w:r>
      <w:r w:rsidRPr="002C0B84">
        <w:rPr>
          <w:rFonts w:ascii="Courier New" w:hAnsi="Courier New" w:cs="Courier New"/>
          <w:sz w:val="18"/>
          <w:szCs w:val="18"/>
        </w:rPr>
        <w:fldChar w:fldCharType="separate"/>
      </w:r>
      <w:r w:rsidRPr="002C0B84">
        <w:rPr>
          <w:rFonts w:ascii="Courier New" w:hAnsi="Courier New" w:cs="Courier New"/>
          <w:noProof/>
          <w:sz w:val="18"/>
          <w:szCs w:val="18"/>
        </w:rPr>
        <w:t>(</w:t>
      </w:r>
      <w:hyperlink w:anchor="_ENREF_9" w:tooltip="U.S. Food and Drug Administration, 2020 #9" w:history="1">
        <w:r w:rsidRPr="002C0B84">
          <w:rPr>
            <w:rFonts w:ascii="Courier New" w:hAnsi="Courier New" w:cs="Courier New"/>
            <w:noProof/>
            <w:sz w:val="18"/>
            <w:szCs w:val="18"/>
          </w:rPr>
          <w:t>9</w:t>
        </w:r>
      </w:hyperlink>
      <w:r w:rsidRPr="002C0B84">
        <w:rPr>
          <w:rFonts w:ascii="Courier New" w:hAnsi="Courier New" w:cs="Courier New"/>
          <w:noProof/>
          <w:sz w:val="18"/>
          <w:szCs w:val="18"/>
        </w:rPr>
        <w:t>)</w:t>
      </w:r>
      <w:r w:rsidRPr="002C0B84">
        <w:rPr>
          <w:rFonts w:ascii="Courier New" w:hAnsi="Courier New" w:cs="Courier New"/>
          <w:sz w:val="18"/>
          <w:szCs w:val="18"/>
        </w:rPr>
        <w:fldChar w:fldCharType="end"/>
      </w:r>
      <w:r w:rsidRPr="002C0B84">
        <w:rPr>
          <w:rFonts w:ascii="Courier New" w:hAnsi="Courier New" w:cs="Courier New"/>
          <w:sz w:val="18"/>
          <w:szCs w:val="18"/>
        </w:rPr>
        <w:t xml:space="preserve"> and monoclonal antibodies,</w:t>
      </w:r>
      <w:r w:rsidRPr="002C0B84">
        <w:rPr>
          <w:rFonts w:ascii="Courier New" w:hAnsi="Courier New" w:cs="Courier New"/>
          <w:sz w:val="18"/>
          <w:szCs w:val="18"/>
        </w:rPr>
        <w:fldChar w:fldCharType="begin"/>
      </w:r>
      <w:r w:rsidRPr="002C0B84">
        <w:rPr>
          <w:rFonts w:ascii="Courier New" w:hAnsi="Courier New" w:cs="Courier New"/>
          <w:sz w:val="18"/>
          <w:szCs w:val="18"/>
        </w:rPr>
        <w:instrText xml:space="preserve"> ADDIN EN.CITE &lt;EndNote&gt;&lt;Cite&gt;&lt;Author&gt;U.S. Food and Drug Administration&lt;/Author&gt;&lt;Year&gt;2020&lt;/Year&gt;&lt;RecNum&gt;10&lt;/RecNum&gt;&lt;DisplayText&gt;(10)&lt;/DisplayText&gt;&lt;record&gt;&lt;rec-number&gt;10&lt;/rec-number&gt;&lt;foreign-keys&gt;&lt;key app="EN" db-id="x95ferpfr5wvxqe5faxx0e04favsexr9asas" timestamp="1619623409"&gt;10&lt;/key&gt;&lt;/foreign-keys&gt;&lt;ref-type name="Press Release"&gt;63&lt;/ref-type&gt;&lt;contributors&gt;&lt;authors&gt;&lt;author&gt;U.S. Food and Drug Administration,&lt;/author&gt;&lt;/authors&gt;&lt;/contributors&gt;&lt;titles&gt;&lt;title&gt;Coronavirus (COVID-19) Update: FDA Authorizes Monoclonal Antibody for Treatment of COVID-19&lt;/title&gt;&lt;/titles&gt;&lt;dates&gt;&lt;year&gt;2020&lt;/year&gt;&lt;pub-dates&gt;&lt;date&gt;November 9&lt;/date&gt;&lt;/pub-dates&gt;&lt;/dates&gt;&lt;urls&gt;&lt;related-urls&gt;&lt;url&gt;https://www.fda.gov/news-events/press-announcements/coronavirus-covid-19-update-fda-authorizes-monoclonal-antibody-treatment-covid-19&lt;/url&gt;&lt;/related-urls&gt;&lt;/urls&gt;&lt;/record&gt;&lt;/Cite&gt;&lt;/EndNote&gt;</w:instrText>
      </w:r>
      <w:r w:rsidRPr="002C0B84">
        <w:rPr>
          <w:rFonts w:ascii="Courier New" w:hAnsi="Courier New" w:cs="Courier New"/>
          <w:sz w:val="18"/>
          <w:szCs w:val="18"/>
        </w:rPr>
        <w:fldChar w:fldCharType="separate"/>
      </w:r>
      <w:r w:rsidRPr="002C0B84">
        <w:rPr>
          <w:rFonts w:ascii="Courier New" w:hAnsi="Courier New" w:cs="Courier New"/>
          <w:noProof/>
          <w:sz w:val="18"/>
          <w:szCs w:val="18"/>
        </w:rPr>
        <w:t>(</w:t>
      </w:r>
      <w:hyperlink w:anchor="_ENREF_10" w:tooltip="U.S. Food and Drug Administration, 2020 #10" w:history="1">
        <w:r w:rsidRPr="002C0B84">
          <w:rPr>
            <w:rFonts w:ascii="Courier New" w:hAnsi="Courier New" w:cs="Courier New"/>
            <w:noProof/>
            <w:sz w:val="18"/>
            <w:szCs w:val="18"/>
          </w:rPr>
          <w:t>10</w:t>
        </w:r>
      </w:hyperlink>
      <w:r w:rsidRPr="002C0B84">
        <w:rPr>
          <w:rFonts w:ascii="Courier New" w:hAnsi="Courier New" w:cs="Courier New"/>
          <w:noProof/>
          <w:sz w:val="18"/>
          <w:szCs w:val="18"/>
        </w:rPr>
        <w:t>)</w:t>
      </w:r>
      <w:r w:rsidRPr="002C0B84">
        <w:rPr>
          <w:rFonts w:ascii="Courier New" w:hAnsi="Courier New" w:cs="Courier New"/>
          <w:sz w:val="18"/>
          <w:szCs w:val="18"/>
        </w:rPr>
        <w:fldChar w:fldCharType="end"/>
      </w:r>
      <w:r w:rsidRPr="002C0B84">
        <w:rPr>
          <w:rFonts w:ascii="Courier New" w:hAnsi="Courier New" w:cs="Courier New"/>
          <w:sz w:val="18"/>
          <w:szCs w:val="18"/>
        </w:rPr>
        <w:t xml:space="preserve"> presents a distinct challenge.  These therapies do not directly address population disease transmission and therefore have less potential to return life to “normal”.  Instead, they aim to prevent progression to severe disease or speed recovery.”</w:t>
      </w:r>
    </w:p>
    <w:p w14:paraId="32074D5E" w14:textId="77777777" w:rsidR="00211B56" w:rsidRPr="00211B56" w:rsidRDefault="00211B56" w:rsidP="00211B56">
      <w:pPr>
        <w:pStyle w:val="ListParagraph"/>
        <w:spacing w:after="0" w:line="240" w:lineRule="auto"/>
        <w:ind w:left="1080"/>
        <w:rPr>
          <w:rFonts w:ascii="Courier New" w:hAnsi="Courier New" w:cs="Courier New"/>
          <w:sz w:val="18"/>
          <w:szCs w:val="18"/>
        </w:rPr>
      </w:pPr>
    </w:p>
    <w:p w14:paraId="5D2FEB3C" w14:textId="77777777" w:rsidR="00801179" w:rsidRPr="00C97107" w:rsidRDefault="00801179" w:rsidP="00801179">
      <w:pPr>
        <w:rPr>
          <w:rFonts w:ascii="Courier New" w:hAnsi="Courier New" w:cs="Courier New"/>
        </w:rPr>
      </w:pPr>
      <w:r w:rsidRPr="00C97107">
        <w:rPr>
          <w:rFonts w:ascii="Courier New" w:hAnsi="Courier New" w:cs="Courier New"/>
        </w:rPr>
        <w:t xml:space="preserve">Item No. 3 – </w:t>
      </w:r>
      <w:r w:rsidR="00FC71C4" w:rsidRPr="00C97107">
        <w:rPr>
          <w:rFonts w:ascii="Courier New" w:hAnsi="Courier New" w:cs="Courier New"/>
        </w:rPr>
        <w:t>Objectives</w:t>
      </w:r>
    </w:p>
    <w:p w14:paraId="12603FB5" w14:textId="3D865252" w:rsidR="00FC71C4" w:rsidRPr="002C0B84" w:rsidRDefault="00C97107" w:rsidP="002C0B84">
      <w:pPr>
        <w:spacing w:after="0" w:line="240" w:lineRule="auto"/>
        <w:ind w:left="720"/>
        <w:rPr>
          <w:rFonts w:ascii="Courier New" w:hAnsi="Courier New" w:cs="Courier New"/>
          <w:sz w:val="18"/>
          <w:szCs w:val="24"/>
        </w:rPr>
      </w:pPr>
      <w:r w:rsidRPr="002C0B84">
        <w:rPr>
          <w:rFonts w:ascii="Courier New" w:hAnsi="Courier New" w:cs="Courier New"/>
          <w:sz w:val="18"/>
          <w:szCs w:val="24"/>
        </w:rPr>
        <w:t>“</w:t>
      </w:r>
      <w:r w:rsidR="00211B56" w:rsidRPr="002C0B84">
        <w:rPr>
          <w:rFonts w:ascii="Courier New" w:hAnsi="Courier New" w:cs="Courier New"/>
          <w:sz w:val="18"/>
          <w:szCs w:val="24"/>
        </w:rPr>
        <w:t xml:space="preserve">This paper’s aim is to estimate the cost of these restrictions </w:t>
      </w:r>
      <w:r w:rsidRPr="002C0B84">
        <w:rPr>
          <w:rFonts w:ascii="Courier New" w:hAnsi="Courier New" w:cs="Courier New"/>
          <w:sz w:val="18"/>
          <w:szCs w:val="24"/>
        </w:rPr>
        <w:t xml:space="preserve">[restrictions enacted by US state and local governments during the COVID pandemic] </w:t>
      </w:r>
      <w:r w:rsidR="00211B56" w:rsidRPr="002C0B84">
        <w:rPr>
          <w:rFonts w:ascii="Courier New" w:hAnsi="Courier New" w:cs="Courier New"/>
          <w:sz w:val="18"/>
          <w:szCs w:val="24"/>
        </w:rPr>
        <w:t>and hence the potential value conferred by COVID-19 therapies that help avert hospital admissions by preventing progression to severe disease or that speed recovery.”</w:t>
      </w:r>
    </w:p>
    <w:p w14:paraId="1178AD3E" w14:textId="77777777" w:rsidR="00801179" w:rsidRDefault="00801179" w:rsidP="00801179"/>
    <w:p w14:paraId="7ADCCA54" w14:textId="77777777" w:rsidR="00C97107" w:rsidRDefault="00C97107">
      <w:pPr>
        <w:rPr>
          <w:b/>
        </w:rPr>
      </w:pPr>
      <w:r>
        <w:rPr>
          <w:b/>
        </w:rPr>
        <w:br w:type="page"/>
      </w:r>
    </w:p>
    <w:p w14:paraId="5D9AD6A0" w14:textId="430D9368" w:rsidR="00F832CA" w:rsidRPr="00C97107" w:rsidRDefault="00801179" w:rsidP="00C97107">
      <w:pPr>
        <w:keepNext/>
        <w:rPr>
          <w:rFonts w:ascii="Courier New" w:hAnsi="Courier New" w:cs="Courier New"/>
          <w:b/>
        </w:rPr>
      </w:pPr>
      <w:r w:rsidRPr="00C97107">
        <w:rPr>
          <w:rFonts w:ascii="Courier New" w:hAnsi="Courier New" w:cs="Courier New"/>
          <w:b/>
        </w:rPr>
        <w:lastRenderedPageBreak/>
        <w:t>Methods</w:t>
      </w:r>
    </w:p>
    <w:p w14:paraId="18288D52" w14:textId="77777777" w:rsidR="00801179" w:rsidRPr="00C97107" w:rsidRDefault="00F832CA" w:rsidP="00C97107">
      <w:pPr>
        <w:keepNext/>
        <w:rPr>
          <w:rFonts w:ascii="Courier New" w:hAnsi="Courier New" w:cs="Courier New"/>
        </w:rPr>
      </w:pPr>
      <w:r w:rsidRPr="00C97107">
        <w:rPr>
          <w:rFonts w:ascii="Courier New" w:hAnsi="Courier New" w:cs="Courier New"/>
        </w:rPr>
        <w:t>Item</w:t>
      </w:r>
      <w:r w:rsidR="00801179" w:rsidRPr="00C97107">
        <w:rPr>
          <w:rFonts w:ascii="Courier New" w:hAnsi="Courier New" w:cs="Courier New"/>
        </w:rPr>
        <w:t xml:space="preserve"> No. 4 – </w:t>
      </w:r>
      <w:r w:rsidR="00FC71C4" w:rsidRPr="00C97107">
        <w:rPr>
          <w:rFonts w:ascii="Courier New" w:hAnsi="Courier New" w:cs="Courier New"/>
        </w:rPr>
        <w:t>Study Design</w:t>
      </w:r>
    </w:p>
    <w:p w14:paraId="66C24A6B" w14:textId="77777777" w:rsidR="00FC71C4" w:rsidRPr="002C0B84" w:rsidRDefault="00FC71C4" w:rsidP="002C0B84">
      <w:pPr>
        <w:spacing w:after="0" w:line="240" w:lineRule="auto"/>
        <w:ind w:left="360"/>
        <w:rPr>
          <w:rFonts w:ascii="Courier New" w:hAnsi="Courier New" w:cs="Courier New"/>
          <w:sz w:val="18"/>
          <w:szCs w:val="18"/>
        </w:rPr>
      </w:pPr>
      <w:r w:rsidRPr="002C0B84">
        <w:rPr>
          <w:sz w:val="18"/>
          <w:szCs w:val="18"/>
        </w:rPr>
        <w:t>“</w:t>
      </w:r>
      <w:r w:rsidRPr="002C0B84">
        <w:rPr>
          <w:rFonts w:ascii="Courier New" w:hAnsi="Courier New" w:cs="Courier New"/>
          <w:sz w:val="18"/>
          <w:szCs w:val="18"/>
        </w:rPr>
        <w:t>To assess the cost of government-imposed economic restrictions, we combined high frequency economic data, information on the pandemic’s progression (case incidence and mortality), and information about when state governments imposed and lifted restrictions on business activities.  Rather than including data from spring, 2020, when the pandemic’s initial onslaught increased unemployment claims and reduced consumer spending to an extent unrepresentative of subsequent periods during the pandemic,</w:t>
      </w:r>
      <w:r w:rsidRPr="002C0B84">
        <w:rPr>
          <w:rFonts w:ascii="Courier New" w:hAnsi="Courier New" w:cs="Courier New"/>
          <w:sz w:val="18"/>
          <w:szCs w:val="18"/>
        </w:rPr>
        <w:fldChar w:fldCharType="begin"/>
      </w:r>
      <w:r w:rsidRPr="002C0B84">
        <w:rPr>
          <w:rFonts w:ascii="Courier New" w:hAnsi="Courier New" w:cs="Courier New"/>
          <w:sz w:val="18"/>
          <w:szCs w:val="18"/>
        </w:rPr>
        <w:instrText xml:space="preserve"> ADDIN EN.CITE &lt;EndNote&gt;&lt;Cite&gt;&lt;Author&gt;Cox&lt;/Author&gt;&lt;Year&gt;2021&lt;/Year&gt;&lt;RecNum&gt;17&lt;/RecNum&gt;&lt;DisplayText&gt;(17,18)&lt;/DisplayText&gt;&lt;record&gt;&lt;rec-number&gt;17&lt;/rec-number&gt;&lt;foreign-keys&gt;&lt;key app="EN" db-id="x95ferpfr5wvxqe5faxx0e04favsexr9asas" timestamp="1619632276"&gt;17&lt;/key&gt;&lt;/foreign-keys&gt;&lt;ref-type name="Newspaper Article"&gt;23&lt;/ref-type&gt;&lt;contributors&gt;&lt;authors&gt;&lt;author&gt;Cox, Jeff&lt;/author&gt;&lt;/authors&gt;&lt;/contributors&gt;&lt;titles&gt;&lt;title&gt;Jobless claims fall again as employment picture gains strength&lt;/title&gt;&lt;secondary-title&gt;CNBC&lt;/secondary-title&gt;&lt;/titles&gt;&lt;dates&gt;&lt;year&gt;2021&lt;/year&gt;&lt;/dates&gt;&lt;urls&gt;&lt;related-urls&gt;&lt;url&gt;https://www.cnbc.com/2021/04/22/us-jobless-claims.html&lt;/url&gt;&lt;/related-urls&gt;&lt;/urls&gt;&lt;/record&gt;&lt;/Cite&gt;&lt;Cite&gt;&lt;Author&gt;Kerstein&lt;/Author&gt;&lt;Year&gt;2020&lt;/Year&gt;&lt;RecNum&gt;18&lt;/RecNum&gt;&lt;record&gt;&lt;rec-number&gt;18&lt;/rec-number&gt;&lt;foreign-keys&gt;&lt;key app="EN" db-id="x95ferpfr5wvxqe5faxx0e04favsexr9asas" timestamp="1619632460"&gt;18&lt;/key&gt;&lt;/foreign-keys&gt;&lt;ref-type name="Online Multimedia"&gt;48&lt;/ref-type&gt;&lt;contributors&gt;&lt;authors&gt;&lt;author&gt;Kerstein, Seth&lt;/author&gt;&lt;/authors&gt;&lt;/contributors&gt;&lt;titles&gt;&lt;title&gt;U.S. Retail Sales Update: September 2020&lt;/title&gt;&lt;/titles&gt;&lt;dates&gt;&lt;year&gt;2020&lt;/year&gt;&lt;/dates&gt;&lt;publisher&gt;Legislative Analyst&amp;apos;s Office&lt;/publisher&gt;&lt;urls&gt;&lt;related-urls&gt;&lt;url&gt;https://lao.ca.gov/LAOEconTax/Article/Detail/562&lt;/url&gt;&lt;/related-urls&gt;&lt;/urls&gt;&lt;/record&gt;&lt;/Cite&gt;&lt;/EndNote&gt;</w:instrText>
      </w:r>
      <w:r w:rsidRPr="002C0B84">
        <w:rPr>
          <w:rFonts w:ascii="Courier New" w:hAnsi="Courier New" w:cs="Courier New"/>
          <w:sz w:val="18"/>
          <w:szCs w:val="18"/>
        </w:rPr>
        <w:fldChar w:fldCharType="separate"/>
      </w:r>
      <w:r w:rsidRPr="002C0B84">
        <w:rPr>
          <w:rFonts w:ascii="Courier New" w:hAnsi="Courier New" w:cs="Courier New"/>
          <w:noProof/>
          <w:sz w:val="18"/>
          <w:szCs w:val="18"/>
        </w:rPr>
        <w:t>(</w:t>
      </w:r>
      <w:hyperlink w:anchor="_ENREF_17" w:tooltip="Cox, 2021 #17" w:history="1">
        <w:r w:rsidRPr="002C0B84">
          <w:rPr>
            <w:rFonts w:ascii="Courier New" w:hAnsi="Courier New" w:cs="Courier New"/>
            <w:noProof/>
            <w:sz w:val="18"/>
            <w:szCs w:val="18"/>
          </w:rPr>
          <w:t>17</w:t>
        </w:r>
      </w:hyperlink>
      <w:r w:rsidRPr="002C0B84">
        <w:rPr>
          <w:rFonts w:ascii="Courier New" w:hAnsi="Courier New" w:cs="Courier New"/>
          <w:noProof/>
          <w:sz w:val="18"/>
          <w:szCs w:val="18"/>
        </w:rPr>
        <w:t>,</w:t>
      </w:r>
      <w:hyperlink w:anchor="_ENREF_18" w:tooltip="Kerstein, 2020 #18" w:history="1">
        <w:r w:rsidRPr="002C0B84">
          <w:rPr>
            <w:rFonts w:ascii="Courier New" w:hAnsi="Courier New" w:cs="Courier New"/>
            <w:noProof/>
            <w:sz w:val="18"/>
            <w:szCs w:val="18"/>
          </w:rPr>
          <w:t>18</w:t>
        </w:r>
      </w:hyperlink>
      <w:r w:rsidRPr="002C0B84">
        <w:rPr>
          <w:rFonts w:ascii="Courier New" w:hAnsi="Courier New" w:cs="Courier New"/>
          <w:noProof/>
          <w:sz w:val="18"/>
          <w:szCs w:val="18"/>
        </w:rPr>
        <w:t>)</w:t>
      </w:r>
      <w:r w:rsidRPr="002C0B84">
        <w:rPr>
          <w:rFonts w:ascii="Courier New" w:hAnsi="Courier New" w:cs="Courier New"/>
          <w:sz w:val="18"/>
          <w:szCs w:val="18"/>
        </w:rPr>
        <w:fldChar w:fldCharType="end"/>
      </w:r>
      <w:r w:rsidRPr="002C0B84">
        <w:rPr>
          <w:rFonts w:ascii="Courier New" w:hAnsi="Courier New" w:cs="Courier New"/>
          <w:sz w:val="18"/>
          <w:szCs w:val="18"/>
        </w:rPr>
        <w:t xml:space="preserve"> we instead focused on the fall and winter of 2020-2021.” Beginning of methods section describes key elements of study design early in paper</w:t>
      </w:r>
    </w:p>
    <w:p w14:paraId="46ADDD96" w14:textId="77777777" w:rsidR="005B325C" w:rsidRPr="005B325C" w:rsidRDefault="005B325C" w:rsidP="005B325C">
      <w:pPr>
        <w:pStyle w:val="ListParagraph"/>
        <w:spacing w:after="0" w:line="240" w:lineRule="auto"/>
        <w:rPr>
          <w:rFonts w:ascii="Courier New" w:hAnsi="Courier New" w:cs="Courier New"/>
          <w:sz w:val="18"/>
          <w:szCs w:val="18"/>
        </w:rPr>
      </w:pPr>
    </w:p>
    <w:p w14:paraId="171AA0DB" w14:textId="77777777" w:rsidR="00801179" w:rsidRPr="00C97107" w:rsidRDefault="00801179">
      <w:pPr>
        <w:rPr>
          <w:rFonts w:ascii="Courier New" w:hAnsi="Courier New" w:cs="Courier New"/>
        </w:rPr>
      </w:pPr>
      <w:r w:rsidRPr="00C97107">
        <w:rPr>
          <w:rFonts w:ascii="Courier New" w:hAnsi="Courier New" w:cs="Courier New"/>
        </w:rPr>
        <w:t xml:space="preserve">Item No. 5 – </w:t>
      </w:r>
      <w:r w:rsidR="00FC71C4" w:rsidRPr="00C97107">
        <w:rPr>
          <w:rFonts w:ascii="Courier New" w:hAnsi="Courier New" w:cs="Courier New"/>
        </w:rPr>
        <w:t>Setting</w:t>
      </w:r>
    </w:p>
    <w:p w14:paraId="7399B178" w14:textId="77777777" w:rsidR="004A4859" w:rsidRPr="00C97107" w:rsidRDefault="004A4859" w:rsidP="00C97107">
      <w:pPr>
        <w:pStyle w:val="ListParagraph"/>
        <w:numPr>
          <w:ilvl w:val="0"/>
          <w:numId w:val="3"/>
        </w:numPr>
        <w:spacing w:line="240" w:lineRule="auto"/>
        <w:rPr>
          <w:rFonts w:ascii="Courier New" w:hAnsi="Courier New" w:cs="Courier New"/>
          <w:sz w:val="18"/>
          <w:szCs w:val="18"/>
        </w:rPr>
      </w:pPr>
      <w:r w:rsidRPr="00C97107">
        <w:rPr>
          <w:rFonts w:ascii="Courier New" w:hAnsi="Courier New" w:cs="Courier New"/>
          <w:sz w:val="18"/>
          <w:szCs w:val="18"/>
        </w:rPr>
        <w:t>Setting: Our research setting focuses on the economies of each state in the United States (particularly looking at their consumer spending and unemployment claims).</w:t>
      </w:r>
    </w:p>
    <w:p w14:paraId="6A3A4679" w14:textId="77777777" w:rsidR="00FF37DA" w:rsidRPr="00C97107" w:rsidRDefault="004A4859" w:rsidP="00C97107">
      <w:pPr>
        <w:pStyle w:val="ListParagraph"/>
        <w:numPr>
          <w:ilvl w:val="0"/>
          <w:numId w:val="3"/>
        </w:numPr>
        <w:spacing w:line="240" w:lineRule="auto"/>
        <w:rPr>
          <w:rFonts w:ascii="Courier New" w:hAnsi="Courier New" w:cs="Courier New"/>
          <w:sz w:val="18"/>
          <w:szCs w:val="18"/>
        </w:rPr>
      </w:pPr>
      <w:r w:rsidRPr="00C97107">
        <w:rPr>
          <w:rFonts w:ascii="Courier New" w:hAnsi="Courier New" w:cs="Courier New"/>
          <w:sz w:val="18"/>
          <w:szCs w:val="18"/>
        </w:rPr>
        <w:t xml:space="preserve">Relevant dates: Our data spans the </w:t>
      </w:r>
      <w:proofErr w:type="gramStart"/>
      <w:r w:rsidRPr="00C97107">
        <w:rPr>
          <w:rFonts w:ascii="Courier New" w:hAnsi="Courier New" w:cs="Courier New"/>
          <w:sz w:val="18"/>
          <w:szCs w:val="18"/>
        </w:rPr>
        <w:t>Fall</w:t>
      </w:r>
      <w:proofErr w:type="gramEnd"/>
      <w:r w:rsidRPr="00C97107">
        <w:rPr>
          <w:rFonts w:ascii="Courier New" w:hAnsi="Courier New" w:cs="Courier New"/>
          <w:sz w:val="18"/>
          <w:szCs w:val="18"/>
        </w:rPr>
        <w:t xml:space="preserve"> of 2020 and early winter of 2021. The spending timeline goes from September 15 to December 27, and the Unemployment claims timeline goes from September 19 to December 19. The data is based on weekly observations updating the state of the economie</w:t>
      </w:r>
      <w:r w:rsidR="00FF37DA" w:rsidRPr="00C97107">
        <w:rPr>
          <w:rFonts w:ascii="Courier New" w:hAnsi="Courier New" w:cs="Courier New"/>
          <w:sz w:val="18"/>
          <w:szCs w:val="18"/>
        </w:rPr>
        <w:t xml:space="preserve">s each week and the state of predictor variables. </w:t>
      </w:r>
    </w:p>
    <w:p w14:paraId="58AE6FCA" w14:textId="77777777" w:rsidR="004A4859" w:rsidRPr="00C97107" w:rsidRDefault="00FF37DA" w:rsidP="00C97107">
      <w:pPr>
        <w:pStyle w:val="ListParagraph"/>
        <w:numPr>
          <w:ilvl w:val="0"/>
          <w:numId w:val="3"/>
        </w:numPr>
        <w:spacing w:line="240" w:lineRule="auto"/>
        <w:rPr>
          <w:rFonts w:ascii="Courier New" w:hAnsi="Courier New" w:cs="Courier New"/>
          <w:sz w:val="18"/>
          <w:szCs w:val="18"/>
        </w:rPr>
      </w:pPr>
      <w:r w:rsidRPr="00C97107">
        <w:rPr>
          <w:rFonts w:ascii="Courier New" w:hAnsi="Courier New" w:cs="Courier New"/>
          <w:sz w:val="18"/>
          <w:szCs w:val="18"/>
        </w:rPr>
        <w:t xml:space="preserve">Data Collection: We did not directly handle the data collection, but the spending data we accessed was collected by a company called Affinity Solutions that tracks credit card spending data. Our unemployment claims data was tracked by the US Department of Labor Statistics, our COVID-19 data comes from case rates and death rates tracked by the </w:t>
      </w:r>
      <w:proofErr w:type="spellStart"/>
      <w:r w:rsidRPr="00C97107">
        <w:rPr>
          <w:rFonts w:ascii="Courier New" w:hAnsi="Courier New" w:cs="Courier New"/>
          <w:sz w:val="18"/>
          <w:szCs w:val="18"/>
        </w:rPr>
        <w:t>NYtimes</w:t>
      </w:r>
      <w:proofErr w:type="spellEnd"/>
      <w:r w:rsidRPr="00C97107">
        <w:rPr>
          <w:rFonts w:ascii="Courier New" w:hAnsi="Courier New" w:cs="Courier New"/>
          <w:sz w:val="18"/>
          <w:szCs w:val="18"/>
        </w:rPr>
        <w:t xml:space="preserve">, and our state business restrictions data is comes from a </w:t>
      </w:r>
      <w:proofErr w:type="spellStart"/>
      <w:r w:rsidRPr="00C97107">
        <w:rPr>
          <w:rFonts w:ascii="Courier New" w:hAnsi="Courier New" w:cs="Courier New"/>
          <w:sz w:val="18"/>
          <w:szCs w:val="18"/>
        </w:rPr>
        <w:t>NYtimes</w:t>
      </w:r>
      <w:proofErr w:type="spellEnd"/>
      <w:r w:rsidRPr="00C97107">
        <w:rPr>
          <w:rFonts w:ascii="Courier New" w:hAnsi="Courier New" w:cs="Courier New"/>
          <w:sz w:val="18"/>
          <w:szCs w:val="18"/>
        </w:rPr>
        <w:t xml:space="preserve"> tracking of different state policies over time. </w:t>
      </w:r>
    </w:p>
    <w:p w14:paraId="37037E70" w14:textId="77777777" w:rsidR="00FC71C4" w:rsidRPr="005B325C" w:rsidRDefault="004A4859" w:rsidP="00C97107">
      <w:pPr>
        <w:pStyle w:val="ListParagraph"/>
        <w:numPr>
          <w:ilvl w:val="0"/>
          <w:numId w:val="3"/>
        </w:numPr>
        <w:spacing w:line="240" w:lineRule="auto"/>
        <w:rPr>
          <w:sz w:val="18"/>
          <w:szCs w:val="18"/>
        </w:rPr>
      </w:pPr>
      <w:r w:rsidRPr="005B325C">
        <w:rPr>
          <w:sz w:val="18"/>
          <w:szCs w:val="18"/>
        </w:rPr>
        <w:t>“</w:t>
      </w:r>
      <w:r w:rsidRPr="005B325C">
        <w:rPr>
          <w:rFonts w:ascii="Courier New" w:hAnsi="Courier New" w:cs="Courier New"/>
          <w:sz w:val="18"/>
          <w:szCs w:val="18"/>
        </w:rPr>
        <w:t xml:space="preserve">We report the number of observations, mean, and standard deviation for all outcome quantities and all explanatory variables.  We stratify the data by the level of regulatory measures in place during that week.  As described below (see </w:t>
      </w:r>
      <w:r w:rsidRPr="005B325C">
        <w:rPr>
          <w:rFonts w:ascii="Courier New" w:hAnsi="Courier New" w:cs="Courier New"/>
          <w:i/>
          <w:sz w:val="18"/>
          <w:szCs w:val="18"/>
        </w:rPr>
        <w:t>Data</w:t>
      </w:r>
      <w:r w:rsidRPr="005B325C">
        <w:rPr>
          <w:rFonts w:ascii="Courier New" w:hAnsi="Courier New" w:cs="Courier New"/>
          <w:sz w:val="18"/>
          <w:szCs w:val="18"/>
        </w:rPr>
        <w:t>), we classify each U.S. state during each week as either “mostly closed” due to government-imposed activity restrictions, or as not “mostly closed.””</w:t>
      </w:r>
    </w:p>
    <w:p w14:paraId="1C16514D" w14:textId="77777777" w:rsidR="004A4859" w:rsidRPr="005B325C" w:rsidRDefault="004A4859" w:rsidP="00C97107">
      <w:pPr>
        <w:pStyle w:val="ListParagraph"/>
        <w:numPr>
          <w:ilvl w:val="0"/>
          <w:numId w:val="3"/>
        </w:numPr>
        <w:spacing w:line="240" w:lineRule="auto"/>
        <w:rPr>
          <w:sz w:val="18"/>
          <w:szCs w:val="18"/>
        </w:rPr>
      </w:pPr>
      <w:r w:rsidRPr="005B325C">
        <w:rPr>
          <w:sz w:val="18"/>
          <w:szCs w:val="18"/>
        </w:rPr>
        <w:t>“</w:t>
      </w:r>
      <w:proofErr w:type="gramStart"/>
      <w:r w:rsidRPr="005B325C">
        <w:rPr>
          <w:rFonts w:ascii="Courier New" w:hAnsi="Courier New" w:cs="Courier New"/>
          <w:sz w:val="18"/>
          <w:szCs w:val="18"/>
        </w:rPr>
        <w:t>we</w:t>
      </w:r>
      <w:proofErr w:type="gramEnd"/>
      <w:r w:rsidRPr="005B325C">
        <w:rPr>
          <w:rFonts w:ascii="Courier New" w:hAnsi="Courier New" w:cs="Courier New"/>
          <w:sz w:val="18"/>
          <w:szCs w:val="18"/>
        </w:rPr>
        <w:t>… focused on the fall and winter of 2020-2021.”</w:t>
      </w:r>
    </w:p>
    <w:p w14:paraId="1F39BCCF" w14:textId="77777777" w:rsidR="004A4859" w:rsidRPr="005B325C" w:rsidRDefault="004A4859" w:rsidP="00C97107">
      <w:pPr>
        <w:pStyle w:val="ListParagraph"/>
        <w:numPr>
          <w:ilvl w:val="0"/>
          <w:numId w:val="3"/>
        </w:numPr>
        <w:spacing w:after="0" w:line="240" w:lineRule="auto"/>
        <w:rPr>
          <w:rFonts w:ascii="Courier New" w:hAnsi="Courier New" w:cs="Courier New"/>
          <w:sz w:val="18"/>
          <w:szCs w:val="18"/>
        </w:rPr>
      </w:pPr>
      <w:r w:rsidRPr="005B325C">
        <w:rPr>
          <w:sz w:val="18"/>
          <w:szCs w:val="18"/>
        </w:rPr>
        <w:t>“</w:t>
      </w:r>
      <w:r w:rsidRPr="005B325C">
        <w:rPr>
          <w:rFonts w:ascii="Courier New" w:hAnsi="Courier New" w:cs="Courier New"/>
          <w:sz w:val="18"/>
          <w:szCs w:val="18"/>
        </w:rPr>
        <w:t xml:space="preserve">The spending data span the period September 15 to December 27, 2020.  Our third outcome, for state </w:t>
      </w:r>
      <m:oMath>
        <m:r>
          <w:rPr>
            <w:rFonts w:ascii="Cambria Math" w:hAnsi="Cambria Math" w:cs="Courier New"/>
            <w:sz w:val="18"/>
            <w:szCs w:val="18"/>
          </w:rPr>
          <m:t>s</m:t>
        </m:r>
      </m:oMath>
      <w:r w:rsidRPr="005B325C">
        <w:rPr>
          <w:rFonts w:ascii="Courier New" w:eastAsiaTheme="minorEastAsia" w:hAnsi="Courier New" w:cs="Courier New"/>
          <w:sz w:val="18"/>
          <w:szCs w:val="18"/>
        </w:rPr>
        <w:t xml:space="preserve"> and </w:t>
      </w:r>
      <w:proofErr w:type="gramStart"/>
      <w:r w:rsidRPr="005B325C">
        <w:rPr>
          <w:rFonts w:ascii="Courier New" w:eastAsiaTheme="minorEastAsia" w:hAnsi="Courier New" w:cs="Courier New"/>
          <w:sz w:val="18"/>
          <w:szCs w:val="18"/>
        </w:rPr>
        <w:t xml:space="preserve">week </w:t>
      </w:r>
      <w:proofErr w:type="gramEnd"/>
      <m:oMath>
        <m:r>
          <w:rPr>
            <w:rFonts w:ascii="Cambria Math" w:eastAsiaTheme="minorEastAsia" w:hAnsi="Cambria Math" w:cs="Courier New"/>
            <w:sz w:val="18"/>
            <w:szCs w:val="18"/>
          </w:rPr>
          <m:t>i</m:t>
        </m:r>
      </m:oMath>
      <w:r w:rsidRPr="005B325C">
        <w:rPr>
          <w:rFonts w:ascii="Courier New" w:eastAsiaTheme="minorEastAsia" w:hAnsi="Courier New" w:cs="Courier New"/>
          <w:sz w:val="18"/>
          <w:szCs w:val="18"/>
        </w:rPr>
        <w:t>,</w:t>
      </w:r>
      <w:r w:rsidRPr="005B325C">
        <w:rPr>
          <w:rFonts w:ascii="Courier New" w:hAnsi="Courier New" w:cs="Courier New"/>
          <w:sz w:val="18"/>
          <w:szCs w:val="18"/>
        </w:rPr>
        <w:t xml:space="preserve"> was initial unemployment claims (reported on Thursday of each week) per 100 people in the 2019 labor force (</w:t>
      </w:r>
      <m:oMath>
        <m:sSubSup>
          <m:sSubSupPr>
            <m:ctrlPr>
              <w:rPr>
                <w:rFonts w:ascii="Cambria Math" w:hAnsi="Cambria Math" w:cs="Courier New"/>
                <w:i/>
                <w:sz w:val="18"/>
                <w:szCs w:val="18"/>
              </w:rPr>
            </m:ctrlPr>
          </m:sSubSupPr>
          <m:e>
            <m:r>
              <w:rPr>
                <w:rFonts w:ascii="Cambria Math" w:hAnsi="Cambria Math" w:cs="Courier New"/>
                <w:sz w:val="18"/>
                <w:szCs w:val="18"/>
              </w:rPr>
              <m:t>UE</m:t>
            </m:r>
          </m:e>
          <m:sub>
            <m:r>
              <w:rPr>
                <w:rFonts w:ascii="Cambria Math" w:hAnsi="Cambria Math" w:cs="Courier New"/>
                <w:sz w:val="18"/>
                <w:szCs w:val="18"/>
              </w:rPr>
              <m:t>i</m:t>
            </m:r>
          </m:sub>
          <m:sup>
            <m:r>
              <w:rPr>
                <w:rFonts w:ascii="Cambria Math" w:hAnsi="Cambria Math" w:cs="Courier New"/>
                <w:sz w:val="18"/>
                <w:szCs w:val="18"/>
              </w:rPr>
              <m:t>s</m:t>
            </m:r>
          </m:sup>
        </m:sSubSup>
      </m:oMath>
      <w:r w:rsidRPr="005B325C">
        <w:rPr>
          <w:rFonts w:ascii="Courier New" w:hAnsi="Courier New" w:cs="Courier New"/>
          <w:sz w:val="18"/>
          <w:szCs w:val="18"/>
        </w:rPr>
        <w:t>).  This data series spanned the period September 19 to December 19, 2020</w:t>
      </w:r>
      <w:proofErr w:type="gramStart"/>
      <w:r w:rsidRPr="005B325C">
        <w:rPr>
          <w:rFonts w:ascii="Courier New" w:hAnsi="Courier New" w:cs="Courier New"/>
          <w:sz w:val="18"/>
          <w:szCs w:val="18"/>
        </w:rPr>
        <w:t>.</w:t>
      </w:r>
      <w:r w:rsidRPr="005B325C">
        <w:rPr>
          <w:sz w:val="18"/>
          <w:szCs w:val="18"/>
        </w:rPr>
        <w:t>“</w:t>
      </w:r>
      <w:proofErr w:type="gramEnd"/>
    </w:p>
    <w:p w14:paraId="050D0FC5" w14:textId="77777777" w:rsidR="004A4859" w:rsidRPr="004A4859" w:rsidRDefault="004A4859" w:rsidP="004A4859">
      <w:pPr>
        <w:pStyle w:val="ListParagraph"/>
        <w:spacing w:after="0" w:line="276" w:lineRule="auto"/>
        <w:rPr>
          <w:rFonts w:ascii="Courier New" w:hAnsi="Courier New" w:cs="Courier New"/>
        </w:rPr>
      </w:pPr>
    </w:p>
    <w:p w14:paraId="79CAD8FC" w14:textId="77777777" w:rsidR="00801179" w:rsidRPr="00C97107" w:rsidRDefault="00801179" w:rsidP="00C97107">
      <w:pPr>
        <w:spacing w:line="240" w:lineRule="auto"/>
        <w:rPr>
          <w:rFonts w:ascii="Courier New" w:hAnsi="Courier New" w:cs="Courier New"/>
          <w:sz w:val="18"/>
          <w:szCs w:val="18"/>
        </w:rPr>
      </w:pPr>
      <w:r w:rsidRPr="00C97107">
        <w:rPr>
          <w:rFonts w:ascii="Courier New" w:hAnsi="Courier New" w:cs="Courier New"/>
          <w:sz w:val="18"/>
          <w:szCs w:val="18"/>
        </w:rPr>
        <w:t xml:space="preserve">Item No. 6 – </w:t>
      </w:r>
      <w:r w:rsidR="00FF37DA" w:rsidRPr="00C97107">
        <w:rPr>
          <w:rFonts w:ascii="Courier New" w:hAnsi="Courier New" w:cs="Courier New"/>
          <w:sz w:val="18"/>
          <w:szCs w:val="18"/>
        </w:rPr>
        <w:t>Participants</w:t>
      </w:r>
    </w:p>
    <w:p w14:paraId="75F33D8B" w14:textId="77777777" w:rsidR="00FF37DA" w:rsidRPr="00C97107" w:rsidRDefault="00FF37DA" w:rsidP="002C0B84">
      <w:pPr>
        <w:pStyle w:val="ListParagraph"/>
        <w:numPr>
          <w:ilvl w:val="0"/>
          <w:numId w:val="4"/>
        </w:numPr>
        <w:spacing w:line="240" w:lineRule="auto"/>
        <w:contextualSpacing w:val="0"/>
        <w:rPr>
          <w:rFonts w:ascii="Courier New" w:hAnsi="Courier New" w:cs="Courier New"/>
          <w:sz w:val="18"/>
          <w:szCs w:val="18"/>
        </w:rPr>
      </w:pPr>
      <w:r w:rsidRPr="00C97107">
        <w:rPr>
          <w:rFonts w:ascii="Courier New" w:hAnsi="Courier New" w:cs="Courier New"/>
          <w:sz w:val="18"/>
          <w:szCs w:val="18"/>
        </w:rPr>
        <w:t xml:space="preserve">Eligibility Criteria: US States and D.C. with data available for both weekly spending and unemployment claims, as well as weekly COVID-19 case rates and death rates, and available data on their </w:t>
      </w:r>
      <w:r w:rsidR="00F60734" w:rsidRPr="00C97107">
        <w:rPr>
          <w:rFonts w:ascii="Courier New" w:hAnsi="Courier New" w:cs="Courier New"/>
          <w:sz w:val="18"/>
          <w:szCs w:val="18"/>
        </w:rPr>
        <w:t xml:space="preserve">business restrictions put in place during the Fall of 2020 and early winter of 2020. </w:t>
      </w:r>
    </w:p>
    <w:p w14:paraId="0F8D0365" w14:textId="77777777" w:rsidR="00F60734" w:rsidRPr="00C97107" w:rsidRDefault="00F60734" w:rsidP="002C0B84">
      <w:pPr>
        <w:pStyle w:val="ListParagraph"/>
        <w:numPr>
          <w:ilvl w:val="0"/>
          <w:numId w:val="4"/>
        </w:numPr>
        <w:spacing w:line="240" w:lineRule="auto"/>
        <w:contextualSpacing w:val="0"/>
        <w:rPr>
          <w:rFonts w:ascii="Courier New" w:hAnsi="Courier New" w:cs="Courier New"/>
          <w:sz w:val="18"/>
          <w:szCs w:val="18"/>
        </w:rPr>
      </w:pPr>
      <w:r w:rsidRPr="00C97107">
        <w:rPr>
          <w:rFonts w:ascii="Courier New" w:hAnsi="Courier New" w:cs="Courier New"/>
          <w:sz w:val="18"/>
          <w:szCs w:val="18"/>
        </w:rPr>
        <w:t>Methods of selection:</w:t>
      </w:r>
    </w:p>
    <w:p w14:paraId="2FC803F2" w14:textId="77777777" w:rsidR="00F60734" w:rsidRPr="002C0B84" w:rsidRDefault="00F60734" w:rsidP="002C0B84">
      <w:pPr>
        <w:spacing w:after="0" w:line="240" w:lineRule="auto"/>
        <w:ind w:left="720"/>
        <w:rPr>
          <w:rFonts w:ascii="Courier New" w:hAnsi="Courier New" w:cs="Courier New"/>
          <w:sz w:val="18"/>
          <w:szCs w:val="18"/>
        </w:rPr>
      </w:pPr>
      <w:r w:rsidRPr="002C0B84">
        <w:rPr>
          <w:rFonts w:ascii="Courier New" w:hAnsi="Courier New" w:cs="Courier New"/>
          <w:sz w:val="18"/>
          <w:szCs w:val="18"/>
        </w:rPr>
        <w:t>“Rather than including data from spring, 2020, when the pandemic’s initial onslaught increased unemployment claims and reduced consumer spending to an extent unrepresentative of subsequent periods during the pandemic,</w:t>
      </w:r>
      <w:r w:rsidRPr="002C0B84">
        <w:rPr>
          <w:rFonts w:ascii="Courier New" w:hAnsi="Courier New" w:cs="Courier New"/>
          <w:sz w:val="18"/>
          <w:szCs w:val="18"/>
        </w:rPr>
        <w:fldChar w:fldCharType="begin"/>
      </w:r>
      <w:r w:rsidRPr="002C0B84">
        <w:rPr>
          <w:rFonts w:ascii="Courier New" w:hAnsi="Courier New" w:cs="Courier New"/>
          <w:sz w:val="18"/>
          <w:szCs w:val="18"/>
        </w:rPr>
        <w:instrText xml:space="preserve"> ADDIN EN.CITE &lt;EndNote&gt;&lt;Cite&gt;&lt;Author&gt;Cox&lt;/Author&gt;&lt;Year&gt;2021&lt;/Year&gt;&lt;RecNum&gt;17&lt;/RecNum&gt;&lt;DisplayText&gt;(17,18)&lt;/DisplayText&gt;&lt;record&gt;&lt;rec-number&gt;17&lt;/rec-number&gt;&lt;foreign-keys&gt;&lt;key app="EN" db-id="x95ferpfr5wvxqe5faxx0e04favsexr9asas" timestamp="1619632276"&gt;17&lt;/key&gt;&lt;/foreign-keys&gt;&lt;ref-type name="Newspaper Article"&gt;23&lt;/ref-type&gt;&lt;contributors&gt;&lt;authors&gt;&lt;author&gt;Cox, Jeff&lt;/author&gt;&lt;/authors&gt;&lt;/contributors&gt;&lt;titles&gt;&lt;title&gt;Jobless claims fall again as employment picture gains strength&lt;/title&gt;&lt;secondary-title&gt;CNBC&lt;/secondary-title&gt;&lt;/titles&gt;&lt;dates&gt;&lt;year&gt;2021&lt;/year&gt;&lt;/dates&gt;&lt;urls&gt;&lt;related-urls&gt;&lt;url&gt;https://www.cnbc.com/2021/04/22/us-jobless-claims.html&lt;/url&gt;&lt;/related-urls&gt;&lt;/urls&gt;&lt;/record&gt;&lt;/Cite&gt;&lt;Cite&gt;&lt;Author&gt;Kerstein&lt;/Author&gt;&lt;Year&gt;2020&lt;/Year&gt;&lt;RecNum&gt;18&lt;/RecNum&gt;&lt;record&gt;&lt;rec-number&gt;18&lt;/rec-number&gt;&lt;foreign-keys&gt;&lt;key app="EN" db-id="x95ferpfr5wvxqe5faxx0e04favsexr9asas" timestamp="1619632460"&gt;18&lt;/key&gt;&lt;/foreign-keys&gt;&lt;ref-type name="Online Multimedia"&gt;48&lt;/ref-type&gt;&lt;contributors&gt;&lt;authors&gt;&lt;author&gt;Kerstein, Seth&lt;/author&gt;&lt;/authors&gt;&lt;/contributors&gt;&lt;titles&gt;&lt;title&gt;U.S. Retail Sales Update: September 2020&lt;/title&gt;&lt;/titles&gt;&lt;dates&gt;&lt;year&gt;2020&lt;/year&gt;&lt;/dates&gt;&lt;publisher&gt;Legislative Analyst&amp;apos;s Office&lt;/publisher&gt;&lt;urls&gt;&lt;related-urls&gt;&lt;url&gt;https://lao.ca.gov/LAOEconTax/Article/Detail/562&lt;/url&gt;&lt;/related-urls&gt;&lt;/urls&gt;&lt;/record&gt;&lt;/Cite&gt;&lt;/EndNote&gt;</w:instrText>
      </w:r>
      <w:r w:rsidRPr="002C0B84">
        <w:rPr>
          <w:rFonts w:ascii="Courier New" w:hAnsi="Courier New" w:cs="Courier New"/>
          <w:sz w:val="18"/>
          <w:szCs w:val="18"/>
        </w:rPr>
        <w:fldChar w:fldCharType="separate"/>
      </w:r>
      <w:r w:rsidRPr="002C0B84">
        <w:rPr>
          <w:rFonts w:ascii="Courier New" w:hAnsi="Courier New" w:cs="Courier New"/>
          <w:noProof/>
          <w:sz w:val="18"/>
          <w:szCs w:val="18"/>
        </w:rPr>
        <w:t>(</w:t>
      </w:r>
      <w:hyperlink w:anchor="_ENREF_17" w:tooltip="Cox, 2021 #17" w:history="1">
        <w:r w:rsidRPr="002C0B84">
          <w:rPr>
            <w:rFonts w:ascii="Courier New" w:hAnsi="Courier New" w:cs="Courier New"/>
            <w:noProof/>
            <w:sz w:val="18"/>
            <w:szCs w:val="18"/>
          </w:rPr>
          <w:t>17</w:t>
        </w:r>
      </w:hyperlink>
      <w:r w:rsidRPr="002C0B84">
        <w:rPr>
          <w:rFonts w:ascii="Courier New" w:hAnsi="Courier New" w:cs="Courier New"/>
          <w:noProof/>
          <w:sz w:val="18"/>
          <w:szCs w:val="18"/>
        </w:rPr>
        <w:t>,</w:t>
      </w:r>
      <w:hyperlink w:anchor="_ENREF_18" w:tooltip="Kerstein, 2020 #18" w:history="1">
        <w:r w:rsidRPr="002C0B84">
          <w:rPr>
            <w:rFonts w:ascii="Courier New" w:hAnsi="Courier New" w:cs="Courier New"/>
            <w:noProof/>
            <w:sz w:val="18"/>
            <w:szCs w:val="18"/>
          </w:rPr>
          <w:t>18</w:t>
        </w:r>
      </w:hyperlink>
      <w:r w:rsidRPr="002C0B84">
        <w:rPr>
          <w:rFonts w:ascii="Courier New" w:hAnsi="Courier New" w:cs="Courier New"/>
          <w:noProof/>
          <w:sz w:val="18"/>
          <w:szCs w:val="18"/>
        </w:rPr>
        <w:t>)</w:t>
      </w:r>
      <w:r w:rsidRPr="002C0B84">
        <w:rPr>
          <w:rFonts w:ascii="Courier New" w:hAnsi="Courier New" w:cs="Courier New"/>
          <w:sz w:val="18"/>
          <w:szCs w:val="18"/>
        </w:rPr>
        <w:fldChar w:fldCharType="end"/>
      </w:r>
      <w:r w:rsidRPr="002C0B84">
        <w:rPr>
          <w:rFonts w:ascii="Courier New" w:hAnsi="Courier New" w:cs="Courier New"/>
          <w:sz w:val="18"/>
          <w:szCs w:val="18"/>
        </w:rPr>
        <w:t xml:space="preserve"> we instead focused on the fall and winter of 2020-2021.”</w:t>
      </w:r>
    </w:p>
    <w:p w14:paraId="7CC672C2" w14:textId="77777777" w:rsidR="00C97107" w:rsidRDefault="00C97107" w:rsidP="002C0B84"/>
    <w:p w14:paraId="40CFC87A" w14:textId="77777777" w:rsidR="00C97107" w:rsidRDefault="00C97107">
      <w:r>
        <w:br w:type="page"/>
      </w:r>
    </w:p>
    <w:p w14:paraId="274C34FB" w14:textId="642D818C" w:rsidR="00801179" w:rsidRPr="00C97107" w:rsidRDefault="00801179">
      <w:pPr>
        <w:rPr>
          <w:rFonts w:ascii="Courier New" w:hAnsi="Courier New"/>
        </w:rPr>
      </w:pPr>
      <w:r w:rsidRPr="00C97107">
        <w:rPr>
          <w:rFonts w:ascii="Courier New" w:hAnsi="Courier New"/>
        </w:rPr>
        <w:lastRenderedPageBreak/>
        <w:t xml:space="preserve">Item No. 7 – </w:t>
      </w:r>
      <w:r w:rsidR="00D34068" w:rsidRPr="00C97107">
        <w:rPr>
          <w:rFonts w:ascii="Courier New" w:hAnsi="Courier New"/>
        </w:rPr>
        <w:t>Variables</w:t>
      </w:r>
    </w:p>
    <w:p w14:paraId="31994166" w14:textId="77777777" w:rsidR="00D34068" w:rsidRPr="002C0B84" w:rsidRDefault="00D34068" w:rsidP="002C0B84">
      <w:pPr>
        <w:spacing w:after="120" w:line="240" w:lineRule="auto"/>
        <w:ind w:left="360"/>
        <w:rPr>
          <w:rFonts w:ascii="Courier New" w:hAnsi="Courier New" w:cs="Courier New"/>
          <w:sz w:val="18"/>
        </w:rPr>
      </w:pPr>
      <w:r w:rsidRPr="002C0B84">
        <w:rPr>
          <w:sz w:val="18"/>
        </w:rPr>
        <w:t>“</w:t>
      </w:r>
      <w:r w:rsidRPr="002C0B84">
        <w:rPr>
          <w:rFonts w:ascii="Courier New" w:hAnsi="Courier New" w:cs="Courier New"/>
          <w:sz w:val="18"/>
        </w:rPr>
        <w:t xml:space="preserve">For time series data reported daily, we computed seven-day moving average values to eliminate weekend-weekday effects.  For data representing state totals (e.g., consumer spending and COVID incidence), we normalized by state population size. Outcomes – For state </w:t>
      </w:r>
      <m:oMath>
        <m:r>
          <w:rPr>
            <w:rFonts w:ascii="Cambria Math" w:hAnsi="Cambria Math" w:cs="Courier New"/>
            <w:sz w:val="18"/>
          </w:rPr>
          <m:t>s</m:t>
        </m:r>
      </m:oMath>
      <w:r w:rsidRPr="002C0B84">
        <w:rPr>
          <w:rFonts w:ascii="Courier New" w:eastAsiaTheme="minorEastAsia" w:hAnsi="Courier New" w:cs="Courier New"/>
          <w:sz w:val="18"/>
        </w:rPr>
        <w:t xml:space="preserve"> and </w:t>
      </w:r>
      <w:proofErr w:type="gramStart"/>
      <w:r w:rsidRPr="002C0B84">
        <w:rPr>
          <w:rFonts w:ascii="Courier New" w:eastAsiaTheme="minorEastAsia" w:hAnsi="Courier New" w:cs="Courier New"/>
          <w:sz w:val="18"/>
        </w:rPr>
        <w:t xml:space="preserve">week </w:t>
      </w:r>
      <w:proofErr w:type="gramEnd"/>
      <m:oMath>
        <m:r>
          <w:rPr>
            <w:rFonts w:ascii="Cambria Math" w:eastAsiaTheme="minorEastAsia" w:hAnsi="Cambria Math" w:cs="Courier New"/>
            <w:sz w:val="18"/>
          </w:rPr>
          <m:t>i</m:t>
        </m:r>
      </m:oMath>
      <w:r w:rsidRPr="002C0B84">
        <w:rPr>
          <w:rFonts w:ascii="Courier New" w:eastAsiaTheme="minorEastAsia" w:hAnsi="Courier New" w:cs="Courier New"/>
          <w:sz w:val="18"/>
        </w:rPr>
        <w:t xml:space="preserve">, </w:t>
      </w:r>
      <w:r w:rsidRPr="002C0B84">
        <w:rPr>
          <w:rFonts w:ascii="Courier New" w:hAnsi="Courier New" w:cs="Courier New"/>
          <w:sz w:val="18"/>
        </w:rPr>
        <w:t>outcomes include percent change in seasonally adjusted spending on restaurants and accommodations compared to January 2020 (</w:t>
      </w:r>
      <m:oMath>
        <m:sSubSup>
          <m:sSubSupPr>
            <m:ctrlPr>
              <w:rPr>
                <w:rFonts w:ascii="Cambria Math" w:hAnsi="Cambria Math" w:cs="Courier New"/>
                <w:i/>
                <w:sz w:val="18"/>
              </w:rPr>
            </m:ctrlPr>
          </m:sSubSupPr>
          <m:e>
            <m:r>
              <w:rPr>
                <w:rFonts w:ascii="Cambria Math" w:hAnsi="Cambria Math" w:cs="Courier New"/>
                <w:sz w:val="18"/>
              </w:rPr>
              <m:t>SpndRst</m:t>
            </m:r>
          </m:e>
          <m:sub>
            <m:r>
              <w:rPr>
                <w:rFonts w:ascii="Cambria Math" w:hAnsi="Cambria Math" w:cs="Courier New"/>
                <w:sz w:val="18"/>
              </w:rPr>
              <m:t>i</m:t>
            </m:r>
          </m:sub>
          <m:sup>
            <m:r>
              <w:rPr>
                <w:rFonts w:ascii="Cambria Math" w:hAnsi="Cambria Math" w:cs="Courier New"/>
                <w:sz w:val="18"/>
              </w:rPr>
              <m:t>s</m:t>
            </m:r>
          </m:sup>
        </m:sSubSup>
      </m:oMath>
      <w:r w:rsidRPr="002C0B84">
        <w:rPr>
          <w:rFonts w:ascii="Courier New" w:hAnsi="Courier New" w:cs="Courier New"/>
          <w:sz w:val="18"/>
        </w:rPr>
        <w:t>), and percent change in seasonally adjusted total consumer spending compared to January 2020 (</w:t>
      </w:r>
      <m:oMath>
        <m:sSubSup>
          <m:sSubSupPr>
            <m:ctrlPr>
              <w:rPr>
                <w:rFonts w:ascii="Cambria Math" w:hAnsi="Cambria Math" w:cs="Courier New"/>
                <w:i/>
                <w:sz w:val="18"/>
              </w:rPr>
            </m:ctrlPr>
          </m:sSubSupPr>
          <m:e>
            <m:r>
              <w:rPr>
                <w:rFonts w:ascii="Cambria Math" w:hAnsi="Cambria Math" w:cs="Courier New"/>
                <w:sz w:val="18"/>
              </w:rPr>
              <m:t>SpndTtl</m:t>
            </m:r>
          </m:e>
          <m:sub>
            <m:r>
              <w:rPr>
                <w:rFonts w:ascii="Cambria Math" w:hAnsi="Cambria Math" w:cs="Courier New"/>
                <w:sz w:val="18"/>
              </w:rPr>
              <m:t>i</m:t>
            </m:r>
          </m:sub>
          <m:sup>
            <m:r>
              <w:rPr>
                <w:rFonts w:ascii="Cambria Math" w:hAnsi="Cambria Math" w:cs="Courier New"/>
                <w:sz w:val="18"/>
              </w:rPr>
              <m:t>s</m:t>
            </m:r>
          </m:sup>
        </m:sSubSup>
      </m:oMath>
      <w:r w:rsidRPr="002C0B84">
        <w:rPr>
          <w:rFonts w:ascii="Courier New" w:hAnsi="Courier New" w:cs="Courier New"/>
          <w:sz w:val="18"/>
        </w:rPr>
        <w:t xml:space="preserve">).  To eliminate weekend and weekday periodicity, we computed seven-day moving average values, as described above.  The spending data span the period September 15 to December 27, 2020.  Our third outcome, for state </w:t>
      </w:r>
      <m:oMath>
        <m:r>
          <w:rPr>
            <w:rFonts w:ascii="Cambria Math" w:hAnsi="Cambria Math" w:cs="Courier New"/>
            <w:sz w:val="18"/>
          </w:rPr>
          <m:t>s</m:t>
        </m:r>
      </m:oMath>
      <w:r w:rsidRPr="002C0B84">
        <w:rPr>
          <w:rFonts w:ascii="Courier New" w:eastAsiaTheme="minorEastAsia" w:hAnsi="Courier New" w:cs="Courier New"/>
          <w:sz w:val="18"/>
        </w:rPr>
        <w:t xml:space="preserve"> and </w:t>
      </w:r>
      <w:proofErr w:type="gramStart"/>
      <w:r w:rsidRPr="002C0B84">
        <w:rPr>
          <w:rFonts w:ascii="Courier New" w:eastAsiaTheme="minorEastAsia" w:hAnsi="Courier New" w:cs="Courier New"/>
          <w:sz w:val="18"/>
        </w:rPr>
        <w:t xml:space="preserve">week </w:t>
      </w:r>
      <w:proofErr w:type="gramEnd"/>
      <m:oMath>
        <m:r>
          <w:rPr>
            <w:rFonts w:ascii="Cambria Math" w:eastAsiaTheme="minorEastAsia" w:hAnsi="Cambria Math" w:cs="Courier New"/>
            <w:sz w:val="18"/>
          </w:rPr>
          <m:t>i</m:t>
        </m:r>
      </m:oMath>
      <w:r w:rsidRPr="002C0B84">
        <w:rPr>
          <w:rFonts w:ascii="Courier New" w:eastAsiaTheme="minorEastAsia" w:hAnsi="Courier New" w:cs="Courier New"/>
          <w:sz w:val="18"/>
        </w:rPr>
        <w:t>,</w:t>
      </w:r>
      <w:r w:rsidRPr="002C0B84">
        <w:rPr>
          <w:rFonts w:ascii="Courier New" w:hAnsi="Courier New" w:cs="Courier New"/>
          <w:sz w:val="18"/>
        </w:rPr>
        <w:t xml:space="preserve"> was initial unemployment claims (reported on Thursday of each week) per 100 people in the 2019 labor force (</w:t>
      </w:r>
      <m:oMath>
        <m:sSubSup>
          <m:sSubSupPr>
            <m:ctrlPr>
              <w:rPr>
                <w:rFonts w:ascii="Cambria Math" w:hAnsi="Cambria Math" w:cs="Courier New"/>
                <w:i/>
                <w:sz w:val="18"/>
              </w:rPr>
            </m:ctrlPr>
          </m:sSubSupPr>
          <m:e>
            <m:r>
              <w:rPr>
                <w:rFonts w:ascii="Cambria Math" w:hAnsi="Cambria Math" w:cs="Courier New"/>
                <w:sz w:val="18"/>
              </w:rPr>
              <m:t>UE</m:t>
            </m:r>
          </m:e>
          <m:sub>
            <m:r>
              <w:rPr>
                <w:rFonts w:ascii="Cambria Math" w:hAnsi="Cambria Math" w:cs="Courier New"/>
                <w:sz w:val="18"/>
              </w:rPr>
              <m:t>i</m:t>
            </m:r>
          </m:sub>
          <m:sup>
            <m:r>
              <w:rPr>
                <w:rFonts w:ascii="Cambria Math" w:hAnsi="Cambria Math" w:cs="Courier New"/>
                <w:sz w:val="18"/>
              </w:rPr>
              <m:t>s</m:t>
            </m:r>
          </m:sup>
        </m:sSubSup>
      </m:oMath>
      <w:r w:rsidRPr="002C0B84">
        <w:rPr>
          <w:rFonts w:ascii="Courier New" w:hAnsi="Courier New" w:cs="Courier New"/>
          <w:sz w:val="18"/>
        </w:rPr>
        <w:t>).  This data series spanned the period September 19 to December 19, 2020. Outcomes data come from the Opportunity Insights COVID-19 Economic Tracker project at Harvard University.</w:t>
      </w:r>
      <w:r w:rsidRPr="002C0B84">
        <w:rPr>
          <w:rFonts w:ascii="Courier New" w:hAnsi="Courier New" w:cs="Courier New"/>
          <w:sz w:val="18"/>
        </w:rPr>
        <w:fldChar w:fldCharType="begin"/>
      </w:r>
      <w:r w:rsidRPr="002C0B84">
        <w:rPr>
          <w:rFonts w:ascii="Courier New" w:hAnsi="Courier New" w:cs="Courier New"/>
          <w:sz w:val="18"/>
        </w:rPr>
        <w:instrText xml:space="preserve"> ADDIN EN.CITE &lt;EndNote&gt;&lt;Cite&gt;&lt;Author&gt;Chetty&lt;/Author&gt;&lt;Year&gt;2021&lt;/Year&gt;&lt;RecNum&gt;19&lt;/RecNum&gt;&lt;DisplayText&gt;(19)&lt;/DisplayText&gt;&lt;record&gt;&lt;rec-number&gt;19&lt;/rec-number&gt;&lt;foreign-keys&gt;&lt;key app="EN" db-id="x95ferpfr5wvxqe5faxx0e04favsexr9asas" timestamp="1619633426"&gt;19&lt;/key&gt;&lt;/foreign-keys&gt;&lt;ref-type name="Online Database"&gt;45&lt;/ref-type&gt;&lt;contributors&gt;&lt;authors&gt;&lt;author&gt;Chetty, R&lt;/author&gt;&lt;/authors&gt;&lt;/contributors&gt;&lt;titles&gt;&lt;title&gt;Opportunity Insights Economic Tracker&lt;/title&gt;&lt;/titles&gt;&lt;dates&gt;&lt;year&gt;2021&lt;/year&gt;&lt;/dates&gt;&lt;publisher&gt;Opportunity Insights, Harvard University&lt;/publisher&gt;&lt;urls&gt;&lt;related-urls&gt;&lt;url&gt;https://tracktherecovery.org/&lt;/url&gt;&lt;/related-urls&gt;&lt;/urls&gt;&lt;/record&gt;&lt;/Cite&gt;&lt;/EndNote&gt;</w:instrText>
      </w:r>
      <w:r w:rsidRPr="002C0B84">
        <w:rPr>
          <w:rFonts w:ascii="Courier New" w:hAnsi="Courier New" w:cs="Courier New"/>
          <w:sz w:val="18"/>
        </w:rPr>
        <w:fldChar w:fldCharType="separate"/>
      </w:r>
      <w:r w:rsidRPr="002C0B84">
        <w:rPr>
          <w:rFonts w:ascii="Courier New" w:hAnsi="Courier New" w:cs="Courier New"/>
          <w:noProof/>
          <w:sz w:val="18"/>
        </w:rPr>
        <w:t>(</w:t>
      </w:r>
      <w:hyperlink w:anchor="_ENREF_19" w:tooltip="Chetty, 2021 #19" w:history="1">
        <w:r w:rsidRPr="002C0B84">
          <w:rPr>
            <w:rFonts w:ascii="Courier New" w:hAnsi="Courier New" w:cs="Courier New"/>
            <w:noProof/>
            <w:sz w:val="18"/>
          </w:rPr>
          <w:t>19</w:t>
        </w:r>
      </w:hyperlink>
      <w:r w:rsidRPr="002C0B84">
        <w:rPr>
          <w:rFonts w:ascii="Courier New" w:hAnsi="Courier New" w:cs="Courier New"/>
          <w:noProof/>
          <w:sz w:val="18"/>
        </w:rPr>
        <w:t>)</w:t>
      </w:r>
      <w:r w:rsidRPr="002C0B84">
        <w:rPr>
          <w:rFonts w:ascii="Courier New" w:hAnsi="Courier New" w:cs="Courier New"/>
          <w:sz w:val="18"/>
        </w:rPr>
        <w:fldChar w:fldCharType="end"/>
      </w:r>
      <w:r w:rsidRPr="002C0B84">
        <w:rPr>
          <w:rFonts w:ascii="Courier New" w:hAnsi="Courier New" w:cs="Courier New"/>
          <w:sz w:val="18"/>
        </w:rPr>
        <w:t xml:space="preserve">  Selection of these outcomes reflects the expectation that government restrictions affect consumer spending in general and restaurant dining and accommodations in particular.  These impacts, in turn, contribute to higher initial unemployment claims.  High frequency data are well suited to assessing restrictions imposed at moderately different times across states and remaining in effect for durations often measured in weeks during the fall and winter of 2020-2021.  Moreover, because states imposed and lifted these restrictions only shortly before we conducted our analysis, frequently updated data best cover salient periods.  Conventional economic activity datasets, like government estimates of gross domestic product (GDP) growth, undergo updating too infrequently to assess the impact of short-term restrictions and the recent imposition of restrictive government measures. Explanatory variables – As with outcomes, we index explanatory variables by state </w:t>
      </w:r>
      <m:oMath>
        <m:r>
          <w:rPr>
            <w:rFonts w:ascii="Cambria Math" w:hAnsi="Cambria Math" w:cs="Courier New"/>
            <w:sz w:val="18"/>
          </w:rPr>
          <m:t>s</m:t>
        </m:r>
      </m:oMath>
      <w:r w:rsidRPr="002C0B84">
        <w:rPr>
          <w:rFonts w:ascii="Courier New" w:eastAsiaTheme="minorEastAsia" w:hAnsi="Courier New" w:cs="Courier New"/>
          <w:sz w:val="18"/>
        </w:rPr>
        <w:t xml:space="preserve"> and </w:t>
      </w:r>
      <w:proofErr w:type="gramStart"/>
      <w:r w:rsidRPr="002C0B84">
        <w:rPr>
          <w:rFonts w:ascii="Courier New" w:eastAsiaTheme="minorEastAsia" w:hAnsi="Courier New" w:cs="Courier New"/>
          <w:sz w:val="18"/>
        </w:rPr>
        <w:t xml:space="preserve">week </w:t>
      </w:r>
      <w:proofErr w:type="gramEnd"/>
      <m:oMath>
        <m:r>
          <w:rPr>
            <w:rFonts w:ascii="Cambria Math" w:eastAsiaTheme="minorEastAsia" w:hAnsi="Cambria Math" w:cs="Courier New"/>
            <w:sz w:val="18"/>
          </w:rPr>
          <m:t>i</m:t>
        </m:r>
      </m:oMath>
      <w:r w:rsidRPr="002C0B84">
        <w:rPr>
          <w:rFonts w:ascii="Courier New" w:eastAsiaTheme="minorEastAsia" w:hAnsi="Courier New" w:cs="Courier New"/>
          <w:sz w:val="18"/>
        </w:rPr>
        <w:t xml:space="preserve">.  </w:t>
      </w:r>
      <w:r w:rsidRPr="002C0B84">
        <w:rPr>
          <w:rFonts w:ascii="Courier New" w:hAnsi="Courier New" w:cs="Courier New"/>
          <w:sz w:val="18"/>
        </w:rPr>
        <w:t xml:space="preserve">Our primary explanatory variable of interest, </w:t>
      </w:r>
      <w:proofErr w:type="gramStart"/>
      <w:r w:rsidRPr="002C0B84">
        <w:rPr>
          <w:rFonts w:ascii="Courier New" w:hAnsi="Courier New" w:cs="Courier New"/>
          <w:sz w:val="18"/>
        </w:rPr>
        <w:t xml:space="preserve">designated </w:t>
      </w:r>
      <w:proofErr w:type="gramEnd"/>
      <m:oMath>
        <m:sSubSup>
          <m:sSubSupPr>
            <m:ctrlPr>
              <w:rPr>
                <w:rFonts w:ascii="Cambria Math" w:hAnsi="Cambria Math" w:cs="Courier New"/>
                <w:i/>
                <w:sz w:val="18"/>
              </w:rPr>
            </m:ctrlPr>
          </m:sSubSupPr>
          <m:e>
            <m:r>
              <w:rPr>
                <w:rFonts w:ascii="Cambria Math" w:hAnsi="Cambria Math" w:cs="Courier New"/>
                <w:sz w:val="18"/>
              </w:rPr>
              <m:t>Restricted</m:t>
            </m:r>
          </m:e>
          <m:sub>
            <m:r>
              <w:rPr>
                <w:rFonts w:ascii="Cambria Math" w:hAnsi="Cambria Math" w:cs="Courier New"/>
                <w:sz w:val="18"/>
              </w:rPr>
              <m:t>i</m:t>
            </m:r>
          </m:sub>
          <m:sup>
            <m:r>
              <w:rPr>
                <w:rFonts w:ascii="Cambria Math" w:hAnsi="Cambria Math" w:cs="Courier New"/>
                <w:sz w:val="18"/>
              </w:rPr>
              <m:t>s</m:t>
            </m:r>
          </m:sup>
        </m:sSubSup>
      </m:oMath>
      <w:r w:rsidRPr="002C0B84">
        <w:rPr>
          <w:rFonts w:ascii="Courier New" w:eastAsiaTheme="minorEastAsia" w:hAnsi="Courier New" w:cs="Courier New"/>
          <w:sz w:val="18"/>
        </w:rPr>
        <w:t>, is binary.  We classified state businesses as restricted or not restricted based on narrative descriptions of state-level closures maintained by the New York Times, which reported for each day whether businesses in each state were “mostly closed.”</w:t>
      </w:r>
      <w:r w:rsidRPr="002C0B84">
        <w:rPr>
          <w:rFonts w:ascii="Courier New" w:hAnsi="Courier New" w:cs="Courier New"/>
          <w:sz w:val="18"/>
        </w:rPr>
        <w:t xml:space="preserve"> </w:t>
      </w:r>
      <w:r w:rsidRPr="002C0B84">
        <w:rPr>
          <w:rFonts w:ascii="Courier New" w:hAnsi="Courier New" w:cs="Courier New"/>
          <w:sz w:val="18"/>
        </w:rPr>
        <w:fldChar w:fldCharType="begin"/>
      </w:r>
      <w:r w:rsidRPr="002C0B84">
        <w:rPr>
          <w:rFonts w:ascii="Courier New" w:hAnsi="Courier New" w:cs="Courier New"/>
          <w:sz w:val="18"/>
        </w:rPr>
        <w:instrText xml:space="preserve"> ADDIN EN.CITE &lt;EndNote&gt;&lt;Cite&gt;&lt;Author&gt;The New York Times&lt;/Author&gt;&lt;Year&gt;2021&lt;/Year&gt;&lt;RecNum&gt;20&lt;/RecNum&gt;&lt;DisplayText&gt;(20)&lt;/DisplayText&gt;&lt;record&gt;&lt;rec-number&gt;20&lt;/rec-number&gt;&lt;foreign-keys&gt;&lt;key app="EN" db-id="x95ferpfr5wvxqe5faxx0e04favsexr9asas" timestamp="1619634087"&gt;20&lt;/key&gt;&lt;/foreign-keys&gt;&lt;ref-type name="Online Database"&gt;45&lt;/ref-type&gt;&lt;contributors&gt;&lt;authors&gt;&lt;author&gt;The New York Times,&lt;/author&gt;&lt;/authors&gt;&lt;/contributors&gt;&lt;titles&gt;&lt;title&gt;See Coronavirus Restrictions and Mask Mandates for All 50 States&lt;/title&gt;&lt;/titles&gt;&lt;dates&gt;&lt;year&gt;2021&lt;/year&gt;&lt;/dates&gt;&lt;publisher&gt;New York Times&lt;/publisher&gt;&lt;urls&gt;&lt;related-urls&gt;&lt;url&gt;https://www.nytimes.com/interactive/2020/us/states-reopen-map-coronavirus.html&lt;/url&gt;&lt;/related-urls&gt;&lt;/urls&gt;&lt;/record&gt;&lt;/Cite&gt;&lt;/EndNote&gt;</w:instrText>
      </w:r>
      <w:r w:rsidRPr="002C0B84">
        <w:rPr>
          <w:rFonts w:ascii="Courier New" w:hAnsi="Courier New" w:cs="Courier New"/>
          <w:sz w:val="18"/>
        </w:rPr>
        <w:fldChar w:fldCharType="separate"/>
      </w:r>
      <w:r w:rsidRPr="002C0B84">
        <w:rPr>
          <w:rFonts w:ascii="Courier New" w:hAnsi="Courier New" w:cs="Courier New"/>
          <w:noProof/>
          <w:sz w:val="18"/>
        </w:rPr>
        <w:t>(</w:t>
      </w:r>
      <w:hyperlink w:anchor="_ENREF_20" w:tooltip="The New York Times, 2021 #20" w:history="1">
        <w:r w:rsidRPr="002C0B84">
          <w:rPr>
            <w:rFonts w:ascii="Courier New" w:hAnsi="Courier New" w:cs="Courier New"/>
            <w:noProof/>
            <w:sz w:val="18"/>
          </w:rPr>
          <w:t>20</w:t>
        </w:r>
      </w:hyperlink>
      <w:r w:rsidRPr="002C0B84">
        <w:rPr>
          <w:rFonts w:ascii="Courier New" w:hAnsi="Courier New" w:cs="Courier New"/>
          <w:noProof/>
          <w:sz w:val="18"/>
        </w:rPr>
        <w:t>)</w:t>
      </w:r>
      <w:r w:rsidRPr="002C0B84">
        <w:rPr>
          <w:rFonts w:ascii="Courier New" w:hAnsi="Courier New" w:cs="Courier New"/>
          <w:sz w:val="18"/>
        </w:rPr>
        <w:fldChar w:fldCharType="end"/>
      </w:r>
      <w:r w:rsidRPr="002C0B84">
        <w:rPr>
          <w:rFonts w:ascii="Courier New" w:eastAsiaTheme="minorEastAsia" w:hAnsi="Courier New" w:cs="Courier New"/>
          <w:sz w:val="18"/>
        </w:rPr>
        <w:t xml:space="preserve">  Based on review of these narratives, we identified when each state changed from not “mostly closed” to “mostly closed”, or the reverse.  Our base case analysis designated business in a state as “restricted” during week </w:t>
      </w:r>
      <m:oMath>
        <m:r>
          <w:rPr>
            <w:rFonts w:ascii="Cambria Math" w:eastAsiaTheme="minorEastAsia" w:hAnsi="Cambria Math" w:cs="Courier New"/>
            <w:sz w:val="18"/>
          </w:rPr>
          <m:t>i</m:t>
        </m:r>
      </m:oMath>
      <w:r w:rsidRPr="002C0B84">
        <w:rPr>
          <w:rFonts w:ascii="Courier New" w:eastAsiaTheme="minorEastAsia" w:hAnsi="Courier New" w:cs="Courier New"/>
          <w:sz w:val="18"/>
        </w:rPr>
        <w:t xml:space="preserve"> if, according to the New York Times database, businesses were “mostly closed” on Monday (for the consumer spending outcomes) or Thursday (for the initial unemployment claim outcome) of that week. </w:t>
      </w:r>
      <w:r w:rsidRPr="002C0B84">
        <w:rPr>
          <w:rFonts w:ascii="Courier New" w:hAnsi="Courier New" w:cs="Courier New"/>
          <w:sz w:val="18"/>
        </w:rPr>
        <w:t>We included other explanatory variables in an effort to account for how news about the pandemic might influence voluntary, spontaneous reductions in economic activity.  These variables included seven-day average, population-normalized (1) daily new COVID cases (</w:t>
      </w:r>
      <m:oMath>
        <m:sSubSup>
          <m:sSubSupPr>
            <m:ctrlPr>
              <w:rPr>
                <w:rFonts w:ascii="Cambria Math" w:hAnsi="Cambria Math" w:cs="Courier New"/>
                <w:i/>
                <w:sz w:val="18"/>
              </w:rPr>
            </m:ctrlPr>
          </m:sSubSupPr>
          <m:e>
            <m:r>
              <w:rPr>
                <w:rFonts w:ascii="Cambria Math" w:hAnsi="Cambria Math" w:cs="Courier New"/>
                <w:sz w:val="18"/>
              </w:rPr>
              <m:t>NewCases</m:t>
            </m:r>
          </m:e>
          <m:sub>
            <m:r>
              <w:rPr>
                <w:rFonts w:ascii="Cambria Math" w:hAnsi="Cambria Math" w:cs="Courier New"/>
                <w:sz w:val="18"/>
              </w:rPr>
              <m:t>i</m:t>
            </m:r>
          </m:sub>
          <m:sup>
            <m:r>
              <w:rPr>
                <w:rFonts w:ascii="Cambria Math" w:hAnsi="Cambria Math" w:cs="Courier New"/>
                <w:sz w:val="18"/>
              </w:rPr>
              <m:t>s</m:t>
            </m:r>
          </m:sup>
        </m:sSubSup>
      </m:oMath>
      <w:r w:rsidRPr="002C0B84">
        <w:rPr>
          <w:rFonts w:ascii="Courier New" w:eastAsiaTheme="minorEastAsia" w:hAnsi="Courier New" w:cs="Courier New"/>
          <w:sz w:val="18"/>
        </w:rPr>
        <w:t>)</w:t>
      </w:r>
      <w:r w:rsidRPr="002C0B84">
        <w:rPr>
          <w:rFonts w:ascii="Courier New" w:hAnsi="Courier New" w:cs="Courier New"/>
          <w:sz w:val="18"/>
        </w:rPr>
        <w:t>, (2) daily COVID mortality (</w:t>
      </w:r>
      <m:oMath>
        <m:sSubSup>
          <m:sSubSupPr>
            <m:ctrlPr>
              <w:rPr>
                <w:rFonts w:ascii="Cambria Math" w:hAnsi="Cambria Math" w:cs="Courier New"/>
                <w:i/>
                <w:sz w:val="18"/>
              </w:rPr>
            </m:ctrlPr>
          </m:sSubSupPr>
          <m:e>
            <m:r>
              <w:rPr>
                <w:rFonts w:ascii="Cambria Math" w:hAnsi="Cambria Math" w:cs="Courier New"/>
                <w:sz w:val="18"/>
              </w:rPr>
              <m:t>NewDeaths</m:t>
            </m:r>
          </m:e>
          <m:sub>
            <m:r>
              <w:rPr>
                <w:rFonts w:ascii="Cambria Math" w:hAnsi="Cambria Math" w:cs="Courier New"/>
                <w:sz w:val="18"/>
              </w:rPr>
              <m:t>i</m:t>
            </m:r>
          </m:sub>
          <m:sup>
            <m:r>
              <w:rPr>
                <w:rFonts w:ascii="Cambria Math" w:hAnsi="Cambria Math" w:cs="Courier New"/>
                <w:sz w:val="18"/>
              </w:rPr>
              <m:t>s</m:t>
            </m:r>
          </m:sup>
        </m:sSubSup>
      </m:oMath>
      <w:r w:rsidRPr="002C0B84">
        <w:rPr>
          <w:rFonts w:ascii="Courier New" w:eastAsiaTheme="minorEastAsia" w:hAnsi="Courier New" w:cs="Courier New"/>
          <w:sz w:val="18"/>
        </w:rPr>
        <w:t>)</w:t>
      </w:r>
      <w:r w:rsidRPr="002C0B84">
        <w:rPr>
          <w:rFonts w:ascii="Courier New" w:hAnsi="Courier New" w:cs="Courier New"/>
          <w:sz w:val="18"/>
        </w:rPr>
        <w:t>, (3) the increase in daily new COVID cases over the last two weeks (</w:t>
      </w:r>
      <m:oMath>
        <m:sSubSup>
          <m:sSubSupPr>
            <m:ctrlPr>
              <w:rPr>
                <w:rFonts w:ascii="Cambria Math" w:hAnsi="Cambria Math" w:cs="Courier New"/>
                <w:i/>
                <w:sz w:val="18"/>
              </w:rPr>
            </m:ctrlPr>
          </m:sSubSupPr>
          <m:e>
            <m:r>
              <w:rPr>
                <w:rFonts w:ascii="Cambria Math" w:hAnsi="Cambria Math" w:cs="Courier New"/>
                <w:sz w:val="18"/>
              </w:rPr>
              <m:t>DeltaNewCases</m:t>
            </m:r>
          </m:e>
          <m:sub>
            <m:r>
              <w:rPr>
                <w:rFonts w:ascii="Cambria Math" w:hAnsi="Cambria Math" w:cs="Courier New"/>
                <w:sz w:val="18"/>
              </w:rPr>
              <m:t>i</m:t>
            </m:r>
          </m:sub>
          <m:sup>
            <m:r>
              <w:rPr>
                <w:rFonts w:ascii="Cambria Math" w:hAnsi="Cambria Math" w:cs="Courier New"/>
                <w:sz w:val="18"/>
              </w:rPr>
              <m:t>s</m:t>
            </m:r>
          </m:sup>
        </m:sSubSup>
      </m:oMath>
      <w:r w:rsidRPr="002C0B84">
        <w:rPr>
          <w:rFonts w:ascii="Courier New" w:eastAsiaTheme="minorEastAsia" w:hAnsi="Courier New" w:cs="Courier New"/>
          <w:sz w:val="18"/>
        </w:rPr>
        <w:t>)</w:t>
      </w:r>
      <w:r w:rsidRPr="002C0B84">
        <w:rPr>
          <w:rFonts w:ascii="Courier New" w:hAnsi="Courier New" w:cs="Courier New"/>
          <w:sz w:val="18"/>
        </w:rPr>
        <w:t>, and (4) the increase in daily COVID mortality over the last two weeks (</w:t>
      </w:r>
      <m:oMath>
        <m:sSubSup>
          <m:sSubSupPr>
            <m:ctrlPr>
              <w:rPr>
                <w:rFonts w:ascii="Cambria Math" w:hAnsi="Cambria Math" w:cs="Courier New"/>
                <w:i/>
                <w:sz w:val="18"/>
              </w:rPr>
            </m:ctrlPr>
          </m:sSubSupPr>
          <m:e>
            <m:r>
              <w:rPr>
                <w:rFonts w:ascii="Cambria Math" w:hAnsi="Cambria Math" w:cs="Courier New"/>
                <w:sz w:val="18"/>
              </w:rPr>
              <m:t>DeltaNewDeaths</m:t>
            </m:r>
          </m:e>
          <m:sub>
            <m:r>
              <w:rPr>
                <w:rFonts w:ascii="Cambria Math" w:hAnsi="Cambria Math" w:cs="Courier New"/>
                <w:sz w:val="18"/>
              </w:rPr>
              <m:t>i</m:t>
            </m:r>
          </m:sub>
          <m:sup>
            <m:r>
              <w:rPr>
                <w:rFonts w:ascii="Cambria Math" w:hAnsi="Cambria Math" w:cs="Courier New"/>
                <w:sz w:val="18"/>
              </w:rPr>
              <m:t>s</m:t>
            </m:r>
          </m:sup>
        </m:sSubSup>
      </m:oMath>
      <w:r w:rsidRPr="002C0B84">
        <w:rPr>
          <w:rFonts w:ascii="Courier New" w:eastAsiaTheme="minorEastAsia" w:hAnsi="Courier New" w:cs="Courier New"/>
          <w:sz w:val="18"/>
        </w:rPr>
        <w:t>)</w:t>
      </w:r>
      <w:r w:rsidRPr="002C0B84">
        <w:rPr>
          <w:rFonts w:ascii="Courier New" w:hAnsi="Courier New" w:cs="Courier New"/>
          <w:sz w:val="18"/>
        </w:rPr>
        <w:t>.  Daily COVID cases and deaths come from the New York Times COVID-19 Repository.</w:t>
      </w:r>
      <w:r w:rsidRPr="002C0B84">
        <w:rPr>
          <w:rFonts w:ascii="Courier New" w:hAnsi="Courier New" w:cs="Courier New"/>
          <w:sz w:val="18"/>
        </w:rPr>
        <w:fldChar w:fldCharType="begin"/>
      </w:r>
      <w:r w:rsidRPr="002C0B84">
        <w:rPr>
          <w:rFonts w:ascii="Courier New" w:hAnsi="Courier New" w:cs="Courier New"/>
          <w:sz w:val="18"/>
        </w:rPr>
        <w:instrText xml:space="preserve"> ADDIN EN.CITE &lt;EndNote&gt;&lt;Cite&gt;&lt;Author&gt;The New York Times&lt;/Author&gt;&lt;Year&gt;2021&lt;/Year&gt;&lt;RecNum&gt;21&lt;/RecNum&gt;&lt;DisplayText&gt;(21)&lt;/DisplayText&gt;&lt;record&gt;&lt;rec-number&gt;21&lt;/rec-number&gt;&lt;foreign-keys&gt;&lt;key app="EN" db-id="x95ferpfr5wvxqe5faxx0e04favsexr9asas" timestamp="1619634637"&gt;21&lt;/key&gt;&lt;/foreign-keys&gt;&lt;ref-type name="Online Database"&gt;45&lt;/ref-type&gt;&lt;contributors&gt;&lt;authors&gt;&lt;author&gt;The New York Times,&lt;/author&gt;&lt;/authors&gt;&lt;/contributors&gt;&lt;titles&gt;&lt;title&gt;nytimes / covid-19-data&lt;/title&gt;&lt;/titles&gt;&lt;dates&gt;&lt;year&gt;2021&lt;/year&gt;&lt;/dates&gt;&lt;urls&gt;&lt;related-urls&gt;&lt;url&gt;https://github.com/nytimes/covid-19-data&lt;/url&gt;&lt;/related-urls&gt;&lt;/urls&gt;&lt;/record&gt;&lt;/Cite&gt;&lt;/EndNote&gt;</w:instrText>
      </w:r>
      <w:r w:rsidRPr="002C0B84">
        <w:rPr>
          <w:rFonts w:ascii="Courier New" w:hAnsi="Courier New" w:cs="Courier New"/>
          <w:sz w:val="18"/>
        </w:rPr>
        <w:fldChar w:fldCharType="separate"/>
      </w:r>
      <w:r w:rsidRPr="002C0B84">
        <w:rPr>
          <w:rFonts w:ascii="Courier New" w:hAnsi="Courier New" w:cs="Courier New"/>
          <w:noProof/>
          <w:sz w:val="18"/>
        </w:rPr>
        <w:t>(</w:t>
      </w:r>
      <w:hyperlink w:anchor="_ENREF_21" w:tooltip="The New York Times, 2021 #21" w:history="1">
        <w:r w:rsidRPr="002C0B84">
          <w:rPr>
            <w:rFonts w:ascii="Courier New" w:hAnsi="Courier New" w:cs="Courier New"/>
            <w:noProof/>
            <w:sz w:val="18"/>
          </w:rPr>
          <w:t>21</w:t>
        </w:r>
      </w:hyperlink>
      <w:r w:rsidRPr="002C0B84">
        <w:rPr>
          <w:rFonts w:ascii="Courier New" w:hAnsi="Courier New" w:cs="Courier New"/>
          <w:noProof/>
          <w:sz w:val="18"/>
        </w:rPr>
        <w:t>)</w:t>
      </w:r>
      <w:r w:rsidRPr="002C0B84">
        <w:rPr>
          <w:rFonts w:ascii="Courier New" w:hAnsi="Courier New" w:cs="Courier New"/>
          <w:sz w:val="18"/>
        </w:rPr>
        <w:fldChar w:fldCharType="end"/>
      </w:r>
      <w:r w:rsidRPr="002C0B84">
        <w:rPr>
          <w:rFonts w:ascii="Courier New" w:hAnsi="Courier New" w:cs="Courier New"/>
          <w:sz w:val="18"/>
        </w:rPr>
        <w:t>”</w:t>
      </w:r>
    </w:p>
    <w:p w14:paraId="5F6EB314" w14:textId="77777777" w:rsidR="00D34068" w:rsidRDefault="00D34068" w:rsidP="00D34068">
      <w:pPr>
        <w:pStyle w:val="ListParagraph"/>
      </w:pPr>
    </w:p>
    <w:p w14:paraId="34D8FBFB" w14:textId="77777777" w:rsidR="00801179" w:rsidRPr="00C97107" w:rsidRDefault="00801179">
      <w:pPr>
        <w:rPr>
          <w:rFonts w:ascii="Courier New" w:hAnsi="Courier New" w:cs="Courier New"/>
        </w:rPr>
      </w:pPr>
      <w:r w:rsidRPr="00C97107">
        <w:rPr>
          <w:rFonts w:ascii="Courier New" w:hAnsi="Courier New" w:cs="Courier New"/>
        </w:rPr>
        <w:t xml:space="preserve">Item No. 8 – </w:t>
      </w:r>
      <w:r w:rsidR="00D34068" w:rsidRPr="00C97107">
        <w:rPr>
          <w:rFonts w:ascii="Courier New" w:hAnsi="Courier New" w:cs="Courier New"/>
        </w:rPr>
        <w:t>Data sources/measurement</w:t>
      </w:r>
    </w:p>
    <w:p w14:paraId="03478D60" w14:textId="77777777" w:rsidR="00D34068" w:rsidRPr="00C97107" w:rsidRDefault="00D34068" w:rsidP="00C97107">
      <w:pPr>
        <w:pStyle w:val="ListParagraph"/>
        <w:numPr>
          <w:ilvl w:val="0"/>
          <w:numId w:val="3"/>
        </w:numPr>
        <w:spacing w:line="240" w:lineRule="auto"/>
        <w:rPr>
          <w:rFonts w:ascii="Courier New" w:hAnsi="Courier New" w:cs="Courier New"/>
          <w:sz w:val="18"/>
          <w:szCs w:val="18"/>
        </w:rPr>
      </w:pPr>
      <w:r w:rsidRPr="00C97107">
        <w:rPr>
          <w:rFonts w:ascii="Courier New" w:hAnsi="Courier New" w:cs="Courier New"/>
          <w:sz w:val="18"/>
          <w:szCs w:val="18"/>
        </w:rPr>
        <w:t>See data availability statement, and details of measurement included above in Item No. 7</w:t>
      </w:r>
    </w:p>
    <w:p w14:paraId="66D1750B" w14:textId="77777777" w:rsidR="00C97107" w:rsidRDefault="00C97107">
      <w:pPr>
        <w:rPr>
          <w:rFonts w:ascii="Courier New" w:hAnsi="Courier New" w:cs="Courier New"/>
        </w:rPr>
      </w:pPr>
      <w:r>
        <w:rPr>
          <w:rFonts w:ascii="Courier New" w:hAnsi="Courier New" w:cs="Courier New"/>
        </w:rPr>
        <w:br w:type="page"/>
      </w:r>
    </w:p>
    <w:p w14:paraId="6B075066" w14:textId="7912F1C1" w:rsidR="00801179" w:rsidRPr="00C97107" w:rsidRDefault="00801179">
      <w:pPr>
        <w:rPr>
          <w:rFonts w:ascii="Courier New" w:hAnsi="Courier New" w:cs="Courier New"/>
        </w:rPr>
      </w:pPr>
      <w:r w:rsidRPr="00C97107">
        <w:rPr>
          <w:rFonts w:ascii="Courier New" w:hAnsi="Courier New" w:cs="Courier New"/>
        </w:rPr>
        <w:lastRenderedPageBreak/>
        <w:t xml:space="preserve">Item No. 9 – </w:t>
      </w:r>
      <w:r w:rsidR="00D34068" w:rsidRPr="00C97107">
        <w:rPr>
          <w:rFonts w:ascii="Courier New" w:hAnsi="Courier New" w:cs="Courier New"/>
        </w:rPr>
        <w:t>Bias</w:t>
      </w:r>
    </w:p>
    <w:p w14:paraId="12A43F90" w14:textId="77777777" w:rsidR="00D34068" w:rsidRPr="005B325C" w:rsidRDefault="00D34068" w:rsidP="002C0B84">
      <w:pPr>
        <w:pStyle w:val="ListParagraph"/>
        <w:numPr>
          <w:ilvl w:val="0"/>
          <w:numId w:val="3"/>
        </w:numPr>
        <w:spacing w:after="120" w:line="240" w:lineRule="auto"/>
        <w:contextualSpacing w:val="0"/>
        <w:rPr>
          <w:sz w:val="18"/>
        </w:rPr>
      </w:pPr>
      <w:r w:rsidRPr="005B325C">
        <w:rPr>
          <w:sz w:val="18"/>
        </w:rPr>
        <w:t>“</w:t>
      </w:r>
      <w:r w:rsidRPr="005B325C">
        <w:rPr>
          <w:rFonts w:ascii="Courier New" w:hAnsi="Courier New" w:cs="Courier New"/>
          <w:sz w:val="18"/>
        </w:rPr>
        <w:t>We included other explanatory variables in an effort to account for how news about the pandemic might influence voluntary, spontaneous reductions in economic activity.  These variables included seven-day average, population-normalized (1) daily new COVID cases (</w:t>
      </w:r>
      <m:oMath>
        <m:sSubSup>
          <m:sSubSupPr>
            <m:ctrlPr>
              <w:rPr>
                <w:rFonts w:ascii="Cambria Math" w:hAnsi="Cambria Math" w:cs="Courier New"/>
                <w:i/>
                <w:sz w:val="18"/>
              </w:rPr>
            </m:ctrlPr>
          </m:sSubSupPr>
          <m:e>
            <m:r>
              <w:rPr>
                <w:rFonts w:ascii="Cambria Math" w:hAnsi="Cambria Math" w:cs="Courier New"/>
                <w:sz w:val="18"/>
              </w:rPr>
              <m:t>NewCases</m:t>
            </m:r>
          </m:e>
          <m:sub>
            <m:r>
              <w:rPr>
                <w:rFonts w:ascii="Cambria Math" w:hAnsi="Cambria Math" w:cs="Courier New"/>
                <w:sz w:val="18"/>
              </w:rPr>
              <m:t>i</m:t>
            </m:r>
          </m:sub>
          <m:sup>
            <m:r>
              <w:rPr>
                <w:rFonts w:ascii="Cambria Math" w:hAnsi="Cambria Math" w:cs="Courier New"/>
                <w:sz w:val="18"/>
              </w:rPr>
              <m:t>s</m:t>
            </m:r>
          </m:sup>
        </m:sSubSup>
      </m:oMath>
      <w:r w:rsidRPr="005B325C">
        <w:rPr>
          <w:rFonts w:ascii="Courier New" w:eastAsiaTheme="minorEastAsia" w:hAnsi="Courier New" w:cs="Courier New"/>
          <w:sz w:val="18"/>
        </w:rPr>
        <w:t>)</w:t>
      </w:r>
      <w:r w:rsidRPr="005B325C">
        <w:rPr>
          <w:rFonts w:ascii="Courier New" w:hAnsi="Courier New" w:cs="Courier New"/>
          <w:sz w:val="18"/>
        </w:rPr>
        <w:t>, (2) daily COVID mortality (</w:t>
      </w:r>
      <m:oMath>
        <m:sSubSup>
          <m:sSubSupPr>
            <m:ctrlPr>
              <w:rPr>
                <w:rFonts w:ascii="Cambria Math" w:hAnsi="Cambria Math" w:cs="Courier New"/>
                <w:i/>
                <w:sz w:val="18"/>
              </w:rPr>
            </m:ctrlPr>
          </m:sSubSupPr>
          <m:e>
            <m:r>
              <w:rPr>
                <w:rFonts w:ascii="Cambria Math" w:hAnsi="Cambria Math" w:cs="Courier New"/>
                <w:sz w:val="18"/>
              </w:rPr>
              <m:t>NewDeaths</m:t>
            </m:r>
          </m:e>
          <m:sub>
            <m:r>
              <w:rPr>
                <w:rFonts w:ascii="Cambria Math" w:hAnsi="Cambria Math" w:cs="Courier New"/>
                <w:sz w:val="18"/>
              </w:rPr>
              <m:t>i</m:t>
            </m:r>
          </m:sub>
          <m:sup>
            <m:r>
              <w:rPr>
                <w:rFonts w:ascii="Cambria Math" w:hAnsi="Cambria Math" w:cs="Courier New"/>
                <w:sz w:val="18"/>
              </w:rPr>
              <m:t>s</m:t>
            </m:r>
          </m:sup>
        </m:sSubSup>
      </m:oMath>
      <w:r w:rsidRPr="005B325C">
        <w:rPr>
          <w:rFonts w:ascii="Courier New" w:eastAsiaTheme="minorEastAsia" w:hAnsi="Courier New" w:cs="Courier New"/>
          <w:sz w:val="18"/>
        </w:rPr>
        <w:t>)</w:t>
      </w:r>
      <w:r w:rsidRPr="005B325C">
        <w:rPr>
          <w:rFonts w:ascii="Courier New" w:hAnsi="Courier New" w:cs="Courier New"/>
          <w:sz w:val="18"/>
        </w:rPr>
        <w:t>, (3) the increase in daily new COVID cases over the last two weeks (</w:t>
      </w:r>
      <m:oMath>
        <m:sSubSup>
          <m:sSubSupPr>
            <m:ctrlPr>
              <w:rPr>
                <w:rFonts w:ascii="Cambria Math" w:hAnsi="Cambria Math" w:cs="Courier New"/>
                <w:i/>
                <w:sz w:val="18"/>
              </w:rPr>
            </m:ctrlPr>
          </m:sSubSupPr>
          <m:e>
            <m:r>
              <w:rPr>
                <w:rFonts w:ascii="Cambria Math" w:hAnsi="Cambria Math" w:cs="Courier New"/>
                <w:sz w:val="18"/>
              </w:rPr>
              <m:t>DeltaNewCases</m:t>
            </m:r>
          </m:e>
          <m:sub>
            <m:r>
              <w:rPr>
                <w:rFonts w:ascii="Cambria Math" w:hAnsi="Cambria Math" w:cs="Courier New"/>
                <w:sz w:val="18"/>
              </w:rPr>
              <m:t>i</m:t>
            </m:r>
          </m:sub>
          <m:sup>
            <m:r>
              <w:rPr>
                <w:rFonts w:ascii="Cambria Math" w:hAnsi="Cambria Math" w:cs="Courier New"/>
                <w:sz w:val="18"/>
              </w:rPr>
              <m:t>s</m:t>
            </m:r>
          </m:sup>
        </m:sSubSup>
      </m:oMath>
      <w:r w:rsidRPr="005B325C">
        <w:rPr>
          <w:rFonts w:ascii="Courier New" w:eastAsiaTheme="minorEastAsia" w:hAnsi="Courier New" w:cs="Courier New"/>
          <w:sz w:val="18"/>
        </w:rPr>
        <w:t>)</w:t>
      </w:r>
      <w:r w:rsidRPr="005B325C">
        <w:rPr>
          <w:rFonts w:ascii="Courier New" w:hAnsi="Courier New" w:cs="Courier New"/>
          <w:sz w:val="18"/>
        </w:rPr>
        <w:t>, and (4) the increase in daily COVID mortality over the last two weeks (</w:t>
      </w:r>
      <m:oMath>
        <m:sSubSup>
          <m:sSubSupPr>
            <m:ctrlPr>
              <w:rPr>
                <w:rFonts w:ascii="Cambria Math" w:hAnsi="Cambria Math" w:cs="Courier New"/>
                <w:i/>
                <w:sz w:val="18"/>
              </w:rPr>
            </m:ctrlPr>
          </m:sSubSupPr>
          <m:e>
            <m:r>
              <w:rPr>
                <w:rFonts w:ascii="Cambria Math" w:hAnsi="Cambria Math" w:cs="Courier New"/>
                <w:sz w:val="18"/>
              </w:rPr>
              <m:t>DeltaNewDeaths</m:t>
            </m:r>
          </m:e>
          <m:sub>
            <m:r>
              <w:rPr>
                <w:rFonts w:ascii="Cambria Math" w:hAnsi="Cambria Math" w:cs="Courier New"/>
                <w:sz w:val="18"/>
              </w:rPr>
              <m:t>i</m:t>
            </m:r>
          </m:sub>
          <m:sup>
            <m:r>
              <w:rPr>
                <w:rFonts w:ascii="Cambria Math" w:hAnsi="Cambria Math" w:cs="Courier New"/>
                <w:sz w:val="18"/>
              </w:rPr>
              <m:t>s</m:t>
            </m:r>
          </m:sup>
        </m:sSubSup>
      </m:oMath>
      <w:r w:rsidRPr="005B325C">
        <w:rPr>
          <w:rFonts w:ascii="Courier New" w:eastAsiaTheme="minorEastAsia" w:hAnsi="Courier New" w:cs="Courier New"/>
          <w:sz w:val="18"/>
        </w:rPr>
        <w:t>)</w:t>
      </w:r>
      <w:r w:rsidRPr="005B325C">
        <w:rPr>
          <w:rFonts w:ascii="Courier New" w:hAnsi="Courier New" w:cs="Courier New"/>
          <w:sz w:val="18"/>
        </w:rPr>
        <w:t>.”</w:t>
      </w:r>
    </w:p>
    <w:p w14:paraId="42272E16" w14:textId="77777777" w:rsidR="00D34068" w:rsidRPr="005B325C" w:rsidRDefault="00D34068" w:rsidP="002C0B84">
      <w:pPr>
        <w:pStyle w:val="ListParagraph"/>
        <w:numPr>
          <w:ilvl w:val="0"/>
          <w:numId w:val="3"/>
        </w:numPr>
        <w:spacing w:after="120" w:line="240" w:lineRule="auto"/>
        <w:contextualSpacing w:val="0"/>
        <w:rPr>
          <w:rFonts w:ascii="Courier New" w:hAnsi="Courier New" w:cs="Courier New"/>
          <w:sz w:val="18"/>
        </w:rPr>
      </w:pPr>
      <w:r w:rsidRPr="005B325C">
        <w:rPr>
          <w:sz w:val="18"/>
        </w:rPr>
        <w:t>“</w:t>
      </w:r>
      <w:r w:rsidRPr="005B325C">
        <w:rPr>
          <w:rFonts w:ascii="Courier New" w:hAnsi="Courier New" w:cs="Courier New"/>
          <w:b/>
          <w:sz w:val="18"/>
        </w:rPr>
        <w:t>Data:</w:t>
      </w:r>
      <w:r w:rsidRPr="005B325C">
        <w:rPr>
          <w:rFonts w:ascii="Courier New" w:hAnsi="Courier New" w:cs="Courier New"/>
          <w:sz w:val="18"/>
        </w:rPr>
        <w:t xml:space="preserve"> For time series data reported daily, we computed seven-day moving average values to eliminate weekend-weekday effects.  For data representing state totals (e.g., consumer spending and COVID incidence), we normalized by state population size.”</w:t>
      </w:r>
    </w:p>
    <w:p w14:paraId="741FD35D" w14:textId="77777777" w:rsidR="00D34068" w:rsidRPr="005B325C" w:rsidRDefault="00D34068" w:rsidP="002C0B84">
      <w:pPr>
        <w:pStyle w:val="ListParagraph"/>
        <w:numPr>
          <w:ilvl w:val="0"/>
          <w:numId w:val="3"/>
        </w:numPr>
        <w:spacing w:after="120" w:line="240" w:lineRule="auto"/>
        <w:contextualSpacing w:val="0"/>
        <w:rPr>
          <w:rFonts w:ascii="Courier New" w:eastAsiaTheme="minorEastAsia" w:hAnsi="Courier New" w:cs="Courier New"/>
          <w:sz w:val="18"/>
        </w:rPr>
      </w:pPr>
      <w:r w:rsidRPr="005B325C">
        <w:rPr>
          <w:rFonts w:ascii="Courier New" w:eastAsiaTheme="minorEastAsia" w:hAnsi="Courier New" w:cs="Courier New"/>
          <w:sz w:val="18"/>
        </w:rPr>
        <w:t xml:space="preserve">“All regressions are linear mixed models that account for nesting within state and correlation across observations that are close in time.  </w:t>
      </w:r>
      <w:r w:rsidRPr="005B325C">
        <w:rPr>
          <w:rFonts w:ascii="Courier New" w:hAnsi="Courier New" w:cs="Courier New"/>
          <w:sz w:val="18"/>
        </w:rPr>
        <w:t>To account for temporal correlation, the base case model implemented a first-order, autoregressive (lag 1-week) covariance structure.  This covariance structure assumes correlation is greatest for observations adjacent in time, with decreasing correlation between observations more distant in time.”</w:t>
      </w:r>
    </w:p>
    <w:p w14:paraId="03FC7AAB" w14:textId="77777777" w:rsidR="00D34068" w:rsidRDefault="00D34068" w:rsidP="00D34068">
      <w:pPr>
        <w:pStyle w:val="ListParagraph"/>
      </w:pPr>
    </w:p>
    <w:p w14:paraId="07FAAA8C" w14:textId="77777777" w:rsidR="00801179" w:rsidRPr="00C97107" w:rsidRDefault="00801179">
      <w:pPr>
        <w:rPr>
          <w:rFonts w:ascii="Courier New" w:hAnsi="Courier New" w:cs="Courier New"/>
        </w:rPr>
      </w:pPr>
      <w:r w:rsidRPr="00C97107">
        <w:rPr>
          <w:rFonts w:ascii="Courier New" w:hAnsi="Courier New" w:cs="Courier New"/>
        </w:rPr>
        <w:t xml:space="preserve">Item No. 10 – </w:t>
      </w:r>
      <w:r w:rsidR="005B325C" w:rsidRPr="00C97107">
        <w:rPr>
          <w:rFonts w:ascii="Courier New" w:hAnsi="Courier New" w:cs="Courier New"/>
        </w:rPr>
        <w:t>Study Size</w:t>
      </w:r>
    </w:p>
    <w:p w14:paraId="366D67B8" w14:textId="77777777" w:rsidR="005B325C" w:rsidRPr="00C97107" w:rsidRDefault="005B325C" w:rsidP="002C0B84">
      <w:pPr>
        <w:pStyle w:val="ListParagraph"/>
        <w:numPr>
          <w:ilvl w:val="0"/>
          <w:numId w:val="3"/>
        </w:numPr>
        <w:spacing w:after="120" w:line="240" w:lineRule="auto"/>
        <w:contextualSpacing w:val="0"/>
        <w:rPr>
          <w:rFonts w:ascii="Courier New" w:hAnsi="Courier New" w:cs="Courier New"/>
          <w:sz w:val="18"/>
          <w:szCs w:val="18"/>
        </w:rPr>
      </w:pPr>
      <w:r w:rsidRPr="00C97107">
        <w:rPr>
          <w:rFonts w:ascii="Courier New" w:hAnsi="Courier New" w:cs="Courier New"/>
          <w:sz w:val="18"/>
          <w:szCs w:val="18"/>
        </w:rPr>
        <w:t xml:space="preserve">We intended to analyze the United States, so we chose to use whatever data was available on all the states/territories within the US borders. This passage below indicates why we chose the state level as our observation unit, because given that most restrictions were put in place by state governments, and most economic and population health data were publicly reported at the state level, it made the most sense both for achieving our research goal and logistically to use state level data. </w:t>
      </w:r>
    </w:p>
    <w:p w14:paraId="1E30D3CA" w14:textId="77777777" w:rsidR="005B325C" w:rsidRPr="00C97107" w:rsidRDefault="005B325C" w:rsidP="002C0B84">
      <w:pPr>
        <w:pStyle w:val="ListParagraph"/>
        <w:numPr>
          <w:ilvl w:val="0"/>
          <w:numId w:val="3"/>
        </w:numPr>
        <w:spacing w:after="120" w:line="240" w:lineRule="auto"/>
        <w:contextualSpacing w:val="0"/>
        <w:rPr>
          <w:rFonts w:ascii="Courier New" w:hAnsi="Courier New" w:cs="Courier New"/>
          <w:sz w:val="18"/>
          <w:szCs w:val="18"/>
        </w:rPr>
      </w:pPr>
      <w:r w:rsidRPr="00C97107">
        <w:rPr>
          <w:rFonts w:ascii="Courier New" w:hAnsi="Courier New" w:cs="Courier New"/>
          <w:sz w:val="18"/>
          <w:szCs w:val="18"/>
        </w:rPr>
        <w:t>“To assess the cost of government-imposed economic restrictions, we combined high frequency economic data, information on the pandemic’s progression (case incidence and mortality), and information about when state governments imposed and lifted restrictions on business activities.”</w:t>
      </w:r>
    </w:p>
    <w:p w14:paraId="5239ACF8" w14:textId="77777777" w:rsidR="005B325C" w:rsidRDefault="005B325C"/>
    <w:p w14:paraId="75420060" w14:textId="77777777" w:rsidR="00C97107" w:rsidRDefault="00C97107">
      <w:r>
        <w:br w:type="page"/>
      </w:r>
    </w:p>
    <w:p w14:paraId="09AD95F7" w14:textId="01715E79" w:rsidR="00801179" w:rsidRPr="002C0B84" w:rsidRDefault="00801179">
      <w:pPr>
        <w:rPr>
          <w:rFonts w:ascii="Courier New" w:hAnsi="Courier New" w:cs="Courier New"/>
        </w:rPr>
      </w:pPr>
      <w:r w:rsidRPr="002C0B84">
        <w:rPr>
          <w:rFonts w:ascii="Courier New" w:hAnsi="Courier New" w:cs="Courier New"/>
        </w:rPr>
        <w:lastRenderedPageBreak/>
        <w:t xml:space="preserve">Item No. 11 – </w:t>
      </w:r>
      <w:r w:rsidR="005B325C" w:rsidRPr="002C0B84">
        <w:rPr>
          <w:rFonts w:ascii="Courier New" w:hAnsi="Courier New" w:cs="Courier New"/>
        </w:rPr>
        <w:t>Quantitative variables</w:t>
      </w:r>
    </w:p>
    <w:p w14:paraId="635EDF79" w14:textId="77777777" w:rsidR="005B325C" w:rsidRPr="002C0B84" w:rsidRDefault="005B325C" w:rsidP="002C0B84">
      <w:pPr>
        <w:pStyle w:val="ListParagraph"/>
        <w:numPr>
          <w:ilvl w:val="0"/>
          <w:numId w:val="3"/>
        </w:numPr>
        <w:spacing w:after="120"/>
        <w:contextualSpacing w:val="0"/>
        <w:rPr>
          <w:rFonts w:ascii="Courier New" w:hAnsi="Courier New" w:cs="Courier New"/>
          <w:sz w:val="18"/>
          <w:szCs w:val="18"/>
        </w:rPr>
      </w:pPr>
      <w:r w:rsidRPr="002C0B84">
        <w:rPr>
          <w:rFonts w:ascii="Courier New" w:hAnsi="Courier New" w:cs="Courier New"/>
          <w:sz w:val="18"/>
          <w:szCs w:val="18"/>
        </w:rPr>
        <w:t xml:space="preserve">See an excerpt from our data description section below. </w:t>
      </w:r>
    </w:p>
    <w:p w14:paraId="49B00E62" w14:textId="77777777" w:rsidR="005B325C" w:rsidRPr="005B325C" w:rsidRDefault="005B325C" w:rsidP="002C0B84">
      <w:pPr>
        <w:pStyle w:val="ListParagraph"/>
        <w:numPr>
          <w:ilvl w:val="0"/>
          <w:numId w:val="3"/>
        </w:numPr>
        <w:spacing w:after="120" w:line="240" w:lineRule="auto"/>
        <w:contextualSpacing w:val="0"/>
        <w:rPr>
          <w:rFonts w:ascii="Courier New" w:hAnsi="Courier New" w:cs="Courier New"/>
          <w:sz w:val="18"/>
        </w:rPr>
      </w:pPr>
      <w:r w:rsidRPr="005B325C">
        <w:rPr>
          <w:sz w:val="18"/>
        </w:rPr>
        <w:t>“</w:t>
      </w:r>
      <w:r w:rsidRPr="005B325C">
        <w:rPr>
          <w:rFonts w:ascii="Courier New" w:hAnsi="Courier New" w:cs="Courier New"/>
          <w:sz w:val="18"/>
        </w:rPr>
        <w:t xml:space="preserve">Outcomes – For state </w:t>
      </w:r>
      <m:oMath>
        <m:r>
          <w:rPr>
            <w:rFonts w:ascii="Cambria Math" w:hAnsi="Cambria Math" w:cs="Courier New"/>
            <w:sz w:val="18"/>
          </w:rPr>
          <m:t>s</m:t>
        </m:r>
      </m:oMath>
      <w:r w:rsidRPr="005B325C">
        <w:rPr>
          <w:rFonts w:ascii="Courier New" w:eastAsiaTheme="minorEastAsia" w:hAnsi="Courier New" w:cs="Courier New"/>
          <w:sz w:val="18"/>
        </w:rPr>
        <w:t xml:space="preserve"> and </w:t>
      </w:r>
      <w:proofErr w:type="gramStart"/>
      <w:r w:rsidRPr="005B325C">
        <w:rPr>
          <w:rFonts w:ascii="Courier New" w:eastAsiaTheme="minorEastAsia" w:hAnsi="Courier New" w:cs="Courier New"/>
          <w:sz w:val="18"/>
        </w:rPr>
        <w:t xml:space="preserve">week </w:t>
      </w:r>
      <w:proofErr w:type="gramEnd"/>
      <m:oMath>
        <m:r>
          <w:rPr>
            <w:rFonts w:ascii="Cambria Math" w:eastAsiaTheme="minorEastAsia" w:hAnsi="Cambria Math" w:cs="Courier New"/>
            <w:sz w:val="18"/>
          </w:rPr>
          <m:t>i</m:t>
        </m:r>
      </m:oMath>
      <w:r w:rsidRPr="005B325C">
        <w:rPr>
          <w:rFonts w:ascii="Courier New" w:eastAsiaTheme="minorEastAsia" w:hAnsi="Courier New" w:cs="Courier New"/>
          <w:sz w:val="18"/>
        </w:rPr>
        <w:t xml:space="preserve">, </w:t>
      </w:r>
      <w:r w:rsidRPr="005B325C">
        <w:rPr>
          <w:rFonts w:ascii="Courier New" w:hAnsi="Courier New" w:cs="Courier New"/>
          <w:sz w:val="18"/>
        </w:rPr>
        <w:t>outcomes include percent change in seasonally adjusted spending on restaurants and accommodations compared to January 2020 (</w:t>
      </w:r>
      <m:oMath>
        <m:sSubSup>
          <m:sSubSupPr>
            <m:ctrlPr>
              <w:rPr>
                <w:rFonts w:ascii="Cambria Math" w:hAnsi="Cambria Math" w:cs="Courier New"/>
                <w:i/>
                <w:sz w:val="18"/>
              </w:rPr>
            </m:ctrlPr>
          </m:sSubSupPr>
          <m:e>
            <m:r>
              <w:rPr>
                <w:rFonts w:ascii="Cambria Math" w:hAnsi="Cambria Math" w:cs="Courier New"/>
                <w:sz w:val="18"/>
              </w:rPr>
              <m:t>SpndRst</m:t>
            </m:r>
          </m:e>
          <m:sub>
            <m:r>
              <w:rPr>
                <w:rFonts w:ascii="Cambria Math" w:hAnsi="Cambria Math" w:cs="Courier New"/>
                <w:sz w:val="18"/>
              </w:rPr>
              <m:t>i</m:t>
            </m:r>
          </m:sub>
          <m:sup>
            <m:r>
              <w:rPr>
                <w:rFonts w:ascii="Cambria Math" w:hAnsi="Cambria Math" w:cs="Courier New"/>
                <w:sz w:val="18"/>
              </w:rPr>
              <m:t>s</m:t>
            </m:r>
          </m:sup>
        </m:sSubSup>
      </m:oMath>
      <w:r w:rsidRPr="005B325C">
        <w:rPr>
          <w:rFonts w:ascii="Courier New" w:hAnsi="Courier New" w:cs="Courier New"/>
          <w:sz w:val="18"/>
        </w:rPr>
        <w:t>), and percent change in seasonally adjusted total consumer spending compared to January 2020 (</w:t>
      </w:r>
      <m:oMath>
        <m:sSubSup>
          <m:sSubSupPr>
            <m:ctrlPr>
              <w:rPr>
                <w:rFonts w:ascii="Cambria Math" w:hAnsi="Cambria Math" w:cs="Courier New"/>
                <w:i/>
                <w:sz w:val="18"/>
              </w:rPr>
            </m:ctrlPr>
          </m:sSubSupPr>
          <m:e>
            <m:r>
              <w:rPr>
                <w:rFonts w:ascii="Cambria Math" w:hAnsi="Cambria Math" w:cs="Courier New"/>
                <w:sz w:val="18"/>
              </w:rPr>
              <m:t>SpndTtl</m:t>
            </m:r>
          </m:e>
          <m:sub>
            <m:r>
              <w:rPr>
                <w:rFonts w:ascii="Cambria Math" w:hAnsi="Cambria Math" w:cs="Courier New"/>
                <w:sz w:val="18"/>
              </w:rPr>
              <m:t>i</m:t>
            </m:r>
          </m:sub>
          <m:sup>
            <m:r>
              <w:rPr>
                <w:rFonts w:ascii="Cambria Math" w:hAnsi="Cambria Math" w:cs="Courier New"/>
                <w:sz w:val="18"/>
              </w:rPr>
              <m:t>s</m:t>
            </m:r>
          </m:sup>
        </m:sSubSup>
      </m:oMath>
      <w:r w:rsidRPr="005B325C">
        <w:rPr>
          <w:rFonts w:ascii="Courier New" w:hAnsi="Courier New" w:cs="Courier New"/>
          <w:sz w:val="18"/>
        </w:rPr>
        <w:t xml:space="preserve">).  To eliminate weekend and weekday periodicity, we computed seven-day moving average values, as described above.  The spending data span the period September 15 to December 27, 2020.  Our third outcome, for state </w:t>
      </w:r>
      <m:oMath>
        <m:r>
          <w:rPr>
            <w:rFonts w:ascii="Cambria Math" w:hAnsi="Cambria Math" w:cs="Courier New"/>
            <w:sz w:val="18"/>
          </w:rPr>
          <m:t>s</m:t>
        </m:r>
      </m:oMath>
      <w:r w:rsidRPr="005B325C">
        <w:rPr>
          <w:rFonts w:ascii="Courier New" w:eastAsiaTheme="minorEastAsia" w:hAnsi="Courier New" w:cs="Courier New"/>
          <w:sz w:val="18"/>
        </w:rPr>
        <w:t xml:space="preserve"> and </w:t>
      </w:r>
      <w:proofErr w:type="gramStart"/>
      <w:r w:rsidRPr="005B325C">
        <w:rPr>
          <w:rFonts w:ascii="Courier New" w:eastAsiaTheme="minorEastAsia" w:hAnsi="Courier New" w:cs="Courier New"/>
          <w:sz w:val="18"/>
        </w:rPr>
        <w:t xml:space="preserve">week </w:t>
      </w:r>
      <w:proofErr w:type="gramEnd"/>
      <m:oMath>
        <m:r>
          <w:rPr>
            <w:rFonts w:ascii="Cambria Math" w:eastAsiaTheme="minorEastAsia" w:hAnsi="Cambria Math" w:cs="Courier New"/>
            <w:sz w:val="18"/>
          </w:rPr>
          <m:t>i</m:t>
        </m:r>
      </m:oMath>
      <w:r w:rsidRPr="005B325C">
        <w:rPr>
          <w:rFonts w:ascii="Courier New" w:eastAsiaTheme="minorEastAsia" w:hAnsi="Courier New" w:cs="Courier New"/>
          <w:sz w:val="18"/>
        </w:rPr>
        <w:t>,</w:t>
      </w:r>
      <w:r w:rsidRPr="005B325C">
        <w:rPr>
          <w:rFonts w:ascii="Courier New" w:hAnsi="Courier New" w:cs="Courier New"/>
          <w:sz w:val="18"/>
        </w:rPr>
        <w:t xml:space="preserve"> was initial unemployment claims (reported on Thursday of each week) per 100 people in the 2019 labor force (</w:t>
      </w:r>
      <m:oMath>
        <m:sSubSup>
          <m:sSubSupPr>
            <m:ctrlPr>
              <w:rPr>
                <w:rFonts w:ascii="Cambria Math" w:hAnsi="Cambria Math" w:cs="Courier New"/>
                <w:i/>
                <w:sz w:val="18"/>
              </w:rPr>
            </m:ctrlPr>
          </m:sSubSupPr>
          <m:e>
            <m:r>
              <w:rPr>
                <w:rFonts w:ascii="Cambria Math" w:hAnsi="Cambria Math" w:cs="Courier New"/>
                <w:sz w:val="18"/>
              </w:rPr>
              <m:t>UE</m:t>
            </m:r>
          </m:e>
          <m:sub>
            <m:r>
              <w:rPr>
                <w:rFonts w:ascii="Cambria Math" w:hAnsi="Cambria Math" w:cs="Courier New"/>
                <w:sz w:val="18"/>
              </w:rPr>
              <m:t>i</m:t>
            </m:r>
          </m:sub>
          <m:sup>
            <m:r>
              <w:rPr>
                <w:rFonts w:ascii="Cambria Math" w:hAnsi="Cambria Math" w:cs="Courier New"/>
                <w:sz w:val="18"/>
              </w:rPr>
              <m:t>s</m:t>
            </m:r>
          </m:sup>
        </m:sSubSup>
      </m:oMath>
      <w:r w:rsidRPr="005B325C">
        <w:rPr>
          <w:rFonts w:ascii="Courier New" w:hAnsi="Courier New" w:cs="Courier New"/>
          <w:sz w:val="18"/>
        </w:rPr>
        <w:t>).  This data series spanned the period September 19 to December 19, 2020. Outcomes data come from the Opportunity Insights COVID-19 Economic  Tracker project at Harvard University.</w:t>
      </w:r>
      <w:r w:rsidRPr="005B325C">
        <w:rPr>
          <w:rFonts w:ascii="Courier New" w:hAnsi="Courier New" w:cs="Courier New"/>
          <w:sz w:val="18"/>
        </w:rPr>
        <w:fldChar w:fldCharType="begin"/>
      </w:r>
      <w:r w:rsidRPr="005B325C">
        <w:rPr>
          <w:rFonts w:ascii="Courier New" w:hAnsi="Courier New" w:cs="Courier New"/>
          <w:sz w:val="18"/>
        </w:rPr>
        <w:instrText xml:space="preserve"> ADDIN EN.CITE &lt;EndNote&gt;&lt;Cite&gt;&lt;Author&gt;Chetty&lt;/Author&gt;&lt;Year&gt;2021&lt;/Year&gt;&lt;RecNum&gt;19&lt;/RecNum&gt;&lt;DisplayText&gt;(19)&lt;/DisplayText&gt;&lt;record&gt;&lt;rec-number&gt;19&lt;/rec-number&gt;&lt;foreign-keys&gt;&lt;key app="EN" db-id="x95ferpfr5wvxqe5faxx0e04favsexr9asas" timestamp="1619633426"&gt;19&lt;/key&gt;&lt;/foreign-keys&gt;&lt;ref-type name="Online Database"&gt;45&lt;/ref-type&gt;&lt;contributors&gt;&lt;authors&gt;&lt;author&gt;Chetty, R&lt;/author&gt;&lt;/authors&gt;&lt;/contributors&gt;&lt;titles&gt;&lt;title&gt;Opportunity Insights Economic Tracker&lt;/title&gt;&lt;/titles&gt;&lt;dates&gt;&lt;year&gt;2021&lt;/year&gt;&lt;/dates&gt;&lt;publisher&gt;Opportunity Insights, Harvard University&lt;/publisher&gt;&lt;urls&gt;&lt;related-urls&gt;&lt;url&gt;https://tracktherecovery.org/&lt;/url&gt;&lt;/related-urls&gt;&lt;/urls&gt;&lt;/record&gt;&lt;/Cite&gt;&lt;/EndNote&gt;</w:instrText>
      </w:r>
      <w:r w:rsidRPr="005B325C">
        <w:rPr>
          <w:rFonts w:ascii="Courier New" w:hAnsi="Courier New" w:cs="Courier New"/>
          <w:sz w:val="18"/>
        </w:rPr>
        <w:fldChar w:fldCharType="separate"/>
      </w:r>
      <w:r w:rsidRPr="005B325C">
        <w:rPr>
          <w:rFonts w:ascii="Courier New" w:hAnsi="Courier New" w:cs="Courier New"/>
          <w:noProof/>
          <w:sz w:val="18"/>
        </w:rPr>
        <w:t>(</w:t>
      </w:r>
      <w:hyperlink w:anchor="_ENREF_19" w:tooltip="Chetty, 2021 #19" w:history="1">
        <w:r w:rsidRPr="005B325C">
          <w:rPr>
            <w:rFonts w:ascii="Courier New" w:hAnsi="Courier New" w:cs="Courier New"/>
            <w:noProof/>
            <w:sz w:val="18"/>
          </w:rPr>
          <w:t>19</w:t>
        </w:r>
      </w:hyperlink>
      <w:r w:rsidRPr="005B325C">
        <w:rPr>
          <w:rFonts w:ascii="Courier New" w:hAnsi="Courier New" w:cs="Courier New"/>
          <w:noProof/>
          <w:sz w:val="18"/>
        </w:rPr>
        <w:t>)</w:t>
      </w:r>
      <w:r w:rsidRPr="005B325C">
        <w:rPr>
          <w:rFonts w:ascii="Courier New" w:hAnsi="Courier New" w:cs="Courier New"/>
          <w:sz w:val="18"/>
        </w:rPr>
        <w:fldChar w:fldCharType="end"/>
      </w:r>
      <w:r w:rsidRPr="005B325C">
        <w:rPr>
          <w:rFonts w:ascii="Courier New" w:hAnsi="Courier New" w:cs="Courier New"/>
          <w:sz w:val="18"/>
        </w:rPr>
        <w:t xml:space="preserve">  Selection of these outcomes reflects the expectation that government restrictions affect consumer spending in general and restaurant dining and accommodations in particular.  These impacts, in turn, contribute to higher initial unemployment claims.  High frequency data are well suited to assessing restrictions imposed at moderately different times across states and remaining in effect for durations often measured in weeks during the fall and winter of 2020-2021.  Moreover, because states imposed and lifted these restrictions only shortly before we conducted our analysis, frequently updated data best cover salient periods.  Conventional economic activity datasets, like government estimates of gross domestic product (GDP) growth, undergo updating too infrequently to assess the impact of short-term restrictions and the recent imposition of restrictive government measures. Explanatory variables – As with outcomes, we index explanatory variables by state </w:t>
      </w:r>
      <m:oMath>
        <m:r>
          <w:rPr>
            <w:rFonts w:ascii="Cambria Math" w:hAnsi="Cambria Math" w:cs="Courier New"/>
            <w:sz w:val="18"/>
          </w:rPr>
          <m:t>s</m:t>
        </m:r>
      </m:oMath>
      <w:r w:rsidRPr="005B325C">
        <w:rPr>
          <w:rFonts w:ascii="Courier New" w:eastAsiaTheme="minorEastAsia" w:hAnsi="Courier New" w:cs="Courier New"/>
          <w:sz w:val="18"/>
        </w:rPr>
        <w:t xml:space="preserve"> and </w:t>
      </w:r>
      <w:proofErr w:type="gramStart"/>
      <w:r w:rsidRPr="005B325C">
        <w:rPr>
          <w:rFonts w:ascii="Courier New" w:eastAsiaTheme="minorEastAsia" w:hAnsi="Courier New" w:cs="Courier New"/>
          <w:sz w:val="18"/>
        </w:rPr>
        <w:t xml:space="preserve">week </w:t>
      </w:r>
      <w:proofErr w:type="gramEnd"/>
      <m:oMath>
        <m:r>
          <w:rPr>
            <w:rFonts w:ascii="Cambria Math" w:eastAsiaTheme="minorEastAsia" w:hAnsi="Cambria Math" w:cs="Courier New"/>
            <w:sz w:val="18"/>
          </w:rPr>
          <m:t>i</m:t>
        </m:r>
      </m:oMath>
      <w:r w:rsidRPr="005B325C">
        <w:rPr>
          <w:rFonts w:ascii="Courier New" w:eastAsiaTheme="minorEastAsia" w:hAnsi="Courier New" w:cs="Courier New"/>
          <w:sz w:val="18"/>
        </w:rPr>
        <w:t xml:space="preserve">. </w:t>
      </w:r>
      <w:r w:rsidRPr="005B325C">
        <w:rPr>
          <w:rFonts w:ascii="Courier New" w:hAnsi="Courier New" w:cs="Courier New"/>
          <w:sz w:val="18"/>
        </w:rPr>
        <w:t xml:space="preserve">Our primary explanatory variable of interest, </w:t>
      </w:r>
      <w:proofErr w:type="gramStart"/>
      <w:r w:rsidRPr="005B325C">
        <w:rPr>
          <w:rFonts w:ascii="Courier New" w:hAnsi="Courier New" w:cs="Courier New"/>
          <w:sz w:val="18"/>
        </w:rPr>
        <w:t xml:space="preserve">designated </w:t>
      </w:r>
      <w:proofErr w:type="gramEnd"/>
      <m:oMath>
        <m:sSubSup>
          <m:sSubSupPr>
            <m:ctrlPr>
              <w:rPr>
                <w:rFonts w:ascii="Cambria Math" w:hAnsi="Cambria Math" w:cs="Courier New"/>
                <w:i/>
                <w:sz w:val="18"/>
              </w:rPr>
            </m:ctrlPr>
          </m:sSubSupPr>
          <m:e>
            <m:r>
              <w:rPr>
                <w:rFonts w:ascii="Cambria Math" w:hAnsi="Cambria Math" w:cs="Courier New"/>
                <w:sz w:val="18"/>
              </w:rPr>
              <m:t>Restricted</m:t>
            </m:r>
          </m:e>
          <m:sub>
            <m:r>
              <w:rPr>
                <w:rFonts w:ascii="Cambria Math" w:hAnsi="Cambria Math" w:cs="Courier New"/>
                <w:sz w:val="18"/>
              </w:rPr>
              <m:t>i</m:t>
            </m:r>
          </m:sub>
          <m:sup>
            <m:r>
              <w:rPr>
                <w:rFonts w:ascii="Cambria Math" w:hAnsi="Cambria Math" w:cs="Courier New"/>
                <w:sz w:val="18"/>
              </w:rPr>
              <m:t>s</m:t>
            </m:r>
          </m:sup>
        </m:sSubSup>
      </m:oMath>
      <w:r w:rsidRPr="005B325C">
        <w:rPr>
          <w:rFonts w:ascii="Courier New" w:eastAsiaTheme="minorEastAsia" w:hAnsi="Courier New" w:cs="Courier New"/>
          <w:sz w:val="18"/>
        </w:rPr>
        <w:t>, is binary.  We classified state businesses as restricted or not restricted based on narrative descriptions of state-level closures maintained by the New York Times, which reported for each day whether businesses in each state were “mostly closed.”</w:t>
      </w:r>
      <w:r w:rsidRPr="005B325C">
        <w:rPr>
          <w:rFonts w:ascii="Courier New" w:hAnsi="Courier New" w:cs="Courier New"/>
          <w:sz w:val="18"/>
        </w:rPr>
        <w:t xml:space="preserve"> </w:t>
      </w:r>
      <w:r w:rsidRPr="005B325C">
        <w:rPr>
          <w:rFonts w:ascii="Courier New" w:hAnsi="Courier New" w:cs="Courier New"/>
          <w:sz w:val="18"/>
        </w:rPr>
        <w:fldChar w:fldCharType="begin"/>
      </w:r>
      <w:r w:rsidRPr="005B325C">
        <w:rPr>
          <w:rFonts w:ascii="Courier New" w:hAnsi="Courier New" w:cs="Courier New"/>
          <w:sz w:val="18"/>
        </w:rPr>
        <w:instrText xml:space="preserve"> ADDIN EN.CITE &lt;EndNote&gt;&lt;Cite&gt;&lt;Author&gt;The New York Times&lt;/Author&gt;&lt;Year&gt;2021&lt;/Year&gt;&lt;RecNum&gt;20&lt;/RecNum&gt;&lt;DisplayText&gt;(20)&lt;/DisplayText&gt;&lt;record&gt;&lt;rec-number&gt;20&lt;/rec-number&gt;&lt;foreign-keys&gt;&lt;key app="EN" db-id="x95ferpfr5wvxqe5faxx0e04favsexr9asas" timestamp="1619634087"&gt;20&lt;/key&gt;&lt;/foreign-keys&gt;&lt;ref-type name="Online Database"&gt;45&lt;/ref-type&gt;&lt;contributors&gt;&lt;authors&gt;&lt;author&gt;The New York Times,&lt;/author&gt;&lt;/authors&gt;&lt;/contributors&gt;&lt;titles&gt;&lt;title&gt;See Coronavirus Restrictions and Mask Mandates for All 50 States&lt;/title&gt;&lt;/titles&gt;&lt;dates&gt;&lt;year&gt;2021&lt;/year&gt;&lt;/dates&gt;&lt;publisher&gt;New York Times&lt;/publisher&gt;&lt;urls&gt;&lt;related-urls&gt;&lt;url&gt;https://www.nytimes.com/interactive/2020/us/states-reopen-map-coronavirus.html&lt;/url&gt;&lt;/related-urls&gt;&lt;/urls&gt;&lt;/record&gt;&lt;/Cite&gt;&lt;/EndNote&gt;</w:instrText>
      </w:r>
      <w:r w:rsidRPr="005B325C">
        <w:rPr>
          <w:rFonts w:ascii="Courier New" w:hAnsi="Courier New" w:cs="Courier New"/>
          <w:sz w:val="18"/>
        </w:rPr>
        <w:fldChar w:fldCharType="separate"/>
      </w:r>
      <w:r w:rsidRPr="005B325C">
        <w:rPr>
          <w:rFonts w:ascii="Courier New" w:hAnsi="Courier New" w:cs="Courier New"/>
          <w:noProof/>
          <w:sz w:val="18"/>
        </w:rPr>
        <w:t>(</w:t>
      </w:r>
      <w:hyperlink w:anchor="_ENREF_20" w:tooltip="The New York Times, 2021 #20" w:history="1">
        <w:r w:rsidRPr="005B325C">
          <w:rPr>
            <w:rFonts w:ascii="Courier New" w:hAnsi="Courier New" w:cs="Courier New"/>
            <w:noProof/>
            <w:sz w:val="18"/>
          </w:rPr>
          <w:t>20</w:t>
        </w:r>
      </w:hyperlink>
      <w:r w:rsidRPr="005B325C">
        <w:rPr>
          <w:rFonts w:ascii="Courier New" w:hAnsi="Courier New" w:cs="Courier New"/>
          <w:noProof/>
          <w:sz w:val="18"/>
        </w:rPr>
        <w:t>)</w:t>
      </w:r>
      <w:r w:rsidRPr="005B325C">
        <w:rPr>
          <w:rFonts w:ascii="Courier New" w:hAnsi="Courier New" w:cs="Courier New"/>
          <w:sz w:val="18"/>
        </w:rPr>
        <w:fldChar w:fldCharType="end"/>
      </w:r>
      <w:r w:rsidRPr="005B325C">
        <w:rPr>
          <w:rFonts w:ascii="Courier New" w:eastAsiaTheme="minorEastAsia" w:hAnsi="Courier New" w:cs="Courier New"/>
          <w:sz w:val="18"/>
        </w:rPr>
        <w:t xml:space="preserve">  Based on review of these narratives, we identified when each state changed from not “mostly closed” to “mostly closed”, or the reverse.  Our base case analysis designated business in a state as “restricted” during week </w:t>
      </w:r>
      <m:oMath>
        <m:r>
          <w:rPr>
            <w:rFonts w:ascii="Cambria Math" w:eastAsiaTheme="minorEastAsia" w:hAnsi="Cambria Math" w:cs="Courier New"/>
            <w:sz w:val="18"/>
          </w:rPr>
          <m:t>i</m:t>
        </m:r>
      </m:oMath>
      <w:r w:rsidRPr="005B325C">
        <w:rPr>
          <w:rFonts w:ascii="Courier New" w:eastAsiaTheme="minorEastAsia" w:hAnsi="Courier New" w:cs="Courier New"/>
          <w:sz w:val="18"/>
        </w:rPr>
        <w:t xml:space="preserve"> if, according to the New York Times database, businesses were “mostly closed” on Monday (for the consumer spending outcomes) or Thursday (for the initial unemployment claim outcome) of that week. </w:t>
      </w:r>
      <w:r w:rsidRPr="005B325C">
        <w:rPr>
          <w:rFonts w:ascii="Courier New" w:hAnsi="Courier New" w:cs="Courier New"/>
          <w:sz w:val="18"/>
        </w:rPr>
        <w:t>We included other explanatory variables in an effort to account for how news about the pandemic might influence voluntary, spontaneous reductions in economic activity.  These variables included seven-day average, population-normalized (1) daily new COVID cases (</w:t>
      </w:r>
      <m:oMath>
        <m:sSubSup>
          <m:sSubSupPr>
            <m:ctrlPr>
              <w:rPr>
                <w:rFonts w:ascii="Cambria Math" w:hAnsi="Cambria Math" w:cs="Courier New"/>
                <w:i/>
                <w:sz w:val="18"/>
              </w:rPr>
            </m:ctrlPr>
          </m:sSubSupPr>
          <m:e>
            <m:r>
              <w:rPr>
                <w:rFonts w:ascii="Cambria Math" w:hAnsi="Cambria Math" w:cs="Courier New"/>
                <w:sz w:val="18"/>
              </w:rPr>
              <m:t>NewCases</m:t>
            </m:r>
          </m:e>
          <m:sub>
            <m:r>
              <w:rPr>
                <w:rFonts w:ascii="Cambria Math" w:hAnsi="Cambria Math" w:cs="Courier New"/>
                <w:sz w:val="18"/>
              </w:rPr>
              <m:t>i</m:t>
            </m:r>
          </m:sub>
          <m:sup>
            <m:r>
              <w:rPr>
                <w:rFonts w:ascii="Cambria Math" w:hAnsi="Cambria Math" w:cs="Courier New"/>
                <w:sz w:val="18"/>
              </w:rPr>
              <m:t>s</m:t>
            </m:r>
          </m:sup>
        </m:sSubSup>
      </m:oMath>
      <w:r w:rsidRPr="005B325C">
        <w:rPr>
          <w:rFonts w:ascii="Courier New" w:eastAsiaTheme="minorEastAsia" w:hAnsi="Courier New" w:cs="Courier New"/>
          <w:sz w:val="18"/>
        </w:rPr>
        <w:t>)</w:t>
      </w:r>
      <w:r w:rsidRPr="005B325C">
        <w:rPr>
          <w:rFonts w:ascii="Courier New" w:hAnsi="Courier New" w:cs="Courier New"/>
          <w:sz w:val="18"/>
        </w:rPr>
        <w:t>, (2) daily COVID mortality (</w:t>
      </w:r>
      <m:oMath>
        <m:sSubSup>
          <m:sSubSupPr>
            <m:ctrlPr>
              <w:rPr>
                <w:rFonts w:ascii="Cambria Math" w:hAnsi="Cambria Math" w:cs="Courier New"/>
                <w:i/>
                <w:sz w:val="18"/>
              </w:rPr>
            </m:ctrlPr>
          </m:sSubSupPr>
          <m:e>
            <m:r>
              <w:rPr>
                <w:rFonts w:ascii="Cambria Math" w:hAnsi="Cambria Math" w:cs="Courier New"/>
                <w:sz w:val="18"/>
              </w:rPr>
              <m:t>NewDeaths</m:t>
            </m:r>
          </m:e>
          <m:sub>
            <m:r>
              <w:rPr>
                <w:rFonts w:ascii="Cambria Math" w:hAnsi="Cambria Math" w:cs="Courier New"/>
                <w:sz w:val="18"/>
              </w:rPr>
              <m:t>i</m:t>
            </m:r>
          </m:sub>
          <m:sup>
            <m:r>
              <w:rPr>
                <w:rFonts w:ascii="Cambria Math" w:hAnsi="Cambria Math" w:cs="Courier New"/>
                <w:sz w:val="18"/>
              </w:rPr>
              <m:t>s</m:t>
            </m:r>
          </m:sup>
        </m:sSubSup>
      </m:oMath>
      <w:r w:rsidRPr="005B325C">
        <w:rPr>
          <w:rFonts w:ascii="Courier New" w:eastAsiaTheme="minorEastAsia" w:hAnsi="Courier New" w:cs="Courier New"/>
          <w:sz w:val="18"/>
        </w:rPr>
        <w:t>)</w:t>
      </w:r>
      <w:r w:rsidRPr="005B325C">
        <w:rPr>
          <w:rFonts w:ascii="Courier New" w:hAnsi="Courier New" w:cs="Courier New"/>
          <w:sz w:val="18"/>
        </w:rPr>
        <w:t>, (3) the increase in daily new COVID cases over the last two weeks (</w:t>
      </w:r>
      <m:oMath>
        <m:sSubSup>
          <m:sSubSupPr>
            <m:ctrlPr>
              <w:rPr>
                <w:rFonts w:ascii="Cambria Math" w:hAnsi="Cambria Math" w:cs="Courier New"/>
                <w:i/>
                <w:sz w:val="18"/>
              </w:rPr>
            </m:ctrlPr>
          </m:sSubSupPr>
          <m:e>
            <m:r>
              <w:rPr>
                <w:rFonts w:ascii="Cambria Math" w:hAnsi="Cambria Math" w:cs="Courier New"/>
                <w:sz w:val="18"/>
              </w:rPr>
              <m:t>DeltaNewCases</m:t>
            </m:r>
          </m:e>
          <m:sub>
            <m:r>
              <w:rPr>
                <w:rFonts w:ascii="Cambria Math" w:hAnsi="Cambria Math" w:cs="Courier New"/>
                <w:sz w:val="18"/>
              </w:rPr>
              <m:t>i</m:t>
            </m:r>
          </m:sub>
          <m:sup>
            <m:r>
              <w:rPr>
                <w:rFonts w:ascii="Cambria Math" w:hAnsi="Cambria Math" w:cs="Courier New"/>
                <w:sz w:val="18"/>
              </w:rPr>
              <m:t>s</m:t>
            </m:r>
          </m:sup>
        </m:sSubSup>
      </m:oMath>
      <w:r w:rsidRPr="005B325C">
        <w:rPr>
          <w:rFonts w:ascii="Courier New" w:eastAsiaTheme="minorEastAsia" w:hAnsi="Courier New" w:cs="Courier New"/>
          <w:sz w:val="18"/>
        </w:rPr>
        <w:t>)</w:t>
      </w:r>
      <w:r w:rsidRPr="005B325C">
        <w:rPr>
          <w:rFonts w:ascii="Courier New" w:hAnsi="Courier New" w:cs="Courier New"/>
          <w:sz w:val="18"/>
        </w:rPr>
        <w:t>, and (4) the increase in daily COVID mortality over the last two weeks (</w:t>
      </w:r>
      <m:oMath>
        <m:sSubSup>
          <m:sSubSupPr>
            <m:ctrlPr>
              <w:rPr>
                <w:rFonts w:ascii="Cambria Math" w:hAnsi="Cambria Math" w:cs="Courier New"/>
                <w:i/>
                <w:sz w:val="18"/>
              </w:rPr>
            </m:ctrlPr>
          </m:sSubSupPr>
          <m:e>
            <m:r>
              <w:rPr>
                <w:rFonts w:ascii="Cambria Math" w:hAnsi="Cambria Math" w:cs="Courier New"/>
                <w:sz w:val="18"/>
              </w:rPr>
              <m:t>DeltaNewDeaths</m:t>
            </m:r>
          </m:e>
          <m:sub>
            <m:r>
              <w:rPr>
                <w:rFonts w:ascii="Cambria Math" w:hAnsi="Cambria Math" w:cs="Courier New"/>
                <w:sz w:val="18"/>
              </w:rPr>
              <m:t>i</m:t>
            </m:r>
          </m:sub>
          <m:sup>
            <m:r>
              <w:rPr>
                <w:rFonts w:ascii="Cambria Math" w:hAnsi="Cambria Math" w:cs="Courier New"/>
                <w:sz w:val="18"/>
              </w:rPr>
              <m:t>s</m:t>
            </m:r>
          </m:sup>
        </m:sSubSup>
      </m:oMath>
      <w:r w:rsidRPr="005B325C">
        <w:rPr>
          <w:rFonts w:ascii="Courier New" w:eastAsiaTheme="minorEastAsia" w:hAnsi="Courier New" w:cs="Courier New"/>
          <w:sz w:val="18"/>
        </w:rPr>
        <w:t>)</w:t>
      </w:r>
      <w:r w:rsidRPr="005B325C">
        <w:rPr>
          <w:rFonts w:ascii="Courier New" w:hAnsi="Courier New" w:cs="Courier New"/>
          <w:sz w:val="18"/>
        </w:rPr>
        <w:t>.  Daily COVID cases and deaths come from the New York Times COVID-19 Repository.</w:t>
      </w:r>
      <w:r w:rsidRPr="005B325C">
        <w:rPr>
          <w:rFonts w:ascii="Courier New" w:hAnsi="Courier New" w:cs="Courier New"/>
          <w:sz w:val="18"/>
        </w:rPr>
        <w:fldChar w:fldCharType="begin"/>
      </w:r>
      <w:r w:rsidRPr="005B325C">
        <w:rPr>
          <w:rFonts w:ascii="Courier New" w:hAnsi="Courier New" w:cs="Courier New"/>
          <w:sz w:val="18"/>
        </w:rPr>
        <w:instrText xml:space="preserve"> ADDIN EN.CITE &lt;EndNote&gt;&lt;Cite&gt;&lt;Author&gt;The New York Times&lt;/Author&gt;&lt;Year&gt;2021&lt;/Year&gt;&lt;RecNum&gt;21&lt;/RecNum&gt;&lt;DisplayText&gt;(21)&lt;/DisplayText&gt;&lt;record&gt;&lt;rec-number&gt;21&lt;/rec-number&gt;&lt;foreign-keys&gt;&lt;key app="EN" db-id="x95ferpfr5wvxqe5faxx0e04favsexr9asas" timestamp="1619634637"&gt;21&lt;/key&gt;&lt;/foreign-keys&gt;&lt;ref-type name="Online Database"&gt;45&lt;/ref-type&gt;&lt;contributors&gt;&lt;authors&gt;&lt;author&gt;The New York Times,&lt;/author&gt;&lt;/authors&gt;&lt;/contributors&gt;&lt;titles&gt;&lt;title&gt;nytimes / covid-19-data&lt;/title&gt;&lt;/titles&gt;&lt;dates&gt;&lt;year&gt;2021&lt;/year&gt;&lt;/dates&gt;&lt;urls&gt;&lt;related-urls&gt;&lt;url&gt;https://github.com/nytimes/covid-19-data&lt;/url&gt;&lt;/related-urls&gt;&lt;/urls&gt;&lt;/record&gt;&lt;/Cite&gt;&lt;/EndNote&gt;</w:instrText>
      </w:r>
      <w:r w:rsidRPr="005B325C">
        <w:rPr>
          <w:rFonts w:ascii="Courier New" w:hAnsi="Courier New" w:cs="Courier New"/>
          <w:sz w:val="18"/>
        </w:rPr>
        <w:fldChar w:fldCharType="separate"/>
      </w:r>
      <w:r w:rsidRPr="005B325C">
        <w:rPr>
          <w:rFonts w:ascii="Courier New" w:hAnsi="Courier New" w:cs="Courier New"/>
          <w:noProof/>
          <w:sz w:val="18"/>
        </w:rPr>
        <w:t>(</w:t>
      </w:r>
      <w:hyperlink w:anchor="_ENREF_21" w:tooltip="The New York Times, 2021 #21" w:history="1">
        <w:r w:rsidRPr="005B325C">
          <w:rPr>
            <w:rFonts w:ascii="Courier New" w:hAnsi="Courier New" w:cs="Courier New"/>
            <w:noProof/>
            <w:sz w:val="18"/>
          </w:rPr>
          <w:t>21</w:t>
        </w:r>
      </w:hyperlink>
      <w:r w:rsidRPr="005B325C">
        <w:rPr>
          <w:rFonts w:ascii="Courier New" w:hAnsi="Courier New" w:cs="Courier New"/>
          <w:noProof/>
          <w:sz w:val="18"/>
        </w:rPr>
        <w:t>)</w:t>
      </w:r>
      <w:r w:rsidRPr="005B325C">
        <w:rPr>
          <w:rFonts w:ascii="Courier New" w:hAnsi="Courier New" w:cs="Courier New"/>
          <w:sz w:val="18"/>
        </w:rPr>
        <w:fldChar w:fldCharType="end"/>
      </w:r>
      <w:r w:rsidRPr="005B325C">
        <w:rPr>
          <w:rFonts w:ascii="Courier New" w:hAnsi="Courier New" w:cs="Courier New"/>
          <w:sz w:val="18"/>
        </w:rPr>
        <w:t>”</w:t>
      </w:r>
    </w:p>
    <w:p w14:paraId="02248EE3" w14:textId="77777777" w:rsidR="005B325C" w:rsidRDefault="005B325C"/>
    <w:p w14:paraId="7D3F0BEA" w14:textId="77777777" w:rsidR="008F1CD9" w:rsidRDefault="008F1CD9">
      <w:pPr>
        <w:rPr>
          <w:rFonts w:ascii="Courier New" w:hAnsi="Courier New" w:cs="Courier New"/>
        </w:rPr>
      </w:pPr>
      <w:r>
        <w:rPr>
          <w:rFonts w:ascii="Courier New" w:hAnsi="Courier New" w:cs="Courier New"/>
        </w:rPr>
        <w:br w:type="page"/>
      </w:r>
    </w:p>
    <w:p w14:paraId="4F8A404E" w14:textId="2E4DE460" w:rsidR="00801179" w:rsidRPr="008F1CD9" w:rsidRDefault="00801179">
      <w:pPr>
        <w:rPr>
          <w:rFonts w:ascii="Courier New" w:hAnsi="Courier New" w:cs="Courier New"/>
        </w:rPr>
      </w:pPr>
      <w:r w:rsidRPr="008F1CD9">
        <w:rPr>
          <w:rFonts w:ascii="Courier New" w:hAnsi="Courier New" w:cs="Courier New"/>
        </w:rPr>
        <w:lastRenderedPageBreak/>
        <w:t xml:space="preserve">Item No. 12 – </w:t>
      </w:r>
      <w:r w:rsidR="005B325C" w:rsidRPr="008F1CD9">
        <w:rPr>
          <w:rFonts w:ascii="Courier New" w:hAnsi="Courier New" w:cs="Courier New"/>
        </w:rPr>
        <w:t>Statistical Methods</w:t>
      </w:r>
    </w:p>
    <w:p w14:paraId="661732B8" w14:textId="77777777" w:rsidR="008F1CD9" w:rsidRPr="008F1CD9" w:rsidRDefault="005B325C" w:rsidP="002C0B84">
      <w:pPr>
        <w:pStyle w:val="ListParagraph"/>
        <w:numPr>
          <w:ilvl w:val="1"/>
          <w:numId w:val="4"/>
        </w:numPr>
        <w:spacing w:after="120" w:line="240" w:lineRule="auto"/>
        <w:ind w:left="720"/>
        <w:contextualSpacing w:val="0"/>
        <w:rPr>
          <w:rFonts w:ascii="Courier New" w:hAnsi="Courier New" w:cs="Courier New"/>
          <w:sz w:val="18"/>
          <w:szCs w:val="18"/>
        </w:rPr>
      </w:pPr>
      <w:r w:rsidRPr="008F1CD9">
        <w:rPr>
          <w:rFonts w:ascii="Courier New" w:hAnsi="Courier New" w:cs="Courier New"/>
          <w:sz w:val="18"/>
          <w:szCs w:val="18"/>
        </w:rPr>
        <w:t>Describe all statistical methods, including those used to control for confounding</w:t>
      </w:r>
      <w:r w:rsidR="008F1CD9" w:rsidRPr="008F1CD9">
        <w:rPr>
          <w:rFonts w:ascii="Courier New" w:hAnsi="Courier New" w:cs="Courier New"/>
          <w:sz w:val="18"/>
          <w:szCs w:val="18"/>
        </w:rPr>
        <w:t xml:space="preserve">.  </w:t>
      </w:r>
    </w:p>
    <w:p w14:paraId="5AB67AFF" w14:textId="51A5F0E4" w:rsidR="005B325C" w:rsidRPr="008F1CD9" w:rsidRDefault="006C495B" w:rsidP="002C0B84">
      <w:pPr>
        <w:spacing w:after="120" w:line="240" w:lineRule="auto"/>
        <w:ind w:left="720"/>
        <w:rPr>
          <w:rFonts w:ascii="Courier New" w:hAnsi="Courier New" w:cs="Courier New"/>
          <w:sz w:val="18"/>
          <w:szCs w:val="18"/>
        </w:rPr>
      </w:pPr>
      <w:r w:rsidRPr="008F1CD9">
        <w:rPr>
          <w:rFonts w:ascii="Courier New" w:hAnsi="Courier New" w:cs="Courier New"/>
          <w:sz w:val="18"/>
          <w:szCs w:val="18"/>
        </w:rPr>
        <w:t>See “Methods” section of paper for expanded analysis description</w:t>
      </w:r>
    </w:p>
    <w:p w14:paraId="25997CB4" w14:textId="77777777" w:rsidR="006C495B" w:rsidRPr="008F1CD9" w:rsidRDefault="006C495B" w:rsidP="002C0B84">
      <w:pPr>
        <w:pStyle w:val="ListParagraph"/>
        <w:numPr>
          <w:ilvl w:val="1"/>
          <w:numId w:val="4"/>
        </w:numPr>
        <w:spacing w:after="120" w:line="240" w:lineRule="auto"/>
        <w:ind w:left="720"/>
        <w:contextualSpacing w:val="0"/>
        <w:rPr>
          <w:rFonts w:ascii="Courier New" w:hAnsi="Courier New" w:cs="Courier New"/>
          <w:sz w:val="18"/>
          <w:szCs w:val="18"/>
        </w:rPr>
      </w:pPr>
      <w:r w:rsidRPr="008F1CD9">
        <w:rPr>
          <w:rFonts w:ascii="Courier New" w:hAnsi="Courier New" w:cs="Courier New"/>
          <w:sz w:val="18"/>
          <w:szCs w:val="18"/>
        </w:rPr>
        <w:t>Describe any methods used to examine subgroups and interactions</w:t>
      </w:r>
    </w:p>
    <w:p w14:paraId="0C51C6BB" w14:textId="2803E74F" w:rsidR="006C495B" w:rsidRPr="008F1CD9" w:rsidRDefault="006C495B" w:rsidP="002C0B84">
      <w:pPr>
        <w:spacing w:after="120" w:line="240" w:lineRule="auto"/>
        <w:ind w:left="720"/>
        <w:rPr>
          <w:rFonts w:ascii="Courier New" w:hAnsi="Courier New" w:cs="Courier New"/>
          <w:sz w:val="18"/>
          <w:szCs w:val="18"/>
        </w:rPr>
      </w:pPr>
      <w:r w:rsidRPr="008F1CD9">
        <w:rPr>
          <w:rFonts w:ascii="Courier New" w:hAnsi="Courier New" w:cs="Courier New"/>
          <w:sz w:val="18"/>
          <w:szCs w:val="18"/>
        </w:rPr>
        <w:t>“First, we conducted an analysis limited to the 10 states designated “mostly closed” at some point between September 15 through December 27, 2020 (California, Kentucky, Illinois, Michigan, Minnesota, New Mexico, Oregon, Pennsylvania, Rhode Island, and Washington).”</w:t>
      </w:r>
    </w:p>
    <w:p w14:paraId="3841B665" w14:textId="2C6084BC" w:rsidR="006C495B" w:rsidRDefault="006C495B" w:rsidP="002C0B84">
      <w:pPr>
        <w:pStyle w:val="ListParagraph"/>
        <w:numPr>
          <w:ilvl w:val="1"/>
          <w:numId w:val="4"/>
        </w:numPr>
        <w:spacing w:after="120" w:line="240" w:lineRule="auto"/>
        <w:ind w:left="720"/>
        <w:contextualSpacing w:val="0"/>
        <w:rPr>
          <w:rFonts w:ascii="Courier New" w:hAnsi="Courier New" w:cs="Courier New"/>
          <w:sz w:val="18"/>
          <w:szCs w:val="18"/>
        </w:rPr>
      </w:pPr>
      <w:r w:rsidRPr="008F1CD9">
        <w:rPr>
          <w:rFonts w:ascii="Courier New" w:hAnsi="Courier New" w:cs="Courier New"/>
          <w:sz w:val="18"/>
          <w:szCs w:val="18"/>
        </w:rPr>
        <w:t>Explain how missing data were addressed</w:t>
      </w:r>
    </w:p>
    <w:p w14:paraId="535DCCBD" w14:textId="77777777" w:rsidR="00F60948" w:rsidRPr="00F60948" w:rsidRDefault="00F60948" w:rsidP="00F60948">
      <w:pPr>
        <w:pStyle w:val="ListParagraph"/>
        <w:spacing w:after="0" w:line="240" w:lineRule="auto"/>
        <w:contextualSpacing w:val="0"/>
        <w:rPr>
          <w:rFonts w:ascii="Courier New" w:hAnsi="Courier New" w:cs="Courier New"/>
          <w:sz w:val="18"/>
        </w:rPr>
      </w:pPr>
      <w:r w:rsidRPr="00F60948">
        <w:rPr>
          <w:rFonts w:ascii="Courier New" w:hAnsi="Courier New" w:cs="Courier New"/>
          <w:sz w:val="18"/>
        </w:rPr>
        <w:t xml:space="preserve">Missing values: The original dataset included 750 observations for total consumer spending and for spending on restaurants and accommodations (50 states, 15 weeks).  We removed 12 observations because zero reported deaths during the index week meant we could not compute a percent change in deaths over the following two weeks.  The 12 missing observations included 1 observation for ME, 10 for VT, and 1 for WY.  For initial unemployment claims, the original dataset included 714 observations (50 states plus DC, 14 weeks).  We removed 13 observations for the same reason as described above for spending, including 1 observation for ME, 1 for NH, </w:t>
      </w:r>
      <w:proofErr w:type="gramStart"/>
      <w:r w:rsidRPr="00F60948">
        <w:rPr>
          <w:rFonts w:ascii="Courier New" w:hAnsi="Courier New" w:cs="Courier New"/>
          <w:sz w:val="18"/>
        </w:rPr>
        <w:t>10</w:t>
      </w:r>
      <w:proofErr w:type="gramEnd"/>
      <w:r w:rsidRPr="00F60948">
        <w:rPr>
          <w:rFonts w:ascii="Courier New" w:hAnsi="Courier New" w:cs="Courier New"/>
          <w:sz w:val="18"/>
        </w:rPr>
        <w:t xml:space="preserve"> for VT, and 1 for WY. All removed observations come from weeks without restrictions. These missing values represent less than 2 percent of our original sample, and a substantially smaller fraction of U.S. GNP.  We therefore took no action to provide values for these missing observations.</w:t>
      </w:r>
    </w:p>
    <w:p w14:paraId="313D52AE" w14:textId="77777777" w:rsidR="00EE46E6" w:rsidRPr="00EE46E6" w:rsidRDefault="00EE46E6" w:rsidP="00EE46E6">
      <w:pPr>
        <w:pStyle w:val="ListParagraph"/>
        <w:spacing w:after="0" w:line="240" w:lineRule="auto"/>
        <w:contextualSpacing w:val="0"/>
        <w:rPr>
          <w:rFonts w:ascii="Courier New" w:hAnsi="Courier New" w:cs="Courier New"/>
          <w:sz w:val="18"/>
          <w:szCs w:val="18"/>
        </w:rPr>
      </w:pPr>
    </w:p>
    <w:p w14:paraId="15533D73" w14:textId="77777777" w:rsidR="006C495B" w:rsidRPr="008F1CD9" w:rsidRDefault="006C495B" w:rsidP="002C0B84">
      <w:pPr>
        <w:pStyle w:val="ListParagraph"/>
        <w:numPr>
          <w:ilvl w:val="1"/>
          <w:numId w:val="4"/>
        </w:numPr>
        <w:spacing w:after="120" w:line="240" w:lineRule="auto"/>
        <w:ind w:left="720"/>
        <w:contextualSpacing w:val="0"/>
        <w:rPr>
          <w:rFonts w:ascii="Courier New" w:hAnsi="Courier New" w:cs="Courier New"/>
          <w:sz w:val="18"/>
          <w:szCs w:val="18"/>
        </w:rPr>
      </w:pPr>
      <w:r w:rsidRPr="008F1CD9">
        <w:rPr>
          <w:rFonts w:ascii="Courier New" w:hAnsi="Courier New" w:cs="Courier New"/>
          <w:sz w:val="18"/>
          <w:szCs w:val="18"/>
        </w:rPr>
        <w:t xml:space="preserve">If applicable, explain how loss to follow-up was addressed </w:t>
      </w:r>
    </w:p>
    <w:p w14:paraId="35693135" w14:textId="49458921" w:rsidR="006C495B" w:rsidRPr="008F1CD9" w:rsidRDefault="008F1CD9" w:rsidP="002C0B84">
      <w:pPr>
        <w:pStyle w:val="ListParagraph"/>
        <w:spacing w:after="120" w:line="240" w:lineRule="auto"/>
        <w:contextualSpacing w:val="0"/>
        <w:rPr>
          <w:rFonts w:ascii="Courier New" w:hAnsi="Courier New" w:cs="Courier New"/>
          <w:sz w:val="18"/>
          <w:szCs w:val="18"/>
        </w:rPr>
      </w:pPr>
      <w:r w:rsidRPr="008F1CD9">
        <w:rPr>
          <w:rFonts w:ascii="Courier New" w:hAnsi="Courier New" w:cs="Courier New"/>
          <w:sz w:val="18"/>
          <w:szCs w:val="18"/>
        </w:rPr>
        <w:t>Not applicable – there was no loss to follow-up.</w:t>
      </w:r>
    </w:p>
    <w:p w14:paraId="1F917C39" w14:textId="77777777" w:rsidR="006C495B" w:rsidRPr="008F1CD9" w:rsidRDefault="006C495B" w:rsidP="002C0B84">
      <w:pPr>
        <w:pStyle w:val="ListParagraph"/>
        <w:numPr>
          <w:ilvl w:val="1"/>
          <w:numId w:val="4"/>
        </w:numPr>
        <w:spacing w:after="120" w:line="240" w:lineRule="auto"/>
        <w:ind w:left="720"/>
        <w:contextualSpacing w:val="0"/>
        <w:rPr>
          <w:rFonts w:ascii="Courier New" w:hAnsi="Courier New" w:cs="Courier New"/>
          <w:sz w:val="18"/>
          <w:szCs w:val="18"/>
        </w:rPr>
      </w:pPr>
      <w:r w:rsidRPr="008F1CD9">
        <w:rPr>
          <w:rFonts w:ascii="Courier New" w:hAnsi="Courier New" w:cs="Courier New"/>
          <w:sz w:val="18"/>
          <w:szCs w:val="18"/>
        </w:rPr>
        <w:t>Describe any sensitivity analyses</w:t>
      </w:r>
    </w:p>
    <w:p w14:paraId="2B575280" w14:textId="401997E5" w:rsidR="006C495B" w:rsidRPr="008F1CD9" w:rsidRDefault="006C495B" w:rsidP="002C0B84">
      <w:pPr>
        <w:spacing w:after="120" w:line="240" w:lineRule="auto"/>
        <w:ind w:left="720"/>
        <w:rPr>
          <w:rFonts w:ascii="Courier New" w:hAnsi="Courier New" w:cs="Courier New"/>
          <w:sz w:val="18"/>
          <w:szCs w:val="18"/>
        </w:rPr>
      </w:pPr>
      <w:r w:rsidRPr="008F1CD9">
        <w:rPr>
          <w:rFonts w:ascii="Courier New" w:hAnsi="Courier New" w:cs="Courier New"/>
          <w:sz w:val="18"/>
          <w:szCs w:val="18"/>
        </w:rPr>
        <w:t>See “Sensitivity Analysis” subheading under “Methods” section for expanded analysis description</w:t>
      </w:r>
    </w:p>
    <w:p w14:paraId="63BB68A3" w14:textId="77777777" w:rsidR="006C495B" w:rsidRDefault="006C495B">
      <w:pPr>
        <w:rPr>
          <w:b/>
        </w:rPr>
      </w:pPr>
    </w:p>
    <w:p w14:paraId="7522EF4F" w14:textId="77777777" w:rsidR="00BF1E67" w:rsidRDefault="00BF1E67">
      <w:pPr>
        <w:rPr>
          <w:rFonts w:ascii="Courier New" w:hAnsi="Courier New" w:cs="Courier New"/>
          <w:b/>
        </w:rPr>
      </w:pPr>
      <w:r>
        <w:rPr>
          <w:rFonts w:ascii="Courier New" w:hAnsi="Courier New" w:cs="Courier New"/>
          <w:b/>
        </w:rPr>
        <w:br w:type="page"/>
      </w:r>
    </w:p>
    <w:p w14:paraId="27AA2D07" w14:textId="324AA82F" w:rsidR="00801179" w:rsidRPr="00BF1E67" w:rsidRDefault="00801179">
      <w:pPr>
        <w:rPr>
          <w:rFonts w:ascii="Courier New" w:hAnsi="Courier New" w:cs="Courier New"/>
          <w:b/>
        </w:rPr>
      </w:pPr>
      <w:r w:rsidRPr="00BF1E67">
        <w:rPr>
          <w:rFonts w:ascii="Courier New" w:hAnsi="Courier New" w:cs="Courier New"/>
          <w:b/>
        </w:rPr>
        <w:lastRenderedPageBreak/>
        <w:t>Results</w:t>
      </w:r>
    </w:p>
    <w:p w14:paraId="468E2A07" w14:textId="77777777" w:rsidR="00801179" w:rsidRPr="00BF1E67" w:rsidRDefault="00801179" w:rsidP="00BF1E67">
      <w:pPr>
        <w:spacing w:line="240" w:lineRule="auto"/>
        <w:rPr>
          <w:rFonts w:ascii="Courier New" w:hAnsi="Courier New" w:cs="Courier New"/>
          <w:sz w:val="18"/>
          <w:szCs w:val="18"/>
        </w:rPr>
      </w:pPr>
      <w:r w:rsidRPr="00BF1E67">
        <w:rPr>
          <w:rFonts w:ascii="Courier New" w:hAnsi="Courier New" w:cs="Courier New"/>
          <w:sz w:val="18"/>
          <w:szCs w:val="18"/>
        </w:rPr>
        <w:t xml:space="preserve">Item No. 13 – </w:t>
      </w:r>
      <w:r w:rsidR="006C495B" w:rsidRPr="00BF1E67">
        <w:rPr>
          <w:rFonts w:ascii="Courier New" w:hAnsi="Courier New" w:cs="Courier New"/>
          <w:sz w:val="18"/>
          <w:szCs w:val="18"/>
        </w:rPr>
        <w:t>Participants</w:t>
      </w:r>
    </w:p>
    <w:p w14:paraId="56EF2921" w14:textId="01A6F867" w:rsidR="006C495B" w:rsidRPr="00BF1E67" w:rsidRDefault="005772BE" w:rsidP="00BF1E67">
      <w:pPr>
        <w:pStyle w:val="ListParagraph"/>
        <w:numPr>
          <w:ilvl w:val="0"/>
          <w:numId w:val="3"/>
        </w:numPr>
        <w:spacing w:line="240" w:lineRule="auto"/>
        <w:rPr>
          <w:rFonts w:ascii="Courier New" w:hAnsi="Courier New" w:cs="Courier New"/>
          <w:sz w:val="18"/>
          <w:szCs w:val="18"/>
        </w:rPr>
      </w:pPr>
      <w:r>
        <w:rPr>
          <w:rFonts w:ascii="Courier New" w:hAnsi="Courier New" w:cs="Courier New"/>
          <w:sz w:val="18"/>
          <w:szCs w:val="18"/>
        </w:rPr>
        <w:t>Our study follows outcomes for states, not people</w:t>
      </w:r>
      <w:r w:rsidR="0048266F" w:rsidRPr="00BF1E67">
        <w:rPr>
          <w:rFonts w:ascii="Courier New" w:hAnsi="Courier New" w:cs="Courier New"/>
          <w:sz w:val="18"/>
          <w:szCs w:val="18"/>
        </w:rPr>
        <w:t xml:space="preserve">, with each observation representing a point in time for a particular state. </w:t>
      </w:r>
    </w:p>
    <w:p w14:paraId="3009C7FB" w14:textId="6AA8816A" w:rsidR="0048266F" w:rsidRDefault="0048266F" w:rsidP="00BF1E67">
      <w:pPr>
        <w:pStyle w:val="ListParagraph"/>
        <w:numPr>
          <w:ilvl w:val="0"/>
          <w:numId w:val="3"/>
        </w:numPr>
        <w:spacing w:line="240" w:lineRule="auto"/>
        <w:rPr>
          <w:rFonts w:ascii="Courier New" w:hAnsi="Courier New" w:cs="Courier New"/>
          <w:sz w:val="18"/>
          <w:szCs w:val="18"/>
        </w:rPr>
      </w:pPr>
      <w:r w:rsidRPr="00BF1E67">
        <w:rPr>
          <w:rFonts w:ascii="Courier New" w:hAnsi="Courier New" w:cs="Courier New"/>
          <w:sz w:val="18"/>
          <w:szCs w:val="18"/>
        </w:rPr>
        <w:t xml:space="preserve">Our descriptive statistics report the number of observations for each outcome, both </w:t>
      </w:r>
      <w:r w:rsidR="005772BE">
        <w:rPr>
          <w:rFonts w:ascii="Courier New" w:hAnsi="Courier New" w:cs="Courier New"/>
          <w:sz w:val="18"/>
          <w:szCs w:val="18"/>
        </w:rPr>
        <w:t>for</w:t>
      </w:r>
      <w:r w:rsidRPr="00BF1E67">
        <w:rPr>
          <w:rFonts w:ascii="Courier New" w:hAnsi="Courier New" w:cs="Courier New"/>
          <w:sz w:val="18"/>
          <w:szCs w:val="18"/>
        </w:rPr>
        <w:t xml:space="preserve"> weeks </w:t>
      </w:r>
      <w:r w:rsidR="005772BE">
        <w:rPr>
          <w:rFonts w:ascii="Courier New" w:hAnsi="Courier New" w:cs="Courier New"/>
          <w:sz w:val="18"/>
          <w:szCs w:val="18"/>
        </w:rPr>
        <w:t>WITH</w:t>
      </w:r>
      <w:r w:rsidRPr="00BF1E67">
        <w:rPr>
          <w:rFonts w:ascii="Courier New" w:hAnsi="Courier New" w:cs="Courier New"/>
          <w:sz w:val="18"/>
          <w:szCs w:val="18"/>
        </w:rPr>
        <w:t xml:space="preserve"> and </w:t>
      </w:r>
      <w:r w:rsidR="005772BE">
        <w:rPr>
          <w:rFonts w:ascii="Courier New" w:hAnsi="Courier New" w:cs="Courier New"/>
          <w:sz w:val="18"/>
          <w:szCs w:val="18"/>
        </w:rPr>
        <w:t>WITHOUT</w:t>
      </w:r>
      <w:r w:rsidRPr="00BF1E67">
        <w:rPr>
          <w:rFonts w:ascii="Courier New" w:hAnsi="Courier New" w:cs="Courier New"/>
          <w:sz w:val="18"/>
          <w:szCs w:val="18"/>
        </w:rPr>
        <w:t xml:space="preserve"> restrictions (the treatment vs. non-treatment arms of our analysis). </w:t>
      </w:r>
    </w:p>
    <w:p w14:paraId="348C8F41" w14:textId="35BEAD32" w:rsidR="00BF1E67" w:rsidRDefault="00BF1E67" w:rsidP="00BF1E67">
      <w:pPr>
        <w:pStyle w:val="ListParagraph"/>
        <w:numPr>
          <w:ilvl w:val="0"/>
          <w:numId w:val="3"/>
        </w:numPr>
        <w:spacing w:line="240" w:lineRule="auto"/>
        <w:rPr>
          <w:rFonts w:ascii="Courier New" w:hAnsi="Courier New" w:cs="Courier New"/>
          <w:sz w:val="18"/>
          <w:szCs w:val="18"/>
        </w:rPr>
      </w:pPr>
      <w:r>
        <w:rPr>
          <w:rFonts w:ascii="Courier New" w:hAnsi="Courier New" w:cs="Courier New"/>
          <w:sz w:val="18"/>
          <w:szCs w:val="18"/>
        </w:rPr>
        <w:t>For spending data, we limited data to the period September 15 to December 2020.  For initial unemployment claims, we limited data to the period September 19 to December 19, 2020.</w:t>
      </w:r>
    </w:p>
    <w:p w14:paraId="6F0715BA" w14:textId="16E55332" w:rsidR="005772BE" w:rsidRDefault="005772BE" w:rsidP="00BF1E67">
      <w:pPr>
        <w:pStyle w:val="ListParagraph"/>
        <w:numPr>
          <w:ilvl w:val="0"/>
          <w:numId w:val="3"/>
        </w:numPr>
        <w:spacing w:line="240" w:lineRule="auto"/>
        <w:rPr>
          <w:rFonts w:ascii="Courier New" w:hAnsi="Courier New" w:cs="Courier New"/>
          <w:sz w:val="18"/>
          <w:szCs w:val="18"/>
        </w:rPr>
      </w:pPr>
      <w:r>
        <w:rPr>
          <w:rFonts w:ascii="Courier New" w:hAnsi="Courier New" w:cs="Courier New"/>
          <w:sz w:val="18"/>
          <w:szCs w:val="18"/>
        </w:rPr>
        <w:t>We started with economic data (daily spending and weekly unemployment claims) for the period March 2020 to January 2021 and created our dataset as follows:</w:t>
      </w:r>
    </w:p>
    <w:p w14:paraId="79322207" w14:textId="1E90BD8D" w:rsidR="005772BE" w:rsidRDefault="005772BE" w:rsidP="005772BE">
      <w:pPr>
        <w:pStyle w:val="ListParagraph"/>
        <w:numPr>
          <w:ilvl w:val="1"/>
          <w:numId w:val="3"/>
        </w:numPr>
        <w:spacing w:line="240" w:lineRule="auto"/>
        <w:rPr>
          <w:rFonts w:ascii="Courier New" w:hAnsi="Courier New" w:cs="Courier New"/>
          <w:sz w:val="18"/>
          <w:szCs w:val="18"/>
        </w:rPr>
      </w:pPr>
      <w:r>
        <w:rPr>
          <w:rFonts w:ascii="Courier New" w:hAnsi="Courier New" w:cs="Courier New"/>
          <w:sz w:val="18"/>
          <w:szCs w:val="18"/>
        </w:rPr>
        <w:t>We restricted the dataset to the date ranges specified above.</w:t>
      </w:r>
    </w:p>
    <w:p w14:paraId="31C49560" w14:textId="46875348" w:rsidR="005772BE" w:rsidRDefault="005772BE" w:rsidP="005772BE">
      <w:pPr>
        <w:pStyle w:val="ListParagraph"/>
        <w:numPr>
          <w:ilvl w:val="1"/>
          <w:numId w:val="3"/>
        </w:numPr>
        <w:spacing w:line="240" w:lineRule="auto"/>
        <w:rPr>
          <w:rFonts w:ascii="Courier New" w:hAnsi="Courier New" w:cs="Courier New"/>
          <w:sz w:val="18"/>
          <w:szCs w:val="18"/>
        </w:rPr>
      </w:pPr>
      <w:r>
        <w:rPr>
          <w:rFonts w:ascii="Courier New" w:hAnsi="Courier New" w:cs="Courier New"/>
          <w:sz w:val="18"/>
          <w:szCs w:val="18"/>
        </w:rPr>
        <w:t>For spending – we replaced the seven observations from each week with their average, yielding 738 state-specific, weekly average values.</w:t>
      </w:r>
    </w:p>
    <w:p w14:paraId="4BBA1A31" w14:textId="7E6CD47E" w:rsidR="005772BE" w:rsidRDefault="005772BE" w:rsidP="005772BE">
      <w:pPr>
        <w:pStyle w:val="ListParagraph"/>
        <w:numPr>
          <w:ilvl w:val="1"/>
          <w:numId w:val="3"/>
        </w:numPr>
        <w:spacing w:line="240" w:lineRule="auto"/>
        <w:rPr>
          <w:rFonts w:ascii="Courier New" w:hAnsi="Courier New" w:cs="Courier New"/>
          <w:sz w:val="18"/>
          <w:szCs w:val="18"/>
        </w:rPr>
      </w:pPr>
      <w:r>
        <w:rPr>
          <w:rFonts w:ascii="Courier New" w:hAnsi="Courier New" w:cs="Courier New"/>
          <w:sz w:val="18"/>
          <w:szCs w:val="18"/>
        </w:rPr>
        <w:t>For initial unemployment claims – the source dataset reported a single value for each week, yielding a total of 701 values for the period.</w:t>
      </w:r>
    </w:p>
    <w:p w14:paraId="0E790F86" w14:textId="77777777" w:rsidR="005772BE" w:rsidRPr="005772BE" w:rsidRDefault="005772BE" w:rsidP="005772BE">
      <w:pPr>
        <w:spacing w:line="240" w:lineRule="auto"/>
        <w:rPr>
          <w:rFonts w:ascii="Courier New" w:hAnsi="Courier New" w:cs="Courier New"/>
          <w:sz w:val="18"/>
          <w:szCs w:val="18"/>
        </w:rPr>
      </w:pPr>
    </w:p>
    <w:p w14:paraId="7E8C1845" w14:textId="7388FA7F" w:rsidR="004A0E03" w:rsidRPr="006A06A1" w:rsidRDefault="00801179" w:rsidP="00A93C06">
      <w:pPr>
        <w:rPr>
          <w:rFonts w:ascii="Courier New" w:hAnsi="Courier New" w:cs="Courier New"/>
        </w:rPr>
      </w:pPr>
      <w:r w:rsidRPr="006A06A1">
        <w:rPr>
          <w:rFonts w:ascii="Courier New" w:hAnsi="Courier New" w:cs="Courier New"/>
        </w:rPr>
        <w:t xml:space="preserve">Item No. 14 – </w:t>
      </w:r>
      <w:r w:rsidR="004A0E03" w:rsidRPr="006A06A1">
        <w:rPr>
          <w:rFonts w:ascii="Courier New" w:hAnsi="Courier New" w:cs="Courier New"/>
        </w:rPr>
        <w:t>Descriptive Data</w:t>
      </w:r>
    </w:p>
    <w:p w14:paraId="5F8C1796" w14:textId="0CFDF6E6" w:rsidR="00A93C06" w:rsidRPr="006A06A1" w:rsidRDefault="00A93C06" w:rsidP="00A93C06">
      <w:pPr>
        <w:pStyle w:val="ListParagraph"/>
        <w:numPr>
          <w:ilvl w:val="0"/>
          <w:numId w:val="6"/>
        </w:numPr>
        <w:rPr>
          <w:rFonts w:ascii="Courier New" w:hAnsi="Courier New" w:cs="Courier New"/>
          <w:sz w:val="18"/>
          <w:szCs w:val="18"/>
        </w:rPr>
      </w:pPr>
      <w:r w:rsidRPr="006A06A1">
        <w:rPr>
          <w:rFonts w:ascii="Courier New" w:hAnsi="Courier New" w:cs="Courier New"/>
          <w:sz w:val="18"/>
          <w:szCs w:val="18"/>
        </w:rPr>
        <w:t>Give characteristics of study participants (e</w:t>
      </w:r>
      <w:r w:rsidR="006D0AB5">
        <w:rPr>
          <w:rFonts w:ascii="Courier New" w:hAnsi="Courier New" w:cs="Courier New"/>
          <w:sz w:val="18"/>
          <w:szCs w:val="18"/>
        </w:rPr>
        <w:t>.</w:t>
      </w:r>
      <w:r w:rsidRPr="006A06A1">
        <w:rPr>
          <w:rFonts w:ascii="Courier New" w:hAnsi="Courier New" w:cs="Courier New"/>
          <w:sz w:val="18"/>
          <w:szCs w:val="18"/>
        </w:rPr>
        <w:t>g</w:t>
      </w:r>
      <w:r w:rsidR="006D0AB5">
        <w:rPr>
          <w:rFonts w:ascii="Courier New" w:hAnsi="Courier New" w:cs="Courier New"/>
          <w:sz w:val="18"/>
          <w:szCs w:val="18"/>
        </w:rPr>
        <w:t>.,</w:t>
      </w:r>
      <w:r w:rsidRPr="006A06A1">
        <w:rPr>
          <w:rFonts w:ascii="Courier New" w:hAnsi="Courier New" w:cs="Courier New"/>
          <w:sz w:val="18"/>
          <w:szCs w:val="18"/>
        </w:rPr>
        <w:t xml:space="preserve"> demographic, clinical, social) and information on exposures and potentia</w:t>
      </w:r>
      <w:bookmarkStart w:id="0" w:name="_GoBack"/>
      <w:bookmarkEnd w:id="0"/>
      <w:r w:rsidRPr="006A06A1">
        <w:rPr>
          <w:rFonts w:ascii="Courier New" w:hAnsi="Courier New" w:cs="Courier New"/>
          <w:sz w:val="18"/>
          <w:szCs w:val="18"/>
        </w:rPr>
        <w:t>l confounders</w:t>
      </w:r>
    </w:p>
    <w:p w14:paraId="1C71AD89" w14:textId="2C7C4923" w:rsidR="00A93C06" w:rsidRPr="006A06A1" w:rsidRDefault="00A93C06" w:rsidP="006A06A1">
      <w:pPr>
        <w:ind w:left="1080"/>
        <w:rPr>
          <w:rFonts w:ascii="Courier New" w:hAnsi="Courier New" w:cs="Courier New"/>
          <w:sz w:val="18"/>
          <w:szCs w:val="18"/>
        </w:rPr>
      </w:pPr>
      <w:r w:rsidRPr="006A06A1">
        <w:rPr>
          <w:rFonts w:ascii="Courier New" w:hAnsi="Courier New" w:cs="Courier New"/>
          <w:sz w:val="18"/>
          <w:szCs w:val="18"/>
        </w:rPr>
        <w:t xml:space="preserve">See descriptive statistics </w:t>
      </w:r>
      <w:r w:rsidR="006A06A1" w:rsidRPr="006A06A1">
        <w:rPr>
          <w:rFonts w:ascii="Courier New" w:hAnsi="Courier New" w:cs="Courier New"/>
          <w:sz w:val="18"/>
          <w:szCs w:val="18"/>
        </w:rPr>
        <w:t>in Table 1 (below)</w:t>
      </w:r>
    </w:p>
    <w:p w14:paraId="501B24A7" w14:textId="77777777" w:rsidR="00A93C06" w:rsidRPr="006A06A1" w:rsidRDefault="00A93C06" w:rsidP="00A93C06">
      <w:pPr>
        <w:pStyle w:val="ListParagraph"/>
        <w:numPr>
          <w:ilvl w:val="0"/>
          <w:numId w:val="6"/>
        </w:numPr>
        <w:rPr>
          <w:rFonts w:ascii="Courier New" w:hAnsi="Courier New" w:cs="Courier New"/>
          <w:sz w:val="18"/>
          <w:szCs w:val="18"/>
        </w:rPr>
      </w:pPr>
      <w:r w:rsidRPr="006A06A1">
        <w:rPr>
          <w:rFonts w:ascii="Courier New" w:hAnsi="Courier New" w:cs="Courier New"/>
          <w:sz w:val="18"/>
          <w:szCs w:val="18"/>
        </w:rPr>
        <w:t>Indicate number of participants with missing data for each variable of interest</w:t>
      </w:r>
    </w:p>
    <w:p w14:paraId="3C5A0A3D" w14:textId="558C2E23" w:rsidR="00A93C06" w:rsidRPr="006A06A1" w:rsidRDefault="006820C1" w:rsidP="006A06A1">
      <w:pPr>
        <w:ind w:left="1080"/>
        <w:rPr>
          <w:rFonts w:ascii="Courier New" w:hAnsi="Courier New" w:cs="Courier New"/>
          <w:sz w:val="18"/>
          <w:szCs w:val="18"/>
        </w:rPr>
      </w:pPr>
      <w:r>
        <w:rPr>
          <w:rFonts w:ascii="Courier New" w:hAnsi="Courier New" w:cs="Courier New"/>
          <w:sz w:val="18"/>
          <w:szCs w:val="18"/>
        </w:rPr>
        <w:t>See item 12, sub-point (c).</w:t>
      </w:r>
    </w:p>
    <w:p w14:paraId="65478B64" w14:textId="77777777" w:rsidR="00A93C06" w:rsidRPr="006A06A1" w:rsidRDefault="00A93C06" w:rsidP="00A93C06">
      <w:pPr>
        <w:pStyle w:val="ListParagraph"/>
        <w:numPr>
          <w:ilvl w:val="0"/>
          <w:numId w:val="6"/>
        </w:numPr>
        <w:rPr>
          <w:rFonts w:ascii="Courier New" w:hAnsi="Courier New" w:cs="Courier New"/>
          <w:sz w:val="18"/>
          <w:szCs w:val="18"/>
        </w:rPr>
      </w:pPr>
      <w:r w:rsidRPr="006A06A1">
        <w:rPr>
          <w:rFonts w:ascii="Courier New" w:hAnsi="Courier New" w:cs="Courier New"/>
          <w:sz w:val="18"/>
          <w:szCs w:val="18"/>
        </w:rPr>
        <w:t>Summarize follow-up time</w:t>
      </w:r>
    </w:p>
    <w:p w14:paraId="04BB753E" w14:textId="127E1B42" w:rsidR="00A93C06" w:rsidRPr="006A06A1" w:rsidRDefault="006A06A1" w:rsidP="006A06A1">
      <w:pPr>
        <w:ind w:left="1080"/>
        <w:rPr>
          <w:rFonts w:ascii="Courier New" w:hAnsi="Courier New" w:cs="Courier New"/>
          <w:sz w:val="18"/>
          <w:szCs w:val="18"/>
        </w:rPr>
      </w:pPr>
      <w:r w:rsidRPr="006A06A1">
        <w:rPr>
          <w:rFonts w:ascii="Courier New" w:hAnsi="Courier New" w:cs="Courier New"/>
          <w:sz w:val="18"/>
          <w:szCs w:val="18"/>
        </w:rPr>
        <w:t>Follow-up extended through the period of observation – see Item 13</w:t>
      </w:r>
    </w:p>
    <w:p w14:paraId="03536E2B" w14:textId="59E8269A" w:rsidR="006A06A1" w:rsidRDefault="006A06A1" w:rsidP="006A06A1">
      <w:r>
        <w:rPr>
          <w:noProof/>
        </w:rPr>
        <w:lastRenderedPageBreak/>
        <w:drawing>
          <wp:inline distT="0" distB="0" distL="0" distR="0" wp14:anchorId="3A1DD27D" wp14:editId="2520D882">
            <wp:extent cx="3472362" cy="4517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2147" cy="4530138"/>
                    </a:xfrm>
                    <a:prstGeom prst="rect">
                      <a:avLst/>
                    </a:prstGeom>
                  </pic:spPr>
                </pic:pic>
              </a:graphicData>
            </a:graphic>
          </wp:inline>
        </w:drawing>
      </w:r>
    </w:p>
    <w:p w14:paraId="268D6CF1" w14:textId="77777777" w:rsidR="00801179" w:rsidRPr="00DD79FC" w:rsidRDefault="00801179">
      <w:pPr>
        <w:rPr>
          <w:rFonts w:ascii="Courier New" w:hAnsi="Courier New" w:cs="Courier New"/>
        </w:rPr>
      </w:pPr>
      <w:r w:rsidRPr="00DD79FC">
        <w:rPr>
          <w:rFonts w:ascii="Courier New" w:hAnsi="Courier New" w:cs="Courier New"/>
        </w:rPr>
        <w:t xml:space="preserve">Item No. 15 – </w:t>
      </w:r>
      <w:r w:rsidR="00A93C06" w:rsidRPr="00DD79FC">
        <w:rPr>
          <w:rFonts w:ascii="Courier New" w:hAnsi="Courier New" w:cs="Courier New"/>
        </w:rPr>
        <w:t>Outcome data</w:t>
      </w:r>
    </w:p>
    <w:p w14:paraId="1A9933D8" w14:textId="66DA0627" w:rsidR="00A93C06" w:rsidRPr="00DD79FC" w:rsidRDefault="00A93C06" w:rsidP="00A93C06">
      <w:pPr>
        <w:pStyle w:val="ListParagraph"/>
        <w:numPr>
          <w:ilvl w:val="0"/>
          <w:numId w:val="3"/>
        </w:numPr>
        <w:rPr>
          <w:rFonts w:ascii="Courier New" w:hAnsi="Courier New" w:cs="Courier New"/>
          <w:sz w:val="18"/>
          <w:szCs w:val="18"/>
        </w:rPr>
      </w:pPr>
      <w:r w:rsidRPr="00DD79FC">
        <w:rPr>
          <w:rFonts w:ascii="Courier New" w:hAnsi="Courier New" w:cs="Courier New"/>
          <w:sz w:val="18"/>
          <w:szCs w:val="18"/>
        </w:rPr>
        <w:t xml:space="preserve">See descriptive statistics </w:t>
      </w:r>
      <w:r w:rsidR="00DD79FC" w:rsidRPr="00DD79FC">
        <w:rPr>
          <w:rFonts w:ascii="Courier New" w:hAnsi="Courier New" w:cs="Courier New"/>
          <w:sz w:val="18"/>
          <w:szCs w:val="18"/>
        </w:rPr>
        <w:t>under Item 13</w:t>
      </w:r>
      <w:r w:rsidRPr="00DD79FC">
        <w:rPr>
          <w:rFonts w:ascii="Courier New" w:hAnsi="Courier New" w:cs="Courier New"/>
          <w:sz w:val="18"/>
          <w:szCs w:val="18"/>
        </w:rPr>
        <w:t xml:space="preserve"> </w:t>
      </w:r>
      <w:r w:rsidR="00DD79FC" w:rsidRPr="00DD79FC">
        <w:rPr>
          <w:rFonts w:ascii="Courier New" w:hAnsi="Courier New" w:cs="Courier New"/>
          <w:sz w:val="18"/>
          <w:szCs w:val="18"/>
        </w:rPr>
        <w:t>for</w:t>
      </w:r>
      <w:r w:rsidRPr="00DD79FC">
        <w:rPr>
          <w:rFonts w:ascii="Courier New" w:hAnsi="Courier New" w:cs="Courier New"/>
          <w:sz w:val="18"/>
          <w:szCs w:val="18"/>
        </w:rPr>
        <w:t xml:space="preserve"> outcomes (total consumer spending restaurant and accommodation spending, Initial weekly unemployment claims rate)</w:t>
      </w:r>
    </w:p>
    <w:p w14:paraId="0266943A" w14:textId="77777777" w:rsidR="00801179" w:rsidRPr="004A2564" w:rsidRDefault="00801179">
      <w:pPr>
        <w:rPr>
          <w:rFonts w:ascii="Courier New" w:hAnsi="Courier New" w:cs="Courier New"/>
        </w:rPr>
      </w:pPr>
      <w:r w:rsidRPr="004A2564">
        <w:rPr>
          <w:rFonts w:ascii="Courier New" w:hAnsi="Courier New" w:cs="Courier New"/>
        </w:rPr>
        <w:t xml:space="preserve">Item No. 16 – </w:t>
      </w:r>
      <w:r w:rsidR="00A93C06" w:rsidRPr="004A2564">
        <w:rPr>
          <w:rFonts w:ascii="Courier New" w:hAnsi="Courier New" w:cs="Courier New"/>
        </w:rPr>
        <w:t>Main Results</w:t>
      </w:r>
    </w:p>
    <w:p w14:paraId="345135BC" w14:textId="326995F9" w:rsidR="00A93C06" w:rsidRDefault="00A93C06" w:rsidP="00A93C06">
      <w:pPr>
        <w:pStyle w:val="ListParagraph"/>
        <w:numPr>
          <w:ilvl w:val="0"/>
          <w:numId w:val="3"/>
        </w:numPr>
        <w:rPr>
          <w:rFonts w:ascii="Courier New" w:hAnsi="Courier New" w:cs="Courier New"/>
          <w:sz w:val="18"/>
          <w:szCs w:val="18"/>
        </w:rPr>
      </w:pPr>
      <w:r w:rsidRPr="004A2564">
        <w:rPr>
          <w:rFonts w:ascii="Courier New" w:hAnsi="Courier New" w:cs="Courier New"/>
          <w:sz w:val="18"/>
          <w:szCs w:val="18"/>
        </w:rPr>
        <w:t xml:space="preserve">See </w:t>
      </w:r>
      <w:r w:rsidR="004A2564">
        <w:rPr>
          <w:rFonts w:ascii="Courier New" w:hAnsi="Courier New" w:cs="Courier New"/>
          <w:sz w:val="18"/>
          <w:szCs w:val="18"/>
        </w:rPr>
        <w:t>Table 2</w:t>
      </w:r>
      <w:r w:rsidRPr="004A2564">
        <w:rPr>
          <w:rFonts w:ascii="Courier New" w:hAnsi="Courier New" w:cs="Courier New"/>
          <w:sz w:val="18"/>
          <w:szCs w:val="18"/>
        </w:rPr>
        <w:t xml:space="preserve"> </w:t>
      </w:r>
      <w:r w:rsidR="004A2564">
        <w:rPr>
          <w:rFonts w:ascii="Courier New" w:hAnsi="Courier New" w:cs="Courier New"/>
          <w:sz w:val="18"/>
          <w:szCs w:val="18"/>
        </w:rPr>
        <w:t>(</w:t>
      </w:r>
      <w:r w:rsidRPr="004A2564">
        <w:rPr>
          <w:rFonts w:ascii="Courier New" w:hAnsi="Courier New" w:cs="Courier New"/>
          <w:sz w:val="18"/>
          <w:szCs w:val="18"/>
        </w:rPr>
        <w:t>below</w:t>
      </w:r>
      <w:r w:rsidR="004A2564">
        <w:rPr>
          <w:rFonts w:ascii="Courier New" w:hAnsi="Courier New" w:cs="Courier New"/>
          <w:sz w:val="18"/>
          <w:szCs w:val="18"/>
        </w:rPr>
        <w:t>)</w:t>
      </w:r>
      <w:r w:rsidR="00E16613">
        <w:rPr>
          <w:rFonts w:ascii="Courier New" w:hAnsi="Courier New" w:cs="Courier New"/>
          <w:sz w:val="18"/>
          <w:szCs w:val="18"/>
        </w:rPr>
        <w:t xml:space="preserve"> and the accompanying text:</w:t>
      </w:r>
    </w:p>
    <w:p w14:paraId="17AB33FF" w14:textId="7BC65596" w:rsidR="00E16613" w:rsidRPr="00E16613" w:rsidRDefault="00E16613" w:rsidP="00E16613">
      <w:pPr>
        <w:spacing w:line="240" w:lineRule="auto"/>
        <w:ind w:left="720"/>
        <w:rPr>
          <w:rFonts w:ascii="Courier New" w:hAnsi="Courier New" w:cs="Courier New"/>
          <w:sz w:val="18"/>
          <w:szCs w:val="18"/>
        </w:rPr>
      </w:pPr>
      <w:r w:rsidRPr="00E16613">
        <w:rPr>
          <w:rFonts w:ascii="Courier New" w:hAnsi="Courier New" w:cs="Courier New"/>
          <w:sz w:val="18"/>
          <w:szCs w:val="18"/>
        </w:rPr>
        <w:t>“</w:t>
      </w:r>
      <w:r w:rsidRPr="00E16613">
        <w:rPr>
          <w:rFonts w:ascii="Courier New" w:hAnsi="Courier New" w:cs="Courier New"/>
          <w:b/>
          <w:sz w:val="18"/>
          <w:szCs w:val="18"/>
        </w:rPr>
        <w:t>Base case analysis:</w:t>
      </w:r>
      <w:r w:rsidRPr="00E16613">
        <w:rPr>
          <w:rFonts w:ascii="Courier New" w:hAnsi="Courier New" w:cs="Courier New"/>
          <w:sz w:val="18"/>
          <w:szCs w:val="18"/>
        </w:rPr>
        <w:t xml:space="preserve"> Table 2 reports regression analysis results for our base case models.  The estimated impacts of government-imposed restrictions</w:t>
      </w:r>
      <w:r w:rsidRPr="00E16613">
        <w:rPr>
          <w:rFonts w:ascii="Courier New" w:eastAsiaTheme="minorEastAsia" w:hAnsi="Courier New" w:cs="Courier New"/>
          <w:sz w:val="18"/>
          <w:szCs w:val="18"/>
        </w:rPr>
        <w:t xml:space="preserve"> (row labeled “Restricted”) are statistically significant and in the expected direction for all three outcomes – i.e., a reduction in consumer spending, a reduction in restaurant and accommodations spending, and an increase in initial unemployment claims.”</w:t>
      </w:r>
    </w:p>
    <w:p w14:paraId="3585FABB" w14:textId="65C76DF0" w:rsidR="004A2564" w:rsidRDefault="00E16613" w:rsidP="004A2564">
      <w:pPr>
        <w:rPr>
          <w:rFonts w:ascii="Courier New" w:hAnsi="Courier New" w:cs="Courier New"/>
          <w:sz w:val="18"/>
          <w:szCs w:val="18"/>
        </w:rPr>
      </w:pPr>
      <w:r>
        <w:rPr>
          <w:noProof/>
        </w:rPr>
        <w:lastRenderedPageBreak/>
        <w:drawing>
          <wp:inline distT="0" distB="0" distL="0" distR="0" wp14:anchorId="2ED183A7" wp14:editId="6234679C">
            <wp:extent cx="5943600" cy="3449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9955"/>
                    </a:xfrm>
                    <a:prstGeom prst="rect">
                      <a:avLst/>
                    </a:prstGeom>
                  </pic:spPr>
                </pic:pic>
              </a:graphicData>
            </a:graphic>
          </wp:inline>
        </w:drawing>
      </w:r>
    </w:p>
    <w:p w14:paraId="34939973" w14:textId="77777777" w:rsidR="00AE5C87" w:rsidRDefault="00AE5C87" w:rsidP="00AE5C87">
      <w:pPr>
        <w:pStyle w:val="ListParagraph"/>
      </w:pPr>
    </w:p>
    <w:p w14:paraId="1D72999C" w14:textId="77777777" w:rsidR="00801179" w:rsidRPr="00201BF9" w:rsidRDefault="00801179">
      <w:pPr>
        <w:rPr>
          <w:rFonts w:ascii="Courier New" w:hAnsi="Courier New" w:cs="Courier New"/>
        </w:rPr>
      </w:pPr>
      <w:r w:rsidRPr="00201BF9">
        <w:rPr>
          <w:rFonts w:ascii="Courier New" w:hAnsi="Courier New" w:cs="Courier New"/>
        </w:rPr>
        <w:t xml:space="preserve">Item No. 17 – </w:t>
      </w:r>
      <w:r w:rsidR="00AE5C87" w:rsidRPr="00201BF9">
        <w:rPr>
          <w:rFonts w:ascii="Courier New" w:hAnsi="Courier New" w:cs="Courier New"/>
        </w:rPr>
        <w:t xml:space="preserve">Other analyses </w:t>
      </w:r>
    </w:p>
    <w:p w14:paraId="3BAE62C3" w14:textId="29275A0F" w:rsidR="00781385" w:rsidRPr="00201BF9" w:rsidRDefault="00781385" w:rsidP="00AE5C87">
      <w:pPr>
        <w:pStyle w:val="ListParagraph"/>
        <w:numPr>
          <w:ilvl w:val="0"/>
          <w:numId w:val="3"/>
        </w:numPr>
        <w:rPr>
          <w:rFonts w:ascii="Courier New" w:hAnsi="Courier New" w:cs="Courier New"/>
        </w:rPr>
      </w:pPr>
      <w:r w:rsidRPr="00201BF9">
        <w:rPr>
          <w:rFonts w:ascii="Courier New" w:hAnsi="Courier New" w:cs="Courier New"/>
        </w:rPr>
        <w:t>Detailed results for other analyses appear in Tables 3-12 in the manuscript.</w:t>
      </w:r>
    </w:p>
    <w:p w14:paraId="364543C0" w14:textId="0BBF0EFB" w:rsidR="00AE5C87" w:rsidRPr="00201BF9" w:rsidRDefault="00AE5C87" w:rsidP="00AE5C87">
      <w:pPr>
        <w:pStyle w:val="ListParagraph"/>
        <w:numPr>
          <w:ilvl w:val="0"/>
          <w:numId w:val="3"/>
        </w:numPr>
        <w:rPr>
          <w:rFonts w:ascii="Courier New" w:hAnsi="Courier New" w:cs="Courier New"/>
        </w:rPr>
      </w:pPr>
      <w:r w:rsidRPr="00201BF9">
        <w:rPr>
          <w:rFonts w:ascii="Courier New" w:hAnsi="Courier New" w:cs="Courier New"/>
        </w:rPr>
        <w:t>See written description of sensitivities below</w:t>
      </w:r>
    </w:p>
    <w:p w14:paraId="78198B88" w14:textId="77777777" w:rsidR="00781385" w:rsidRPr="007F3769" w:rsidRDefault="00781385" w:rsidP="007F3769">
      <w:pPr>
        <w:spacing w:after="120" w:line="240" w:lineRule="auto"/>
        <w:ind w:left="720"/>
        <w:rPr>
          <w:rFonts w:ascii="Courier New" w:hAnsi="Courier New" w:cs="Courier New"/>
          <w:sz w:val="18"/>
          <w:szCs w:val="18"/>
        </w:rPr>
      </w:pPr>
      <w:r w:rsidRPr="007F3769">
        <w:rPr>
          <w:rFonts w:ascii="Courier New" w:hAnsi="Courier New" w:cs="Courier New"/>
          <w:b/>
          <w:sz w:val="18"/>
          <w:szCs w:val="18"/>
        </w:rPr>
        <w:t>Sensitivity analysis:</w:t>
      </w:r>
      <w:r w:rsidRPr="007F3769">
        <w:rPr>
          <w:rFonts w:ascii="Courier New" w:hAnsi="Courier New" w:cs="Courier New"/>
          <w:sz w:val="18"/>
          <w:szCs w:val="18"/>
        </w:rPr>
        <w:t xml:space="preserve"> Our first sensitivity analysis (Table 3) explored the impact of restricting attention to the 10 states that all experienced periods during which the government imposed restrictions and other periods during which the government did not impose restrictions.  For these 10 states, government restrictions had the same impact on total consumer spending (coefficient of -0.02 for Restricted, i.e., a 2 percent reduction) as they had for all 50 states (Table 2).  The impacts on restaurant and accommodations spending (coefficient of -0.04 in Table 3 vs. coefficient of -0.05 in Table 2) and on initial unemployment claims (coefficient of 0.20 in Table 3 s. coefficient of 0.21 in Table 2) were slightly smaller than the corresponding impacts in the base case.</w:t>
      </w:r>
    </w:p>
    <w:p w14:paraId="070AD3E0" w14:textId="77777777" w:rsidR="00781385" w:rsidRPr="007F3769" w:rsidRDefault="00781385" w:rsidP="007F3769">
      <w:pPr>
        <w:spacing w:after="120" w:line="240" w:lineRule="auto"/>
        <w:ind w:left="720"/>
        <w:rPr>
          <w:rFonts w:ascii="Courier New" w:eastAsiaTheme="minorEastAsia" w:hAnsi="Courier New" w:cs="Courier New"/>
          <w:sz w:val="18"/>
          <w:szCs w:val="18"/>
        </w:rPr>
      </w:pPr>
      <w:r w:rsidRPr="007F3769">
        <w:rPr>
          <w:rFonts w:ascii="Courier New" w:eastAsiaTheme="minorEastAsia" w:hAnsi="Courier New" w:cs="Courier New"/>
          <w:sz w:val="18"/>
          <w:szCs w:val="18"/>
        </w:rPr>
        <w:t xml:space="preserve">Tables 4, 5, and 6 show results for the second set of sensitivity analyses – i.e., for alternative models that do not control for COVID case rate, COVID mortality, or both.  The impacts of government restrictions on total consumer spending (Table 4) remain similar to the corresponding base case impacts (coefficient of around -0.02).  Impacts on restaurant and accommodations spending (Table 5) likewise remain similar to the corresponding base case impacts (coefficient of around -0.05).  For initial weekly unemployment claims (Table 6), not controlling for case rate and death rate modestly increased the estimated impact of restrictions on initial unemployment claims to 0.25 percent of the 2019 workforce from 0.21 percent in the base case.  </w:t>
      </w:r>
    </w:p>
    <w:p w14:paraId="456EE867" w14:textId="77777777" w:rsidR="00781385" w:rsidRPr="007F3769" w:rsidRDefault="00781385" w:rsidP="007F3769">
      <w:pPr>
        <w:spacing w:after="120" w:line="240" w:lineRule="auto"/>
        <w:ind w:left="720"/>
        <w:rPr>
          <w:rFonts w:ascii="Courier New" w:eastAsiaTheme="minorEastAsia" w:hAnsi="Courier New" w:cs="Courier New"/>
          <w:sz w:val="18"/>
          <w:szCs w:val="18"/>
        </w:rPr>
      </w:pPr>
      <w:r w:rsidRPr="007F3769">
        <w:rPr>
          <w:rFonts w:ascii="Courier New" w:eastAsiaTheme="minorEastAsia" w:hAnsi="Courier New" w:cs="Courier New"/>
          <w:sz w:val="18"/>
          <w:szCs w:val="18"/>
        </w:rPr>
        <w:t xml:space="preserve">Tables 7, 8, and 9 present regression model results for the third set of sensitivity analyses, which explore alternative definitions for the </w:t>
      </w:r>
      <m:oMath>
        <m:r>
          <w:rPr>
            <w:rFonts w:ascii="Cambria Math" w:hAnsi="Cambria Math" w:cs="Courier New"/>
            <w:sz w:val="18"/>
            <w:szCs w:val="18"/>
          </w:rPr>
          <m:t>Restricted</m:t>
        </m:r>
      </m:oMath>
      <w:r w:rsidRPr="007F3769">
        <w:rPr>
          <w:rFonts w:ascii="Courier New" w:eastAsiaTheme="minorEastAsia" w:hAnsi="Courier New" w:cs="Courier New"/>
          <w:sz w:val="18"/>
          <w:szCs w:val="18"/>
        </w:rPr>
        <w:t xml:space="preserve"> variable.  Models designating weeks as </w:t>
      </w:r>
      <m:oMath>
        <m:r>
          <w:rPr>
            <w:rFonts w:ascii="Cambria Math" w:eastAsiaTheme="minorEastAsia" w:hAnsi="Cambria Math" w:cs="Courier New"/>
            <w:sz w:val="18"/>
            <w:szCs w:val="18"/>
          </w:rPr>
          <m:t>Restricted</m:t>
        </m:r>
      </m:oMath>
      <w:r w:rsidRPr="007F3769">
        <w:rPr>
          <w:rFonts w:ascii="Courier New" w:eastAsiaTheme="minorEastAsia" w:hAnsi="Courier New" w:cs="Courier New"/>
          <w:sz w:val="18"/>
          <w:szCs w:val="18"/>
        </w:rPr>
        <w:t xml:space="preserve"> only after two weeks following enactment of state-imposed distancing measures (left panels in Tables 7, 8, and 9) estimated that government restrictions had smaller estimated impacts than </w:t>
      </w:r>
      <w:r w:rsidRPr="007F3769">
        <w:rPr>
          <w:rFonts w:ascii="Courier New" w:eastAsiaTheme="minorEastAsia" w:hAnsi="Courier New" w:cs="Courier New"/>
          <w:sz w:val="18"/>
          <w:szCs w:val="18"/>
        </w:rPr>
        <w:lastRenderedPageBreak/>
        <w:t xml:space="preserve">the corresponding impacts in our base case model.  In Table 7, the left panel coefficient for </w:t>
      </w:r>
      <m:oMath>
        <m:r>
          <w:rPr>
            <w:rFonts w:ascii="Cambria Math" w:eastAsiaTheme="minorEastAsia" w:hAnsi="Cambria Math" w:cs="Courier New"/>
            <w:sz w:val="18"/>
            <w:szCs w:val="18"/>
          </w:rPr>
          <m:t>Restricted</m:t>
        </m:r>
      </m:oMath>
      <w:r w:rsidRPr="007F3769">
        <w:rPr>
          <w:rFonts w:ascii="Courier New" w:eastAsiaTheme="minorEastAsia" w:hAnsi="Courier New" w:cs="Courier New"/>
          <w:sz w:val="18"/>
          <w:szCs w:val="18"/>
        </w:rPr>
        <w:t xml:space="preserve"> is -0.01, compared to -0.02 for the corresponding base case coefficient in Table 2.  In Table 8, the left panel coefficient for </w:t>
      </w:r>
      <m:oMath>
        <m:r>
          <w:rPr>
            <w:rFonts w:ascii="Cambria Math" w:eastAsiaTheme="minorEastAsia" w:hAnsi="Cambria Math" w:cs="Courier New"/>
            <w:sz w:val="18"/>
            <w:szCs w:val="18"/>
          </w:rPr>
          <m:t>Restricted</m:t>
        </m:r>
      </m:oMath>
      <w:r w:rsidRPr="007F3769">
        <w:rPr>
          <w:rFonts w:ascii="Courier New" w:eastAsiaTheme="minorEastAsia" w:hAnsi="Courier New" w:cs="Courier New"/>
          <w:sz w:val="18"/>
          <w:szCs w:val="18"/>
        </w:rPr>
        <w:t xml:space="preserve"> is -0.02, compared to -0.05 for the corresponding base case coefficient in Table 2.  In Table 9, the left panel coefficient for </w:t>
      </w:r>
      <m:oMath>
        <m:r>
          <w:rPr>
            <w:rFonts w:ascii="Cambria Math" w:eastAsiaTheme="minorEastAsia" w:hAnsi="Cambria Math" w:cs="Courier New"/>
            <w:sz w:val="18"/>
            <w:szCs w:val="18"/>
          </w:rPr>
          <m:t>Restricted</m:t>
        </m:r>
      </m:oMath>
      <w:r w:rsidRPr="007F3769">
        <w:rPr>
          <w:rFonts w:ascii="Courier New" w:eastAsiaTheme="minorEastAsia" w:hAnsi="Courier New" w:cs="Courier New"/>
          <w:sz w:val="18"/>
          <w:szCs w:val="18"/>
        </w:rPr>
        <w:t xml:space="preserve"> is 0.04, compared to 0.21 for the corresponding base case coefficient in Table 2.  As detailed in the last rows in Tables 7, 8, and 9, these models had higher AIC values than the base case model, indicating that they do not fit the data as well as the base case model.</w:t>
      </w:r>
    </w:p>
    <w:p w14:paraId="38869D84" w14:textId="4AD6A1D1" w:rsidR="006C495B" w:rsidRPr="007F3769" w:rsidRDefault="00781385" w:rsidP="007F3769">
      <w:pPr>
        <w:spacing w:after="120" w:line="240" w:lineRule="auto"/>
        <w:ind w:left="720"/>
        <w:rPr>
          <w:b/>
          <w:sz w:val="18"/>
          <w:szCs w:val="18"/>
        </w:rPr>
      </w:pPr>
      <w:r w:rsidRPr="007F3769">
        <w:rPr>
          <w:rFonts w:ascii="Courier New" w:hAnsi="Courier New" w:cs="Courier New"/>
          <w:sz w:val="18"/>
          <w:szCs w:val="18"/>
        </w:rPr>
        <w:t xml:space="preserve">Finally, we report results for other model correlation structures (Tables 10, 11, and 12).  Not all of the alternative correlation structures we evaluated produced models that converged.  For those that did, the estimated impacts of government-imposed restrictions </w:t>
      </w:r>
      <w:r w:rsidRPr="007F3769">
        <w:rPr>
          <w:rFonts w:ascii="Courier New" w:eastAsiaTheme="minorEastAsia" w:hAnsi="Courier New" w:cs="Courier New"/>
          <w:sz w:val="18"/>
          <w:szCs w:val="18"/>
        </w:rPr>
        <w:t>were very similar to or only modestly larger than the corresponding base case estimates.  The AIC goodness of fit statistics indicate, however, that models that produced estimates for the impact of government-imposed restrictions that differed the most from the corresponding base case estimates did not fit the data as well as the base case model (larger AIC value).</w:t>
      </w:r>
    </w:p>
    <w:p w14:paraId="4E1A7923" w14:textId="77777777" w:rsidR="007F3769" w:rsidRDefault="007F3769">
      <w:pPr>
        <w:rPr>
          <w:b/>
        </w:rPr>
      </w:pPr>
      <w:r>
        <w:rPr>
          <w:b/>
        </w:rPr>
        <w:br w:type="page"/>
      </w:r>
    </w:p>
    <w:p w14:paraId="1F55AE9E" w14:textId="6CC14900" w:rsidR="00801179" w:rsidRPr="002C0B84" w:rsidRDefault="00801179">
      <w:pPr>
        <w:rPr>
          <w:rFonts w:ascii="Courier New" w:hAnsi="Courier New" w:cs="Courier New"/>
        </w:rPr>
      </w:pPr>
      <w:r w:rsidRPr="002C0B84">
        <w:rPr>
          <w:rFonts w:ascii="Courier New" w:hAnsi="Courier New" w:cs="Courier New"/>
          <w:b/>
        </w:rPr>
        <w:lastRenderedPageBreak/>
        <w:t>Discussion</w:t>
      </w:r>
    </w:p>
    <w:p w14:paraId="351898D3" w14:textId="77777777" w:rsidR="00801179" w:rsidRPr="002C0B84" w:rsidRDefault="00801179">
      <w:pPr>
        <w:rPr>
          <w:rFonts w:ascii="Courier New" w:hAnsi="Courier New" w:cs="Courier New"/>
        </w:rPr>
      </w:pPr>
      <w:r w:rsidRPr="002C0B84">
        <w:rPr>
          <w:rFonts w:ascii="Courier New" w:hAnsi="Courier New" w:cs="Courier New"/>
        </w:rPr>
        <w:t>Item No. 18</w:t>
      </w:r>
      <w:r w:rsidR="00AE5C87" w:rsidRPr="002C0B84">
        <w:rPr>
          <w:rFonts w:ascii="Courier New" w:hAnsi="Courier New" w:cs="Courier New"/>
        </w:rPr>
        <w:t xml:space="preserve"> – Summarize Key Results with references to study objectives</w:t>
      </w:r>
    </w:p>
    <w:p w14:paraId="0BAB9DB0" w14:textId="77777777" w:rsidR="00211B56" w:rsidRPr="002C0B84" w:rsidRDefault="00211B56" w:rsidP="00211B56">
      <w:pPr>
        <w:pStyle w:val="ListParagraph"/>
        <w:numPr>
          <w:ilvl w:val="0"/>
          <w:numId w:val="3"/>
        </w:numPr>
        <w:spacing w:after="0" w:line="240" w:lineRule="auto"/>
        <w:rPr>
          <w:rFonts w:ascii="Courier New" w:hAnsi="Courier New" w:cs="Courier New"/>
          <w:noProof/>
          <w:sz w:val="18"/>
        </w:rPr>
      </w:pPr>
      <w:r w:rsidRPr="002C0B84">
        <w:rPr>
          <w:rFonts w:ascii="Courier New" w:hAnsi="Courier New" w:cs="Courier New"/>
          <w:noProof/>
          <w:sz w:val="18"/>
        </w:rPr>
        <w:t>“We found that imposition of government-imposed restrictions during the fall and early winter of 2020-2021 were associated with reduced economic activity.  Descriptive statistics revealed lower total consumer spending, lower consumer spending on restaurants and accommodations, and a greater number of initial unemployment claims during weeks with restrictions than during weeks without restrictions (Exhibit 1 – compare outcome means for weeks without and with restrictions).  Regression analysis revealed an association with the imposition of restrictions even after controlling for the number of new COVID cases, COVID mortality, and the change in those rates over the preceding two weeks (Exhibit 2, 1</w:t>
      </w:r>
      <w:r w:rsidRPr="002C0B84">
        <w:rPr>
          <w:rFonts w:ascii="Courier New" w:hAnsi="Courier New" w:cs="Courier New"/>
          <w:noProof/>
          <w:sz w:val="18"/>
          <w:vertAlign w:val="superscript"/>
        </w:rPr>
        <w:t>st</w:t>
      </w:r>
      <w:r w:rsidRPr="002C0B84">
        <w:rPr>
          <w:rFonts w:ascii="Courier New" w:hAnsi="Courier New" w:cs="Courier New"/>
          <w:noProof/>
          <w:sz w:val="18"/>
        </w:rPr>
        <w:t xml:space="preserve"> row</w:t>
      </w:r>
      <w:r w:rsidRPr="002C0B84">
        <w:rPr>
          <w:rFonts w:ascii="Courier New" w:eastAsiaTheme="minorEastAsia" w:hAnsi="Courier New" w:cs="Courier New"/>
          <w:noProof/>
          <w:sz w:val="18"/>
        </w:rPr>
        <w:t>)</w:t>
      </w:r>
      <w:r w:rsidRPr="002C0B84">
        <w:rPr>
          <w:rFonts w:ascii="Courier New" w:hAnsi="Courier New" w:cs="Courier New"/>
          <w:noProof/>
          <w:sz w:val="18"/>
        </w:rPr>
        <w:t>.  That influence appears to be robust to modeling assumptions, as indicated by the modest impact of our sensitivity analyses on the estimated impact of government-imposed restrictions.”</w:t>
      </w:r>
    </w:p>
    <w:p w14:paraId="51CD23E8" w14:textId="77777777" w:rsidR="00211B56" w:rsidRPr="002C0B84" w:rsidRDefault="00211B56" w:rsidP="00211B56">
      <w:pPr>
        <w:pStyle w:val="ListParagraph"/>
        <w:spacing w:after="0" w:line="240" w:lineRule="auto"/>
        <w:rPr>
          <w:rFonts w:ascii="Courier New" w:hAnsi="Courier New" w:cs="Courier New"/>
          <w:noProof/>
          <w:sz w:val="18"/>
        </w:rPr>
      </w:pPr>
    </w:p>
    <w:p w14:paraId="45E7533F" w14:textId="77777777" w:rsidR="00211B56" w:rsidRPr="002C0B84" w:rsidRDefault="00801179">
      <w:pPr>
        <w:rPr>
          <w:rFonts w:ascii="Courier New" w:hAnsi="Courier New" w:cs="Courier New"/>
        </w:rPr>
      </w:pPr>
      <w:r w:rsidRPr="002C0B84">
        <w:rPr>
          <w:rFonts w:ascii="Courier New" w:hAnsi="Courier New" w:cs="Courier New"/>
        </w:rPr>
        <w:t>Item No. 19</w:t>
      </w:r>
      <w:r w:rsidR="00211B56" w:rsidRPr="002C0B84">
        <w:rPr>
          <w:rFonts w:ascii="Courier New" w:hAnsi="Courier New" w:cs="Courier New"/>
        </w:rPr>
        <w:t xml:space="preserve"> – Limitations</w:t>
      </w:r>
    </w:p>
    <w:p w14:paraId="56717B2A" w14:textId="77777777" w:rsidR="00211B56" w:rsidRPr="002C0B84" w:rsidRDefault="00211B56" w:rsidP="00211B56">
      <w:pPr>
        <w:pStyle w:val="ListParagraph"/>
        <w:numPr>
          <w:ilvl w:val="0"/>
          <w:numId w:val="3"/>
        </w:numPr>
        <w:spacing w:after="0" w:line="240" w:lineRule="auto"/>
        <w:rPr>
          <w:rFonts w:ascii="Courier New" w:eastAsiaTheme="minorEastAsia" w:hAnsi="Courier New" w:cs="Courier New"/>
          <w:noProof/>
          <w:sz w:val="18"/>
        </w:rPr>
      </w:pPr>
      <w:r w:rsidRPr="002C0B84">
        <w:rPr>
          <w:rFonts w:ascii="Courier New" w:hAnsi="Courier New" w:cs="Courier New"/>
          <w:noProof/>
          <w:sz w:val="18"/>
        </w:rPr>
        <w:t>“Several factors complicated our assessment of the impact of government restrictions on economic outcomes.  Importantly, the nature of the restrictions imposed by state governments differed across states and over time.  Our sensitivity analyses using alternative definitions for government restrictions suggest, however, that this issue does not invalidate our findings.  A second complication is the fact that government-imposed restrictions tend to coincide with the events that cause voluntary reductions in economic activity.  In short, the same news headlines that cause state governments to impose restrictions also cause many consumers to voluntarily stay home and reduce their spending.  We attempted to isolate the impact of government-imposed restrictions by including in our models daily COVID cases and mortality, and the changes in those statistics over the preceding two weeks.”</w:t>
      </w:r>
    </w:p>
    <w:p w14:paraId="5A8EEDF2" w14:textId="77777777" w:rsidR="00211B56" w:rsidRPr="002C0B84" w:rsidRDefault="00211B56" w:rsidP="00211B56">
      <w:pPr>
        <w:pStyle w:val="ListParagraph"/>
        <w:rPr>
          <w:rFonts w:ascii="Courier New" w:hAnsi="Courier New" w:cs="Courier New"/>
        </w:rPr>
      </w:pPr>
    </w:p>
    <w:p w14:paraId="384B4823" w14:textId="77777777" w:rsidR="00801179" w:rsidRPr="002C0B84" w:rsidRDefault="00801179">
      <w:pPr>
        <w:rPr>
          <w:rFonts w:ascii="Courier New" w:hAnsi="Courier New" w:cs="Courier New"/>
        </w:rPr>
      </w:pPr>
      <w:r w:rsidRPr="002C0B84">
        <w:rPr>
          <w:rFonts w:ascii="Courier New" w:hAnsi="Courier New" w:cs="Courier New"/>
        </w:rPr>
        <w:t>Item No. 20</w:t>
      </w:r>
      <w:r w:rsidR="00211B56" w:rsidRPr="002C0B84">
        <w:rPr>
          <w:rFonts w:ascii="Courier New" w:hAnsi="Courier New" w:cs="Courier New"/>
        </w:rPr>
        <w:t xml:space="preserve"> – Interpretation</w:t>
      </w:r>
    </w:p>
    <w:p w14:paraId="3B1B3DC8" w14:textId="77777777" w:rsidR="00211B56" w:rsidRPr="00211B56" w:rsidRDefault="00211B56" w:rsidP="00211B56">
      <w:pPr>
        <w:pStyle w:val="ListParagraph"/>
        <w:numPr>
          <w:ilvl w:val="0"/>
          <w:numId w:val="3"/>
        </w:numPr>
        <w:spacing w:after="0" w:line="240" w:lineRule="auto"/>
        <w:rPr>
          <w:rFonts w:ascii="Courier New" w:eastAsiaTheme="minorEastAsia" w:hAnsi="Courier New" w:cs="Courier New"/>
          <w:noProof/>
        </w:rPr>
      </w:pPr>
      <w:r w:rsidRPr="00211B56">
        <w:rPr>
          <w:rFonts w:ascii="Courier New" w:eastAsiaTheme="minorEastAsia" w:hAnsi="Courier New" w:cs="Courier New"/>
          <w:noProof/>
          <w:sz w:val="18"/>
        </w:rPr>
        <w:t>“There remains the issue of characterizing the “real world” importance of our findings.  Our base case analysis results imply that restrictions reduce consumer spending by 2 percent, reduce restaurant and accommodations spending by 5 percent, and increase weekly unemployment claims by 0.21 percent of the 2019 work force.  Nationally, total annualized consumer spending amounted to $13.3 trillion in the fourth quarter of 2019;</w:t>
      </w:r>
      <w:r w:rsidRPr="00211B56">
        <w:rPr>
          <w:rFonts w:ascii="Courier New" w:eastAsiaTheme="minorEastAsia" w:hAnsi="Courier New" w:cs="Courier New"/>
          <w:noProof/>
          <w:sz w:val="18"/>
        </w:rPr>
        <w:fldChar w:fldCharType="begin"/>
      </w:r>
      <w:r w:rsidRPr="00211B56">
        <w:rPr>
          <w:rFonts w:ascii="Courier New" w:eastAsiaTheme="minorEastAsia" w:hAnsi="Courier New" w:cs="Courier New"/>
          <w:noProof/>
          <w:sz w:val="18"/>
        </w:rPr>
        <w:instrText xml:space="preserve"> ADDIN EN.CITE &lt;EndNote&gt;&lt;Cite&gt;&lt;Author&gt;Trading Economics&lt;/Author&gt;&lt;Year&gt;2021&lt;/Year&gt;&lt;RecNum&gt;22&lt;/RecNum&gt;&lt;DisplayText&gt;(22)&lt;/DisplayText&gt;&lt;record&gt;&lt;rec-number&gt;22&lt;/rec-number&gt;&lt;foreign-keys&gt;&lt;key app="EN" db-id="x95ferpfr5wvxqe5faxx0e04favsexr9asas" timestamp="1619638666"&gt;22&lt;/key&gt;&lt;/foreign-keys&gt;&lt;ref-type name="Web Page"&gt;12&lt;/ref-type&gt;&lt;contributors&gt;&lt;authors&gt;&lt;author&gt;Trading Economics,&lt;/author&gt;&lt;/authors&gt;&lt;/contributors&gt;&lt;titles&gt;&lt;title&gt;United States Consumer Spending&lt;/title&gt;&lt;/titles&gt;&lt;dates&gt;&lt;year&gt;2021&lt;/year&gt;&lt;/dates&gt;&lt;urls&gt;&lt;related-urls&gt;&lt;url&gt;https://tradingeconomics.com/united-states/consumer-spending&lt;/url&gt;&lt;/related-urls&gt;&lt;/urls&gt;&lt;/record&gt;&lt;/Cite&gt;&lt;/EndNote&gt;</w:instrText>
      </w:r>
      <w:r w:rsidRPr="00211B56">
        <w:rPr>
          <w:rFonts w:ascii="Courier New" w:eastAsiaTheme="minorEastAsia" w:hAnsi="Courier New" w:cs="Courier New"/>
          <w:noProof/>
          <w:sz w:val="18"/>
        </w:rPr>
        <w:fldChar w:fldCharType="separate"/>
      </w:r>
      <w:r w:rsidRPr="00211B56">
        <w:rPr>
          <w:rFonts w:ascii="Courier New" w:eastAsiaTheme="minorEastAsia" w:hAnsi="Courier New" w:cs="Courier New"/>
          <w:noProof/>
          <w:sz w:val="18"/>
        </w:rPr>
        <w:t>(</w:t>
      </w:r>
      <w:hyperlink w:anchor="_ENREF_22" w:tooltip="Trading Economics, 2021 #22" w:history="1">
        <w:r w:rsidRPr="00211B56">
          <w:rPr>
            <w:rFonts w:ascii="Courier New" w:eastAsiaTheme="minorEastAsia" w:hAnsi="Courier New" w:cs="Courier New"/>
            <w:noProof/>
            <w:sz w:val="18"/>
          </w:rPr>
          <w:t>22</w:t>
        </w:r>
      </w:hyperlink>
      <w:r w:rsidRPr="00211B56">
        <w:rPr>
          <w:rFonts w:ascii="Courier New" w:eastAsiaTheme="minorEastAsia" w:hAnsi="Courier New" w:cs="Courier New"/>
          <w:noProof/>
          <w:sz w:val="18"/>
        </w:rPr>
        <w:t>)</w:t>
      </w:r>
      <w:r w:rsidRPr="00211B56">
        <w:rPr>
          <w:rFonts w:ascii="Courier New" w:eastAsiaTheme="minorEastAsia" w:hAnsi="Courier New" w:cs="Courier New"/>
          <w:noProof/>
          <w:sz w:val="18"/>
        </w:rPr>
        <w:fldChar w:fldCharType="end"/>
      </w:r>
      <w:r w:rsidRPr="00211B56">
        <w:rPr>
          <w:rFonts w:ascii="Courier New" w:eastAsiaTheme="minorEastAsia" w:hAnsi="Courier New" w:cs="Courier New"/>
          <w:noProof/>
          <w:sz w:val="18"/>
        </w:rPr>
        <w:t xml:space="preserve"> restaurant and accommodations spending totals approximately $1.2 trillion annually, including $863 billion spent in restaurants</w:t>
      </w:r>
      <w:r w:rsidRPr="00211B56">
        <w:rPr>
          <w:rFonts w:ascii="Courier New" w:eastAsiaTheme="minorEastAsia" w:hAnsi="Courier New" w:cs="Courier New"/>
          <w:noProof/>
          <w:sz w:val="18"/>
        </w:rPr>
        <w:fldChar w:fldCharType="begin"/>
      </w:r>
      <w:r w:rsidRPr="00211B56">
        <w:rPr>
          <w:rFonts w:ascii="Courier New" w:eastAsiaTheme="minorEastAsia" w:hAnsi="Courier New" w:cs="Courier New"/>
          <w:noProof/>
          <w:sz w:val="18"/>
        </w:rPr>
        <w:instrText xml:space="preserve"> ADDIN EN.CITE &lt;EndNote&gt;&lt;Cite&gt;&lt;Author&gt;National Restaurant Association&lt;/Author&gt;&lt;Year&gt;2019&lt;/Year&gt;&lt;RecNum&gt;23&lt;/RecNum&gt;&lt;DisplayText&gt;(23)&lt;/DisplayText&gt;&lt;record&gt;&lt;rec-number&gt;23&lt;/rec-number&gt;&lt;foreign-keys&gt;&lt;key app="EN" db-id="x95ferpfr5wvxqe5faxx0e04favsexr9asas" timestamp="1619638980"&gt;23&lt;/key&gt;&lt;/foreign-keys&gt;&lt;ref-type name="Pamphlet"&gt;24&lt;/ref-type&gt;&lt;contributors&gt;&lt;authors&gt;&lt;author&gt;National Restaurant Association,&lt;/author&gt;&lt;/authors&gt;&lt;/contributors&gt;&lt;titles&gt;&lt;title&gt;2019 Restaurant Industry Factbook&lt;/title&gt;&lt;/titles&gt;&lt;dates&gt;&lt;year&gt;2019&lt;/year&gt;&lt;/dates&gt;&lt;urls&gt;&lt;related-urls&gt;&lt;url&gt;https://www.restaurant.org/downloads/pdfs/research/soi/restaurant_industry_fact_sheet_2019.pdf&lt;/url&gt;&lt;/related-urls&gt;&lt;/urls&gt;&lt;/record&gt;&lt;/Cite&gt;&lt;/EndNote&gt;</w:instrText>
      </w:r>
      <w:r w:rsidRPr="00211B56">
        <w:rPr>
          <w:rFonts w:ascii="Courier New" w:eastAsiaTheme="minorEastAsia" w:hAnsi="Courier New" w:cs="Courier New"/>
          <w:noProof/>
          <w:sz w:val="18"/>
        </w:rPr>
        <w:fldChar w:fldCharType="separate"/>
      </w:r>
      <w:r w:rsidRPr="00211B56">
        <w:rPr>
          <w:rFonts w:ascii="Courier New" w:eastAsiaTheme="minorEastAsia" w:hAnsi="Courier New" w:cs="Courier New"/>
          <w:noProof/>
          <w:sz w:val="18"/>
        </w:rPr>
        <w:t>(</w:t>
      </w:r>
      <w:hyperlink w:anchor="_ENREF_23" w:tooltip="National Restaurant Association, 2019 #23" w:history="1">
        <w:r w:rsidRPr="00211B56">
          <w:rPr>
            <w:rFonts w:ascii="Courier New" w:eastAsiaTheme="minorEastAsia" w:hAnsi="Courier New" w:cs="Courier New"/>
            <w:noProof/>
            <w:sz w:val="18"/>
          </w:rPr>
          <w:t>23</w:t>
        </w:r>
      </w:hyperlink>
      <w:r w:rsidRPr="00211B56">
        <w:rPr>
          <w:rFonts w:ascii="Courier New" w:eastAsiaTheme="minorEastAsia" w:hAnsi="Courier New" w:cs="Courier New"/>
          <w:noProof/>
          <w:sz w:val="18"/>
        </w:rPr>
        <w:t>)</w:t>
      </w:r>
      <w:r w:rsidRPr="00211B56">
        <w:rPr>
          <w:rFonts w:ascii="Courier New" w:eastAsiaTheme="minorEastAsia" w:hAnsi="Courier New" w:cs="Courier New"/>
          <w:noProof/>
          <w:sz w:val="18"/>
        </w:rPr>
        <w:fldChar w:fldCharType="end"/>
      </w:r>
      <w:r w:rsidRPr="00211B56">
        <w:rPr>
          <w:rFonts w:ascii="Courier New" w:eastAsiaTheme="minorEastAsia" w:hAnsi="Courier New" w:cs="Courier New"/>
          <w:noProof/>
          <w:sz w:val="18"/>
        </w:rPr>
        <w:t xml:space="preserve"> and $300 billion spent on accommodations.</w:t>
      </w:r>
      <w:r w:rsidRPr="00211B56">
        <w:rPr>
          <w:rFonts w:ascii="Courier New" w:eastAsiaTheme="minorEastAsia" w:hAnsi="Courier New" w:cs="Courier New"/>
          <w:noProof/>
          <w:sz w:val="18"/>
        </w:rPr>
        <w:fldChar w:fldCharType="begin"/>
      </w:r>
      <w:r w:rsidRPr="00211B56">
        <w:rPr>
          <w:rFonts w:ascii="Courier New" w:eastAsiaTheme="minorEastAsia" w:hAnsi="Courier New" w:cs="Courier New"/>
          <w:noProof/>
          <w:sz w:val="18"/>
        </w:rPr>
        <w:instrText xml:space="preserve"> ADDIN EN.CITE &lt;EndNote&gt;&lt;Cite&gt;&lt;Author&gt;US Bureau of Commerce - International Trade Administration&lt;/Author&gt;&lt;Year&gt;2018&lt;/Year&gt;&lt;RecNum&gt;24&lt;/RecNum&gt;&lt;DisplayText&gt;(24)&lt;/DisplayText&gt;&lt;record&gt;&lt;rec-number&gt;24&lt;/rec-number&gt;&lt;foreign-keys&gt;&lt;key app="EN" db-id="x95ferpfr5wvxqe5faxx0e04favsexr9asas" timestamp="1619639347"&gt;24&lt;/key&gt;&lt;/foreign-keys&gt;&lt;ref-type name="Pamphlet"&gt;24&lt;/ref-type&gt;&lt;contributors&gt;&lt;authors&gt;&lt;author&gt;US Bureau of Commerce - International Trade Administration,&lt;/author&gt;&lt;/authors&gt;&lt;/contributors&gt;&lt;titles&gt;&lt;title&gt;Travel, tourism &amp;amp; hospitality spotlight: The Travel, Tourism and Hospitality Industry in the United States&lt;/title&gt;&lt;/titles&gt;&lt;dates&gt;&lt;year&gt;2018&lt;/year&gt;&lt;/dates&gt;&lt;urls&gt;&lt;related-urls&gt;&lt;url&gt;https://www.selectusa.gov/travel-tourism-and-hospitality-industry-united-states&lt;/url&gt;&lt;/related-urls&gt;&lt;/urls&gt;&lt;/record&gt;&lt;/Cite&gt;&lt;/EndNote&gt;</w:instrText>
      </w:r>
      <w:r w:rsidRPr="00211B56">
        <w:rPr>
          <w:rFonts w:ascii="Courier New" w:eastAsiaTheme="minorEastAsia" w:hAnsi="Courier New" w:cs="Courier New"/>
          <w:noProof/>
          <w:sz w:val="18"/>
        </w:rPr>
        <w:fldChar w:fldCharType="separate"/>
      </w:r>
      <w:r w:rsidRPr="00211B56">
        <w:rPr>
          <w:rFonts w:ascii="Courier New" w:eastAsiaTheme="minorEastAsia" w:hAnsi="Courier New" w:cs="Courier New"/>
          <w:noProof/>
          <w:sz w:val="18"/>
        </w:rPr>
        <w:t>(</w:t>
      </w:r>
      <w:hyperlink w:anchor="_ENREF_24" w:tooltip="US Bureau of Commerce - International Trade Administration, 2018 #24" w:history="1">
        <w:r w:rsidRPr="00211B56">
          <w:rPr>
            <w:rFonts w:ascii="Courier New" w:eastAsiaTheme="minorEastAsia" w:hAnsi="Courier New" w:cs="Courier New"/>
            <w:noProof/>
            <w:sz w:val="18"/>
          </w:rPr>
          <w:t>24</w:t>
        </w:r>
      </w:hyperlink>
      <w:r w:rsidRPr="00211B56">
        <w:rPr>
          <w:rFonts w:ascii="Courier New" w:eastAsiaTheme="minorEastAsia" w:hAnsi="Courier New" w:cs="Courier New"/>
          <w:noProof/>
          <w:sz w:val="18"/>
        </w:rPr>
        <w:t>)</w:t>
      </w:r>
      <w:r w:rsidRPr="00211B56">
        <w:rPr>
          <w:rFonts w:ascii="Courier New" w:eastAsiaTheme="minorEastAsia" w:hAnsi="Courier New" w:cs="Courier New"/>
          <w:noProof/>
          <w:sz w:val="18"/>
        </w:rPr>
        <w:fldChar w:fldCharType="end"/>
      </w:r>
      <w:r w:rsidRPr="00211B56">
        <w:rPr>
          <w:rFonts w:ascii="Courier New" w:eastAsiaTheme="minorEastAsia" w:hAnsi="Courier New" w:cs="Courier New"/>
          <w:noProof/>
          <w:sz w:val="18"/>
        </w:rPr>
        <w:t xml:space="preserve">  The U.S. labor force in 2019 totaled 163 million individuals.</w:t>
      </w:r>
      <w:r w:rsidRPr="00211B56">
        <w:rPr>
          <w:rFonts w:ascii="Courier New" w:eastAsiaTheme="minorEastAsia" w:hAnsi="Courier New" w:cs="Courier New"/>
          <w:noProof/>
          <w:sz w:val="18"/>
        </w:rPr>
        <w:fldChar w:fldCharType="begin"/>
      </w:r>
      <w:r w:rsidRPr="00211B56">
        <w:rPr>
          <w:rFonts w:ascii="Courier New" w:eastAsiaTheme="minorEastAsia" w:hAnsi="Courier New" w:cs="Courier New"/>
          <w:noProof/>
          <w:sz w:val="18"/>
        </w:rPr>
        <w:instrText xml:space="preserve"> ADDIN EN.CITE &lt;EndNote&gt;&lt;Cite&gt;&lt;Author&gt;US Bureau of Labor Statistics&lt;/Author&gt;&lt;Year&gt;2020&lt;/Year&gt;&lt;RecNum&gt;25&lt;/RecNum&gt;&lt;DisplayText&gt;(25)&lt;/DisplayText&gt;&lt;record&gt;&lt;rec-number&gt;25&lt;/rec-number&gt;&lt;foreign-keys&gt;&lt;key app="EN" db-id="x95ferpfr5wvxqe5faxx0e04favsexr9asas" timestamp="1619640430"&gt;25&lt;/key&gt;&lt;/foreign-keys&gt;&lt;ref-type name="Web Page"&gt;12&lt;/ref-type&gt;&lt;contributors&gt;&lt;authors&gt;&lt;author&gt;US Bureau of Labor Statistics,&lt;/author&gt;&lt;/authors&gt;&lt;/contributors&gt;&lt;titles&gt;&lt;title&gt;Monthly Labor Review&lt;/title&gt;&lt;/titles&gt;&lt;dates&gt;&lt;year&gt;2020&lt;/year&gt;&lt;/dates&gt;&lt;urls&gt;&lt;related-urls&gt;&lt;url&gt;https://www.bls.gov/opub/mlr/2020/article/job-market-remains-tight-in-2019-as-the-unemployment-rate-falls-to-its-lowest-level-since-1969.htm&lt;/url&gt;&lt;/related-urls&gt;&lt;/urls&gt;&lt;/record&gt;&lt;/Cite&gt;&lt;/EndNote&gt;</w:instrText>
      </w:r>
      <w:r w:rsidRPr="00211B56">
        <w:rPr>
          <w:rFonts w:ascii="Courier New" w:eastAsiaTheme="minorEastAsia" w:hAnsi="Courier New" w:cs="Courier New"/>
          <w:noProof/>
          <w:sz w:val="18"/>
        </w:rPr>
        <w:fldChar w:fldCharType="separate"/>
      </w:r>
      <w:r w:rsidRPr="00211B56">
        <w:rPr>
          <w:rFonts w:ascii="Courier New" w:eastAsiaTheme="minorEastAsia" w:hAnsi="Courier New" w:cs="Courier New"/>
          <w:noProof/>
          <w:sz w:val="18"/>
        </w:rPr>
        <w:t>(</w:t>
      </w:r>
      <w:hyperlink w:anchor="_ENREF_25" w:tooltip="US Bureau of Labor Statistics, 2020 #25" w:history="1">
        <w:r w:rsidRPr="00211B56">
          <w:rPr>
            <w:rFonts w:ascii="Courier New" w:eastAsiaTheme="minorEastAsia" w:hAnsi="Courier New" w:cs="Courier New"/>
            <w:noProof/>
            <w:sz w:val="18"/>
          </w:rPr>
          <w:t>25</w:t>
        </w:r>
      </w:hyperlink>
      <w:r w:rsidRPr="00211B56">
        <w:rPr>
          <w:rFonts w:ascii="Courier New" w:eastAsiaTheme="minorEastAsia" w:hAnsi="Courier New" w:cs="Courier New"/>
          <w:noProof/>
          <w:sz w:val="18"/>
        </w:rPr>
        <w:t>)</w:t>
      </w:r>
      <w:r w:rsidRPr="00211B56">
        <w:rPr>
          <w:rFonts w:ascii="Courier New" w:eastAsiaTheme="minorEastAsia" w:hAnsi="Courier New" w:cs="Courier New"/>
          <w:noProof/>
          <w:sz w:val="18"/>
        </w:rPr>
        <w:fldChar w:fldCharType="end"/>
      </w:r>
      <w:r w:rsidRPr="00211B56">
        <w:rPr>
          <w:rFonts w:ascii="Courier New" w:eastAsiaTheme="minorEastAsia" w:hAnsi="Courier New" w:cs="Courier New"/>
          <w:noProof/>
          <w:sz w:val="18"/>
        </w:rPr>
        <w:t xml:space="preserve">  The model results hence imply that on an annual basis, restrictions reduce total consumer spending by </w:t>
      </w:r>
      <m:oMath>
        <m:r>
          <w:rPr>
            <w:rFonts w:ascii="Cambria Math" w:eastAsiaTheme="minorEastAsia" w:hAnsi="Cambria Math" w:cs="Courier New"/>
            <w:noProof/>
            <w:sz w:val="18"/>
          </w:rPr>
          <m:t>2%×$13.3 trillion≈$270 billion</m:t>
        </m:r>
      </m:oMath>
      <w:r w:rsidRPr="00211B56">
        <w:rPr>
          <w:rFonts w:ascii="Courier New" w:eastAsiaTheme="minorEastAsia" w:hAnsi="Courier New" w:cs="Courier New"/>
          <w:noProof/>
          <w:sz w:val="18"/>
        </w:rPr>
        <w:t xml:space="preserve">, of which </w:t>
      </w:r>
      <m:oMath>
        <m:r>
          <w:rPr>
            <w:rFonts w:ascii="Cambria Math" w:eastAsiaTheme="minorEastAsia" w:hAnsi="Cambria Math" w:cs="Courier New"/>
            <w:noProof/>
            <w:sz w:val="18"/>
          </w:rPr>
          <m:t>5%×$1.2 trillion=$60 billion</m:t>
        </m:r>
      </m:oMath>
      <w:r w:rsidRPr="00211B56">
        <w:rPr>
          <w:rFonts w:ascii="Courier New" w:eastAsiaTheme="minorEastAsia" w:hAnsi="Courier New" w:cs="Courier New"/>
          <w:noProof/>
          <w:sz w:val="18"/>
        </w:rPr>
        <w:t xml:space="preserve"> can be attributed to a reduction in spending on restaurants and accommodations.  The model results also imply that restrictions increase initial weekly unemployment claims by </w:t>
      </w:r>
      <m:oMath>
        <m:r>
          <w:rPr>
            <w:rFonts w:ascii="Cambria Math" w:eastAsiaTheme="minorEastAsia" w:hAnsi="Cambria Math" w:cs="Courier New"/>
            <w:noProof/>
            <w:sz w:val="18"/>
          </w:rPr>
          <m:t>0.21%×163 million≈340,000</m:t>
        </m:r>
      </m:oMath>
      <w:r w:rsidRPr="00211B56">
        <w:rPr>
          <w:rFonts w:ascii="Courier New" w:eastAsiaTheme="minorEastAsia" w:hAnsi="Courier New" w:cs="Courier New"/>
          <w:noProof/>
          <w:sz w:val="18"/>
        </w:rPr>
        <w:t xml:space="preserve"> initial claims each week. The computations just described yield cost estimates for a hypothetical, nationwide, year-long imposition of business restrictions.  We scale these estimates down to characterize the impact of the restrictions actually imposed.  During the fall and winter of 2020-2021, when the U.S. experienced the pandemic’s third wave, 10 states (CA, IL, KY, MI, MN, NM, OR, PA, RI, and WA) imposed restrictions for between 21 and 86 days, with an average (and GDP-weighted average) of 49 days.  Those states represent approximately one-third of the country’s GDP.</w:t>
      </w:r>
      <w:r w:rsidRPr="00211B56">
        <w:rPr>
          <w:rFonts w:ascii="Courier New" w:eastAsiaTheme="minorEastAsia" w:hAnsi="Courier New" w:cs="Courier New"/>
          <w:noProof/>
          <w:sz w:val="18"/>
        </w:rPr>
        <w:fldChar w:fldCharType="begin"/>
      </w:r>
      <w:r w:rsidRPr="00211B56">
        <w:rPr>
          <w:rFonts w:ascii="Courier New" w:eastAsiaTheme="minorEastAsia" w:hAnsi="Courier New" w:cs="Courier New"/>
          <w:noProof/>
          <w:sz w:val="18"/>
        </w:rPr>
        <w:instrText xml:space="preserve"> ADDIN EN.CITE &lt;EndNote&gt;&lt;Cite&gt;&lt;Author&gt;US Bureau of Economic Analysis&lt;/Author&gt;&lt;Year&gt;2020&lt;/Year&gt;&lt;RecNum&gt;26&lt;/RecNum&gt;&lt;DisplayText&gt;(26)&lt;/DisplayText&gt;&lt;record&gt;&lt;rec-number&gt;26&lt;/rec-number&gt;&lt;foreign-keys&gt;&lt;key app="EN" db-id="x95ferpfr5wvxqe5faxx0e04favsexr9asas" timestamp="1619642514"&gt;26&lt;/key&gt;&lt;/foreign-keys&gt;&lt;ref-type name="Press Release"&gt;63&lt;/ref-type&gt;&lt;contributors&gt;&lt;authors&gt;&lt;author&gt;US Bureau of Economic Analysis,&lt;/author&gt;&lt;/authors&gt;&lt;/contributors&gt;&lt;titles&gt;&lt;title&gt;Gross Domestic Product by State, 4th Quarter and Annual 2019&lt;/title&gt;&lt;/titles&gt;&lt;dates&gt;&lt;year&gt;2020&lt;/year&gt;&lt;/dates&gt;&lt;urls&gt;&lt;related-urls&gt;&lt;url&gt;https://www.bea.gov/system/files/2020-04/qgdpstate0420.pdf&lt;/url&gt;&lt;/related-urls&gt;&lt;/urls&gt;&lt;/record&gt;&lt;/Cite&gt;&lt;/EndNote&gt;</w:instrText>
      </w:r>
      <w:r w:rsidRPr="00211B56">
        <w:rPr>
          <w:rFonts w:ascii="Courier New" w:eastAsiaTheme="minorEastAsia" w:hAnsi="Courier New" w:cs="Courier New"/>
          <w:noProof/>
          <w:sz w:val="18"/>
        </w:rPr>
        <w:fldChar w:fldCharType="separate"/>
      </w:r>
      <w:r w:rsidRPr="00211B56">
        <w:rPr>
          <w:rFonts w:ascii="Courier New" w:eastAsiaTheme="minorEastAsia" w:hAnsi="Courier New" w:cs="Courier New"/>
          <w:noProof/>
          <w:sz w:val="18"/>
        </w:rPr>
        <w:t>(</w:t>
      </w:r>
      <w:hyperlink w:anchor="_ENREF_26" w:tooltip="US Bureau of Economic Analysis, 2020 #26" w:history="1">
        <w:r w:rsidRPr="00211B56">
          <w:rPr>
            <w:rFonts w:ascii="Courier New" w:eastAsiaTheme="minorEastAsia" w:hAnsi="Courier New" w:cs="Courier New"/>
            <w:noProof/>
            <w:sz w:val="18"/>
          </w:rPr>
          <w:t>26</w:t>
        </w:r>
      </w:hyperlink>
      <w:r w:rsidRPr="00211B56">
        <w:rPr>
          <w:rFonts w:ascii="Courier New" w:eastAsiaTheme="minorEastAsia" w:hAnsi="Courier New" w:cs="Courier New"/>
          <w:noProof/>
          <w:sz w:val="18"/>
        </w:rPr>
        <w:t>)</w:t>
      </w:r>
      <w:r w:rsidRPr="00211B56">
        <w:rPr>
          <w:rFonts w:ascii="Courier New" w:eastAsiaTheme="minorEastAsia" w:hAnsi="Courier New" w:cs="Courier New"/>
          <w:noProof/>
          <w:sz w:val="18"/>
        </w:rPr>
        <w:fldChar w:fldCharType="end"/>
      </w:r>
      <w:r w:rsidRPr="00211B56">
        <w:rPr>
          <w:rFonts w:ascii="Courier New" w:eastAsiaTheme="minorEastAsia" w:hAnsi="Courier New" w:cs="Courier New"/>
          <w:noProof/>
          <w:sz w:val="18"/>
        </w:rPr>
        <w:t xml:space="preserve">  Taking a third of the projected nationawide, annual costs (previous paragraph), and then scaling the results down by a further 86.5 percent to impute the costs associated with the imposition of restrictions for 7 weeks (13.5 percent the year) yields costs of $12 billion in total consumer spending, of which $2.7 billion would be attributable to decreased spending on restauraunts and </w:t>
      </w:r>
      <w:r w:rsidRPr="00211B56">
        <w:rPr>
          <w:rFonts w:ascii="Courier New" w:eastAsiaTheme="minorEastAsia" w:hAnsi="Courier New" w:cs="Courier New"/>
          <w:noProof/>
          <w:sz w:val="18"/>
        </w:rPr>
        <w:lastRenderedPageBreak/>
        <w:t xml:space="preserve">accommodations.  Assuming employment is approximately proportional to GDP, these states would together experience an additional 114,000 initial weekly unemployment claims each week during the imposition of these restrictions.  (We note that the unemployment data do not reflect seasonal adjustment, but it is not evident that this limitation introduces any particular bias; nonetheless, it does introduce some uncertainty.) </w:t>
      </w:r>
      <w:r w:rsidRPr="00211B56">
        <w:rPr>
          <w:rFonts w:ascii="Courier New" w:hAnsi="Courier New" w:cs="Courier New"/>
          <w:sz w:val="18"/>
        </w:rPr>
        <w:t>While a total cost of $12 billion can seem modest in the context of a global pandemic with estimated costs likely amounting to trillions of dollars in lost economic activity, the losses estimated here are indeed substantial.  Keep in mind that they occur over a limited time period (during the 1 or 2 months at the peak of a surge in COVID cases) and that the population can experience multiple case surges during a pandemic; as of this writing, the United States has experienced three such surges).  The societal value of therapies that could reduce or even eliminate the need for the most severe restrictions on economic activity could thus run into the tens of billions of dollars, not to mention the reduction in unemployment.</w:t>
      </w:r>
      <w:r>
        <w:rPr>
          <w:rFonts w:ascii="Courier New" w:hAnsi="Courier New" w:cs="Courier New"/>
        </w:rPr>
        <w:t>”</w:t>
      </w:r>
    </w:p>
    <w:p w14:paraId="1F1DFE0C" w14:textId="77777777" w:rsidR="00211B56" w:rsidRDefault="00211B56" w:rsidP="00211B56">
      <w:pPr>
        <w:pStyle w:val="ListParagraph"/>
      </w:pPr>
    </w:p>
    <w:p w14:paraId="5CA7C469" w14:textId="77777777" w:rsidR="00801179" w:rsidRDefault="00801179">
      <w:r>
        <w:t>Item No. 21</w:t>
      </w:r>
      <w:r w:rsidR="00211B56">
        <w:t xml:space="preserve"> – Generalizability</w:t>
      </w:r>
    </w:p>
    <w:p w14:paraId="2B26D6DF" w14:textId="77777777" w:rsidR="00211B56" w:rsidRPr="00211B56" w:rsidRDefault="00211B56" w:rsidP="00211B56">
      <w:pPr>
        <w:pStyle w:val="ListParagraph"/>
        <w:numPr>
          <w:ilvl w:val="0"/>
          <w:numId w:val="3"/>
        </w:numPr>
        <w:rPr>
          <w:sz w:val="18"/>
        </w:rPr>
      </w:pPr>
      <w:r w:rsidRPr="00211B56">
        <w:rPr>
          <w:rFonts w:ascii="Courier New" w:hAnsi="Courier New" w:cs="Courier New"/>
          <w:sz w:val="18"/>
        </w:rPr>
        <w:t>“Whether prices charged for therapies should reflect this component of value is another question, as decision makers must also consider a range of issues, including affordability.</w:t>
      </w:r>
      <w:r w:rsidRPr="00211B56">
        <w:rPr>
          <w:rFonts w:ascii="Courier New" w:hAnsi="Courier New" w:cs="Courier New"/>
          <w:sz w:val="18"/>
        </w:rPr>
        <w:fldChar w:fldCharType="begin"/>
      </w:r>
      <w:r w:rsidRPr="00211B56">
        <w:rPr>
          <w:rFonts w:ascii="Courier New" w:hAnsi="Courier New" w:cs="Courier New"/>
          <w:sz w:val="18"/>
        </w:rPr>
        <w:instrText xml:space="preserve"> ADDIN EN.CITE &lt;EndNote&gt;&lt;Cite&gt;&lt;Author&gt;Cohen&lt;/Author&gt;&lt;Year&gt;2020&lt;/Year&gt;&lt;RecNum&gt;27&lt;/RecNum&gt;&lt;DisplayText&gt;(27)&lt;/DisplayText&gt;&lt;record&gt;&lt;rec-number&gt;27&lt;/rec-number&gt;&lt;foreign-keys&gt;&lt;key app="EN" db-id="x95ferpfr5wvxqe5faxx0e04favsexr9asas" timestamp="1619643016"&gt;27&lt;/key&gt;&lt;/foreign-keys&gt;&lt;ref-type name="Blog"&gt;56&lt;/ref-type&gt;&lt;contributors&gt;&lt;authors&gt;&lt;author&gt;Cohen, J. T.&lt;/author&gt;&lt;author&gt;Neumann, P. J.&lt;/author&gt;&lt;author&gt;Ollendorf, D. A.&lt;/author&gt;&lt;/authors&gt;&lt;/contributors&gt;&lt;titles&gt;&lt;title&gt;Valuing And Pricing Remdesivir: Should Drug Makers Get Paid For Helping Us Get Back To Work?&lt;/title&gt;&lt;secondary-title&gt;Health Affairs Blog&lt;/secondary-title&gt;&lt;/titles&gt;&lt;number&gt;May 20&lt;/number&gt;&lt;dates&gt;&lt;year&gt;2020&lt;/year&gt;&lt;/dates&gt;&lt;urls&gt;&lt;related-urls&gt;&lt;url&gt;https://www.healthaffairs.org/do/10.1377/hblog20200518.966027/full/&lt;/url&gt;&lt;/related-urls&gt;&lt;/urls&gt;&lt;/record&gt;&lt;/Cite&gt;&lt;/EndNote&gt;</w:instrText>
      </w:r>
      <w:r w:rsidRPr="00211B56">
        <w:rPr>
          <w:rFonts w:ascii="Courier New" w:hAnsi="Courier New" w:cs="Courier New"/>
          <w:sz w:val="18"/>
        </w:rPr>
        <w:fldChar w:fldCharType="separate"/>
      </w:r>
      <w:r w:rsidRPr="00211B56">
        <w:rPr>
          <w:rFonts w:ascii="Courier New" w:hAnsi="Courier New" w:cs="Courier New"/>
          <w:noProof/>
          <w:sz w:val="18"/>
        </w:rPr>
        <w:t>(</w:t>
      </w:r>
      <w:hyperlink w:anchor="_ENREF_27" w:tooltip="Cohen, 2020 #27" w:history="1">
        <w:r w:rsidRPr="00211B56">
          <w:rPr>
            <w:rFonts w:ascii="Courier New" w:hAnsi="Courier New" w:cs="Courier New"/>
            <w:noProof/>
            <w:sz w:val="18"/>
          </w:rPr>
          <w:t>27</w:t>
        </w:r>
      </w:hyperlink>
      <w:r w:rsidRPr="00211B56">
        <w:rPr>
          <w:rFonts w:ascii="Courier New" w:hAnsi="Courier New" w:cs="Courier New"/>
          <w:noProof/>
          <w:sz w:val="18"/>
        </w:rPr>
        <w:t>)</w:t>
      </w:r>
      <w:r w:rsidRPr="00211B56">
        <w:rPr>
          <w:rFonts w:ascii="Courier New" w:hAnsi="Courier New" w:cs="Courier New"/>
          <w:sz w:val="18"/>
        </w:rPr>
        <w:fldChar w:fldCharType="end"/>
      </w:r>
      <w:r w:rsidRPr="00211B56">
        <w:rPr>
          <w:rFonts w:ascii="Courier New" w:hAnsi="Courier New" w:cs="Courier New"/>
          <w:sz w:val="18"/>
        </w:rPr>
        <w:t xml:space="preserve">  Importantly, this analysis shows that estimating the cost of government-imposed restrictions is feasible, hence making it possible to extend health technology assessments beyond the typical and often exclusive focus on the valuation of health benefits.  While a therapy’s health benefits will, no doubt, remain the core element of health technology assessment, for therapies addressing threats that affect others in addition to those who become ill, recognizing societal benefits will help allocate resources to promote innovations that address the most important risks society faces.”</w:t>
      </w:r>
    </w:p>
    <w:p w14:paraId="24B663C9" w14:textId="77777777" w:rsidR="002C0B84" w:rsidRDefault="002C0B84">
      <w:pPr>
        <w:rPr>
          <w:b/>
        </w:rPr>
      </w:pPr>
      <w:r>
        <w:rPr>
          <w:b/>
        </w:rPr>
        <w:br w:type="page"/>
      </w:r>
    </w:p>
    <w:p w14:paraId="10BB54EE" w14:textId="5615FDCC" w:rsidR="00801179" w:rsidRPr="002C0B84" w:rsidRDefault="00801179">
      <w:pPr>
        <w:rPr>
          <w:rFonts w:ascii="Courier New" w:hAnsi="Courier New" w:cs="Courier New"/>
          <w:b/>
        </w:rPr>
      </w:pPr>
      <w:r w:rsidRPr="002C0B84">
        <w:rPr>
          <w:rFonts w:ascii="Courier New" w:hAnsi="Courier New" w:cs="Courier New"/>
          <w:b/>
        </w:rPr>
        <w:lastRenderedPageBreak/>
        <w:t>Other Information</w:t>
      </w:r>
    </w:p>
    <w:p w14:paraId="7DB5F065" w14:textId="77777777" w:rsidR="00801179" w:rsidRPr="002C0B84" w:rsidRDefault="00801179">
      <w:pPr>
        <w:rPr>
          <w:rFonts w:ascii="Courier New" w:hAnsi="Courier New" w:cs="Courier New"/>
        </w:rPr>
      </w:pPr>
      <w:r w:rsidRPr="002C0B84">
        <w:rPr>
          <w:rFonts w:ascii="Courier New" w:hAnsi="Courier New" w:cs="Courier New"/>
        </w:rPr>
        <w:t>Item No. 22</w:t>
      </w:r>
      <w:r w:rsidR="00211B56" w:rsidRPr="002C0B84">
        <w:rPr>
          <w:rFonts w:ascii="Courier New" w:hAnsi="Courier New" w:cs="Courier New"/>
        </w:rPr>
        <w:t xml:space="preserve"> – Funding </w:t>
      </w:r>
    </w:p>
    <w:p w14:paraId="47D44CE6" w14:textId="77777777" w:rsidR="00211B56" w:rsidRPr="002C0B84" w:rsidRDefault="00211B56" w:rsidP="002C0B84">
      <w:pPr>
        <w:pStyle w:val="ListParagraph"/>
        <w:numPr>
          <w:ilvl w:val="0"/>
          <w:numId w:val="3"/>
        </w:numPr>
        <w:spacing w:after="120" w:line="240" w:lineRule="auto"/>
        <w:rPr>
          <w:rFonts w:ascii="Courier New" w:hAnsi="Courier New" w:cs="Courier New"/>
          <w:sz w:val="18"/>
          <w:szCs w:val="18"/>
        </w:rPr>
      </w:pPr>
      <w:r w:rsidRPr="002C0B84">
        <w:rPr>
          <w:rFonts w:ascii="Courier New" w:hAnsi="Courier New" w:cs="Courier New"/>
          <w:sz w:val="18"/>
          <w:szCs w:val="18"/>
        </w:rPr>
        <w:t xml:space="preserve">This work received financial support from the following companies, all of which have or are developing products for COVID-19: </w:t>
      </w:r>
      <w:proofErr w:type="spellStart"/>
      <w:r w:rsidRPr="002C0B84">
        <w:rPr>
          <w:rFonts w:ascii="Courier New" w:hAnsi="Courier New" w:cs="Courier New"/>
          <w:sz w:val="18"/>
          <w:szCs w:val="18"/>
        </w:rPr>
        <w:t>AstraZenica</w:t>
      </w:r>
      <w:proofErr w:type="spellEnd"/>
      <w:r w:rsidRPr="002C0B84">
        <w:rPr>
          <w:rFonts w:ascii="Courier New" w:hAnsi="Courier New" w:cs="Courier New"/>
          <w:sz w:val="18"/>
          <w:szCs w:val="18"/>
        </w:rPr>
        <w:t xml:space="preserve">, Bristol Myers Squibb, Eli Lilly, Gilead Sciences, Johnson &amp; Johnson, Merck, Pfizer, and Regeneron.  </w:t>
      </w:r>
    </w:p>
    <w:p w14:paraId="3696F749" w14:textId="77777777" w:rsidR="00211B56" w:rsidRPr="002C0B84" w:rsidRDefault="00211B56" w:rsidP="002C0B84">
      <w:pPr>
        <w:pStyle w:val="ListParagraph"/>
        <w:numPr>
          <w:ilvl w:val="0"/>
          <w:numId w:val="3"/>
        </w:numPr>
        <w:spacing w:after="120" w:line="240" w:lineRule="auto"/>
        <w:rPr>
          <w:rFonts w:ascii="Courier New" w:hAnsi="Courier New" w:cs="Courier New"/>
          <w:sz w:val="18"/>
          <w:szCs w:val="18"/>
        </w:rPr>
      </w:pPr>
      <w:r w:rsidRPr="002C0B84">
        <w:rPr>
          <w:rFonts w:ascii="Courier New" w:hAnsi="Courier New" w:cs="Courier New"/>
          <w:sz w:val="18"/>
          <w:szCs w:val="18"/>
        </w:rPr>
        <w:t xml:space="preserve">Joshua Cohen is employed by Tufts Medical Center and discloses receiving personal fees from these other life sciences companies for work not related to this paper: Biogen, </w:t>
      </w:r>
      <w:proofErr w:type="spellStart"/>
      <w:r w:rsidRPr="002C0B84">
        <w:rPr>
          <w:rFonts w:ascii="Courier New" w:hAnsi="Courier New" w:cs="Courier New"/>
          <w:sz w:val="18"/>
          <w:szCs w:val="18"/>
        </w:rPr>
        <w:t>IQvia</w:t>
      </w:r>
      <w:proofErr w:type="spellEnd"/>
      <w:r w:rsidRPr="002C0B84">
        <w:rPr>
          <w:rFonts w:ascii="Courier New" w:hAnsi="Courier New" w:cs="Courier New"/>
          <w:sz w:val="18"/>
          <w:szCs w:val="18"/>
        </w:rPr>
        <w:t xml:space="preserve">, Novartis, </w:t>
      </w:r>
      <w:proofErr w:type="gramStart"/>
      <w:r w:rsidRPr="002C0B84">
        <w:rPr>
          <w:rFonts w:ascii="Courier New" w:hAnsi="Courier New" w:cs="Courier New"/>
          <w:sz w:val="18"/>
          <w:szCs w:val="18"/>
        </w:rPr>
        <w:t>Partnership</w:t>
      </w:r>
      <w:proofErr w:type="gramEnd"/>
      <w:r w:rsidRPr="002C0B84">
        <w:rPr>
          <w:rFonts w:ascii="Courier New" w:hAnsi="Courier New" w:cs="Courier New"/>
          <w:sz w:val="18"/>
          <w:szCs w:val="18"/>
        </w:rPr>
        <w:t xml:space="preserve"> for Health Analytic Research, Precision Health Economics, Sage Pharmaceuticals, Sanofi, and </w:t>
      </w:r>
      <w:proofErr w:type="spellStart"/>
      <w:r w:rsidRPr="002C0B84">
        <w:rPr>
          <w:rFonts w:ascii="Courier New" w:hAnsi="Courier New" w:cs="Courier New"/>
          <w:sz w:val="18"/>
          <w:szCs w:val="18"/>
        </w:rPr>
        <w:t>Sarepta</w:t>
      </w:r>
      <w:proofErr w:type="spellEnd"/>
      <w:r w:rsidRPr="002C0B84">
        <w:rPr>
          <w:rFonts w:ascii="Courier New" w:hAnsi="Courier New" w:cs="Courier New"/>
          <w:sz w:val="18"/>
          <w:szCs w:val="18"/>
        </w:rPr>
        <w:t>.  Samuel Weidner is employed by Tufts Medical Center.</w:t>
      </w:r>
    </w:p>
    <w:p w14:paraId="58997C4B" w14:textId="77777777" w:rsidR="00211B56" w:rsidRPr="002C0B84" w:rsidRDefault="00211B56" w:rsidP="00211B56">
      <w:pPr>
        <w:pStyle w:val="ListParagraph"/>
        <w:rPr>
          <w:rFonts w:ascii="Courier New" w:hAnsi="Courier New" w:cs="Courier New"/>
        </w:rPr>
      </w:pPr>
    </w:p>
    <w:p w14:paraId="13421BBF" w14:textId="77777777" w:rsidR="00801179" w:rsidRPr="00801179" w:rsidRDefault="00801179"/>
    <w:sectPr w:rsidR="00801179" w:rsidRPr="00801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D52FB"/>
    <w:multiLevelType w:val="hybridMultilevel"/>
    <w:tmpl w:val="8B2ED9C6"/>
    <w:lvl w:ilvl="0" w:tplc="20CEE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32249F"/>
    <w:multiLevelType w:val="hybridMultilevel"/>
    <w:tmpl w:val="581A6AF6"/>
    <w:lvl w:ilvl="0" w:tplc="842AD38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00DA6"/>
    <w:multiLevelType w:val="hybridMultilevel"/>
    <w:tmpl w:val="2D56B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14B4A"/>
    <w:multiLevelType w:val="hybridMultilevel"/>
    <w:tmpl w:val="7E167E22"/>
    <w:lvl w:ilvl="0" w:tplc="4F34CC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397E59"/>
    <w:multiLevelType w:val="hybridMultilevel"/>
    <w:tmpl w:val="A5FA1B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A6784"/>
    <w:multiLevelType w:val="hybridMultilevel"/>
    <w:tmpl w:val="38F46FE2"/>
    <w:lvl w:ilvl="0" w:tplc="DDACB8C6">
      <w:start w:val="1"/>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5F58AD"/>
    <w:multiLevelType w:val="hybridMultilevel"/>
    <w:tmpl w:val="E8A20A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6B3604"/>
    <w:multiLevelType w:val="hybridMultilevel"/>
    <w:tmpl w:val="8B2ED9C6"/>
    <w:lvl w:ilvl="0" w:tplc="20CEE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B0673A"/>
    <w:multiLevelType w:val="hybridMultilevel"/>
    <w:tmpl w:val="93C2DC78"/>
    <w:lvl w:ilvl="0" w:tplc="04090019">
      <w:start w:val="1"/>
      <w:numFmt w:val="lowerLetter"/>
      <w:lvlText w:val="%1."/>
      <w:lvlJc w:val="left"/>
      <w:pPr>
        <w:ind w:left="720" w:hanging="360"/>
      </w:pPr>
      <w:rPr>
        <w:rFonts w:hint="default"/>
      </w:rPr>
    </w:lvl>
    <w:lvl w:ilvl="1" w:tplc="6CD47B48">
      <w:start w:val="1"/>
      <w:numFmt w:val="lowerLetter"/>
      <w:lvlText w:val="%2."/>
      <w:lvlJc w:val="left"/>
      <w:pPr>
        <w:ind w:left="1440" w:hanging="360"/>
      </w:pPr>
      <w:rPr>
        <w:rFonts w:ascii="Courier New" w:hAnsi="Courier New" w:cs="Courier New" w:hint="default"/>
        <w:sz w:val="1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0D148E"/>
    <w:multiLevelType w:val="hybridMultilevel"/>
    <w:tmpl w:val="7256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8"/>
  </w:num>
  <w:num w:numId="5">
    <w:abstractNumId w:val="9"/>
  </w:num>
  <w:num w:numId="6">
    <w:abstractNumId w:val="4"/>
  </w:num>
  <w:num w:numId="7">
    <w:abstractNumId w:val="7"/>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2CA"/>
    <w:rsid w:val="00201BF9"/>
    <w:rsid w:val="00211B56"/>
    <w:rsid w:val="002C0B84"/>
    <w:rsid w:val="003D51A0"/>
    <w:rsid w:val="0048266F"/>
    <w:rsid w:val="004A0E03"/>
    <w:rsid w:val="004A2564"/>
    <w:rsid w:val="004A4859"/>
    <w:rsid w:val="005772BE"/>
    <w:rsid w:val="005B325C"/>
    <w:rsid w:val="006820C1"/>
    <w:rsid w:val="006A06A1"/>
    <w:rsid w:val="006C495B"/>
    <w:rsid w:val="006D0AB5"/>
    <w:rsid w:val="00703FA7"/>
    <w:rsid w:val="00781385"/>
    <w:rsid w:val="007F3769"/>
    <w:rsid w:val="00801179"/>
    <w:rsid w:val="00850ECB"/>
    <w:rsid w:val="008F1CD9"/>
    <w:rsid w:val="00A874EB"/>
    <w:rsid w:val="00A903FE"/>
    <w:rsid w:val="00A93C06"/>
    <w:rsid w:val="00AE5C87"/>
    <w:rsid w:val="00B92CE9"/>
    <w:rsid w:val="00BF1E67"/>
    <w:rsid w:val="00C97107"/>
    <w:rsid w:val="00CC48DE"/>
    <w:rsid w:val="00D119BA"/>
    <w:rsid w:val="00D34068"/>
    <w:rsid w:val="00DD79FC"/>
    <w:rsid w:val="00DF45A5"/>
    <w:rsid w:val="00E16613"/>
    <w:rsid w:val="00EE46E6"/>
    <w:rsid w:val="00F60734"/>
    <w:rsid w:val="00F60948"/>
    <w:rsid w:val="00F832CA"/>
    <w:rsid w:val="00FC71C4"/>
    <w:rsid w:val="00FF3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47FA"/>
  <w15:chartTrackingRefBased/>
  <w15:docId w15:val="{C4063B5A-5E22-4B1B-B60C-EE15783F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2CA"/>
    <w:pPr>
      <w:ind w:left="720"/>
      <w:contextualSpacing/>
    </w:pPr>
  </w:style>
  <w:style w:type="paragraph" w:styleId="BalloonText">
    <w:name w:val="Balloon Text"/>
    <w:basedOn w:val="Normal"/>
    <w:link w:val="BalloonTextChar"/>
    <w:uiPriority w:val="99"/>
    <w:semiHidden/>
    <w:unhideWhenUsed/>
    <w:rsid w:val="005B32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25C"/>
    <w:rPr>
      <w:rFonts w:ascii="Segoe UI" w:hAnsi="Segoe UI" w:cs="Segoe UI"/>
      <w:sz w:val="18"/>
      <w:szCs w:val="18"/>
    </w:rPr>
  </w:style>
  <w:style w:type="table" w:styleId="TableGrid">
    <w:name w:val="Table Grid"/>
    <w:basedOn w:val="TableNormal"/>
    <w:uiPriority w:val="39"/>
    <w:rsid w:val="00482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E5C87"/>
    <w:rPr>
      <w:sz w:val="16"/>
      <w:szCs w:val="16"/>
    </w:rPr>
  </w:style>
  <w:style w:type="paragraph" w:styleId="CommentText">
    <w:name w:val="annotation text"/>
    <w:basedOn w:val="Normal"/>
    <w:link w:val="CommentTextChar"/>
    <w:uiPriority w:val="99"/>
    <w:semiHidden/>
    <w:unhideWhenUsed/>
    <w:rsid w:val="00AE5C87"/>
    <w:pPr>
      <w:spacing w:line="240" w:lineRule="auto"/>
    </w:pPr>
    <w:rPr>
      <w:sz w:val="20"/>
      <w:szCs w:val="20"/>
    </w:rPr>
  </w:style>
  <w:style w:type="character" w:customStyle="1" w:styleId="CommentTextChar">
    <w:name w:val="Comment Text Char"/>
    <w:basedOn w:val="DefaultParagraphFont"/>
    <w:link w:val="CommentText"/>
    <w:uiPriority w:val="99"/>
    <w:semiHidden/>
    <w:rsid w:val="00AE5C87"/>
    <w:rPr>
      <w:sz w:val="20"/>
      <w:szCs w:val="20"/>
    </w:rPr>
  </w:style>
  <w:style w:type="paragraph" w:styleId="CommentSubject">
    <w:name w:val="annotation subject"/>
    <w:basedOn w:val="CommentText"/>
    <w:next w:val="CommentText"/>
    <w:link w:val="CommentSubjectChar"/>
    <w:uiPriority w:val="99"/>
    <w:semiHidden/>
    <w:unhideWhenUsed/>
    <w:rsid w:val="00AE5C87"/>
    <w:rPr>
      <w:b/>
      <w:bCs/>
    </w:rPr>
  </w:style>
  <w:style w:type="character" w:customStyle="1" w:styleId="CommentSubjectChar">
    <w:name w:val="Comment Subject Char"/>
    <w:basedOn w:val="CommentTextChar"/>
    <w:link w:val="CommentSubject"/>
    <w:uiPriority w:val="99"/>
    <w:semiHidden/>
    <w:rsid w:val="00AE5C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7FB9D-D441-4940-9164-C9AA88FC7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7287</Words>
  <Characters>41539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Tufts Medical Center</Company>
  <LinksUpToDate>false</LinksUpToDate>
  <CharactersWithSpaces>48729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Weidner, Samuel B</dc:creator>
  <cp:keywords/>
  <dc:description/>
  <cp:lastModifiedBy>Cohen, Joshua</cp:lastModifiedBy>
  <cp:revision>6</cp:revision>
  <dcterms:created xsi:type="dcterms:W3CDTF">2021-06-24T21:56:00Z</dcterms:created>
  <dcterms:modified xsi:type="dcterms:W3CDTF">2021-08-03T14:07:00Z</dcterms:modified>
</cp:coreProperties>
</file>